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E749A8">
      <w:pPr>
        <w:rPr>
          <w:rFonts w:ascii="仿宋_GB2312" w:hAnsi="仿宋_GB2312" w:eastAsia="仿宋_GB2312" w:cs="仿宋_GB2312"/>
          <w:color w:val="auto"/>
          <w:sz w:val="36"/>
          <w:szCs w:val="36"/>
          <w:highlight w:val="none"/>
        </w:rPr>
      </w:pPr>
      <w:r>
        <w:drawing>
          <wp:inline distT="0" distB="0" distL="114300" distR="114300">
            <wp:extent cx="5645785" cy="8771890"/>
            <wp:effectExtent l="0" t="0" r="12065"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rcRect t="390" r="1336"/>
                    <a:stretch>
                      <a:fillRect/>
                    </a:stretch>
                  </pic:blipFill>
                  <pic:spPr>
                    <a:xfrm>
                      <a:off x="0" y="0"/>
                      <a:ext cx="5645785" cy="8771890"/>
                    </a:xfrm>
                    <a:prstGeom prst="rect">
                      <a:avLst/>
                    </a:prstGeom>
                    <a:noFill/>
                    <a:ln>
                      <a:noFill/>
                    </a:ln>
                  </pic:spPr>
                </pic:pic>
              </a:graphicData>
            </a:graphic>
          </wp:inline>
        </w:drawing>
      </w:r>
    </w:p>
    <w:p w14:paraId="68FDE736">
      <w:pPr>
        <w:adjustRightInd w:val="0"/>
        <w:snapToGrid w:val="0"/>
        <w:spacing w:line="288" w:lineRule="auto"/>
        <w:jc w:val="center"/>
        <w:rPr>
          <w:rFonts w:ascii="楷体_GB2312" w:eastAsia="楷体_GB2312"/>
          <w:color w:val="auto"/>
          <w:sz w:val="36"/>
          <w:szCs w:val="36"/>
          <w:highlight w:val="none"/>
        </w:rPr>
      </w:pPr>
      <w:r>
        <w:drawing>
          <wp:inline distT="0" distB="0" distL="114300" distR="114300">
            <wp:extent cx="5605780" cy="8763635"/>
            <wp:effectExtent l="0" t="0" r="13970" b="1841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605780" cy="8763635"/>
                    </a:xfrm>
                    <a:prstGeom prst="rect">
                      <a:avLst/>
                    </a:prstGeom>
                    <a:noFill/>
                    <a:ln>
                      <a:noFill/>
                    </a:ln>
                  </pic:spPr>
                </pic:pic>
              </a:graphicData>
            </a:graphic>
          </wp:inline>
        </w:drawing>
      </w:r>
      <w:bookmarkStart w:id="102" w:name="_GoBack"/>
      <w:bookmarkEnd w:id="102"/>
      <w:r>
        <w:drawing>
          <wp:inline distT="0" distB="0" distL="114300" distR="114300">
            <wp:extent cx="5603875" cy="8582025"/>
            <wp:effectExtent l="0" t="0" r="15875"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5603875" cy="8582025"/>
                    </a:xfrm>
                    <a:prstGeom prst="rect">
                      <a:avLst/>
                    </a:prstGeom>
                    <a:noFill/>
                    <a:ln>
                      <a:noFill/>
                    </a:ln>
                  </pic:spPr>
                </pic:pic>
              </a:graphicData>
            </a:graphic>
          </wp:inline>
        </w:drawing>
      </w:r>
    </w:p>
    <w:p w14:paraId="0F2EAB1D">
      <w:pPr>
        <w:adjustRightInd w:val="0"/>
        <w:snapToGrid w:val="0"/>
        <w:spacing w:line="288" w:lineRule="auto"/>
        <w:ind w:firstLine="1040"/>
        <w:rPr>
          <w:rFonts w:ascii="仿宋_GB2312" w:eastAsia="仿宋_GB2312"/>
          <w:color w:val="auto"/>
          <w:sz w:val="36"/>
          <w:szCs w:val="36"/>
          <w:highlight w:val="none"/>
        </w:rPr>
        <w:sectPr>
          <w:footerReference r:id="rId3" w:type="default"/>
          <w:footerReference r:id="rId4" w:type="even"/>
          <w:pgSz w:w="11906" w:h="16838"/>
          <w:pgMar w:top="1701" w:right="1531" w:bottom="1701" w:left="1531" w:header="851" w:footer="1077" w:gutter="0"/>
          <w:pgNumType w:start="0"/>
          <w:cols w:space="720" w:num="1"/>
          <w:docGrid w:linePitch="312" w:charSpace="0"/>
        </w:sectPr>
      </w:pPr>
    </w:p>
    <w:p w14:paraId="56E6B090">
      <w:pPr>
        <w:pStyle w:val="15"/>
        <w:jc w:val="center"/>
        <w:outlineLvl w:val="0"/>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一、建设项目基本情况</w:t>
      </w:r>
    </w:p>
    <w:tbl>
      <w:tblPr>
        <w:tblStyle w:val="16"/>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95"/>
        <w:gridCol w:w="1979"/>
        <w:gridCol w:w="1433"/>
        <w:gridCol w:w="4152"/>
        <w:gridCol w:w="11"/>
      </w:tblGrid>
      <w:tr w14:paraId="280355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5" w:type="dxa"/>
            <w:tcMar>
              <w:top w:w="16" w:type="dxa"/>
              <w:left w:w="16" w:type="dxa"/>
              <w:right w:w="16" w:type="dxa"/>
            </w:tcMar>
            <w:vAlign w:val="center"/>
          </w:tcPr>
          <w:p w14:paraId="08EECB4F">
            <w:pPr>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建设项目名称</w:t>
            </w:r>
          </w:p>
        </w:tc>
        <w:tc>
          <w:tcPr>
            <w:tcW w:w="7575" w:type="dxa"/>
            <w:gridSpan w:val="4"/>
            <w:vAlign w:val="center"/>
          </w:tcPr>
          <w:p w14:paraId="59127155">
            <w:pPr>
              <w:adjustRightInd w:val="0"/>
              <w:snapToGrid w:val="0"/>
              <w:jc w:val="center"/>
              <w:rPr>
                <w:color w:val="auto"/>
                <w:sz w:val="26"/>
                <w:szCs w:val="26"/>
                <w:highlight w:val="none"/>
              </w:rPr>
            </w:pPr>
            <w:r>
              <w:rPr>
                <w:rFonts w:hint="eastAsia"/>
                <w:color w:val="auto"/>
                <w:sz w:val="26"/>
                <w:szCs w:val="26"/>
                <w:highlight w:val="none"/>
              </w:rPr>
              <w:t>液压生产线自动化改造项目、</w:t>
            </w:r>
            <w:r>
              <w:rPr>
                <w:rFonts w:hint="eastAsia"/>
                <w:color w:val="auto"/>
                <w:sz w:val="26"/>
                <w:szCs w:val="26"/>
                <w:highlight w:val="none"/>
                <w:lang w:eastAsia="zh-CN"/>
              </w:rPr>
              <w:t>激光切割自动化生产线改造项目</w:t>
            </w:r>
            <w:r>
              <w:rPr>
                <w:rFonts w:hint="eastAsia"/>
                <w:color w:val="auto"/>
                <w:sz w:val="26"/>
                <w:szCs w:val="26"/>
                <w:highlight w:val="none"/>
              </w:rPr>
              <w:t>、焊接自动化生产线改造项目</w:t>
            </w:r>
          </w:p>
        </w:tc>
      </w:tr>
      <w:tr w14:paraId="527CE9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5" w:type="dxa"/>
            <w:tcMar>
              <w:top w:w="16" w:type="dxa"/>
              <w:left w:w="16" w:type="dxa"/>
              <w:right w:w="16" w:type="dxa"/>
            </w:tcMar>
            <w:vAlign w:val="center"/>
          </w:tcPr>
          <w:p w14:paraId="039F1281">
            <w:pPr>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项目代码</w:t>
            </w:r>
          </w:p>
        </w:tc>
        <w:tc>
          <w:tcPr>
            <w:tcW w:w="7575" w:type="dxa"/>
            <w:gridSpan w:val="4"/>
            <w:vAlign w:val="center"/>
          </w:tcPr>
          <w:p w14:paraId="23A345F9">
            <w:pPr>
              <w:adjustRightInd w:val="0"/>
              <w:snapToGrid w:val="0"/>
              <w:jc w:val="center"/>
              <w:rPr>
                <w:color w:val="auto"/>
                <w:sz w:val="26"/>
                <w:szCs w:val="26"/>
                <w:highlight w:val="none"/>
              </w:rPr>
            </w:pPr>
            <w:r>
              <w:rPr>
                <w:rFonts w:hint="eastAsia"/>
                <w:color w:val="auto"/>
                <w:sz w:val="26"/>
                <w:szCs w:val="26"/>
                <w:highlight w:val="none"/>
              </w:rPr>
              <w:t>2501-500117-07-02-533192、2501-500117-07-02-789661、2501-500117-04-02-991242</w:t>
            </w:r>
          </w:p>
        </w:tc>
      </w:tr>
      <w:tr w14:paraId="1CDB30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5" w:type="dxa"/>
            <w:tcMar>
              <w:top w:w="16" w:type="dxa"/>
              <w:left w:w="16" w:type="dxa"/>
              <w:right w:w="16" w:type="dxa"/>
            </w:tcMar>
            <w:vAlign w:val="center"/>
          </w:tcPr>
          <w:p w14:paraId="4CEAE467">
            <w:pPr>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建设单位联系人</w:t>
            </w:r>
          </w:p>
        </w:tc>
        <w:tc>
          <w:tcPr>
            <w:tcW w:w="1979" w:type="dxa"/>
            <w:vAlign w:val="center"/>
          </w:tcPr>
          <w:p w14:paraId="1008B9CE">
            <w:pPr>
              <w:adjustRightInd w:val="0"/>
              <w:snapToGrid w:val="0"/>
              <w:jc w:val="center"/>
              <w:rPr>
                <w:color w:val="auto"/>
                <w:sz w:val="26"/>
                <w:szCs w:val="26"/>
                <w:highlight w:val="none"/>
              </w:rPr>
            </w:pPr>
            <w:r>
              <w:rPr>
                <w:rFonts w:hint="eastAsia"/>
                <w:color w:val="auto"/>
                <w:sz w:val="26"/>
                <w:szCs w:val="26"/>
                <w:highlight w:val="none"/>
              </w:rPr>
              <w:t> 蔡晓玉</w:t>
            </w:r>
          </w:p>
        </w:tc>
        <w:tc>
          <w:tcPr>
            <w:tcW w:w="1433" w:type="dxa"/>
            <w:vAlign w:val="center"/>
          </w:tcPr>
          <w:p w14:paraId="16504BD3">
            <w:pPr>
              <w:adjustRightInd w:val="0"/>
              <w:snapToGrid w:val="0"/>
              <w:jc w:val="center"/>
              <w:rPr>
                <w:color w:val="auto"/>
                <w:sz w:val="26"/>
                <w:szCs w:val="26"/>
                <w:highlight w:val="none"/>
              </w:rPr>
            </w:pPr>
            <w:r>
              <w:rPr>
                <w:color w:val="auto"/>
                <w:sz w:val="26"/>
                <w:szCs w:val="26"/>
                <w:highlight w:val="none"/>
              </w:rPr>
              <w:t>联系方式</w:t>
            </w:r>
          </w:p>
        </w:tc>
        <w:tc>
          <w:tcPr>
            <w:tcW w:w="4163" w:type="dxa"/>
            <w:gridSpan w:val="2"/>
            <w:vAlign w:val="center"/>
          </w:tcPr>
          <w:p w14:paraId="6790C5FB">
            <w:pPr>
              <w:adjustRightInd w:val="0"/>
              <w:snapToGrid w:val="0"/>
              <w:jc w:val="center"/>
              <w:rPr>
                <w:color w:val="auto"/>
                <w:sz w:val="26"/>
                <w:szCs w:val="26"/>
                <w:highlight w:val="none"/>
              </w:rPr>
            </w:pPr>
            <w:r>
              <w:rPr>
                <w:rFonts w:hint="eastAsia"/>
                <w:color w:val="auto"/>
                <w:sz w:val="26"/>
                <w:szCs w:val="26"/>
                <w:highlight w:val="none"/>
              </w:rPr>
              <w:t>181</w:t>
            </w:r>
            <w:r>
              <w:rPr>
                <w:rFonts w:hint="eastAsia"/>
                <w:color w:val="auto"/>
                <w:sz w:val="26"/>
                <w:szCs w:val="26"/>
                <w:highlight w:val="none"/>
                <w:lang w:val="en-US" w:eastAsia="zh-CN"/>
              </w:rPr>
              <w:t>XXXX</w:t>
            </w:r>
            <w:r>
              <w:rPr>
                <w:rFonts w:hint="eastAsia"/>
                <w:color w:val="auto"/>
                <w:sz w:val="26"/>
                <w:szCs w:val="26"/>
                <w:highlight w:val="none"/>
              </w:rPr>
              <w:t>7311</w:t>
            </w:r>
          </w:p>
        </w:tc>
      </w:tr>
      <w:tr w14:paraId="124289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5" w:type="dxa"/>
            <w:tcMar>
              <w:top w:w="16" w:type="dxa"/>
              <w:left w:w="16" w:type="dxa"/>
              <w:right w:w="16" w:type="dxa"/>
            </w:tcMar>
            <w:vAlign w:val="center"/>
          </w:tcPr>
          <w:p w14:paraId="571D0473">
            <w:pPr>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建设地点</w:t>
            </w:r>
          </w:p>
        </w:tc>
        <w:tc>
          <w:tcPr>
            <w:tcW w:w="7575" w:type="dxa"/>
            <w:gridSpan w:val="4"/>
            <w:vAlign w:val="center"/>
          </w:tcPr>
          <w:p w14:paraId="1199B488">
            <w:pPr>
              <w:adjustRightInd w:val="0"/>
              <w:snapToGrid w:val="0"/>
              <w:jc w:val="center"/>
              <w:rPr>
                <w:rFonts w:hint="eastAsia" w:ascii="宋体" w:hAnsi="宋体" w:eastAsia="宋体" w:cs="宋体"/>
                <w:color w:val="auto"/>
                <w:sz w:val="26"/>
                <w:szCs w:val="26"/>
                <w:highlight w:val="none"/>
                <w:lang w:eastAsia="zh-CN"/>
              </w:rPr>
            </w:pPr>
            <w:r>
              <w:rPr>
                <w:rFonts w:hint="eastAsia"/>
                <w:color w:val="auto"/>
                <w:sz w:val="26"/>
                <w:szCs w:val="26"/>
                <w:highlight w:val="none"/>
                <w:u w:val="single"/>
              </w:rPr>
              <w:t>重庆</w:t>
            </w:r>
            <w:r>
              <w:rPr>
                <w:rFonts w:hint="eastAsia"/>
                <w:color w:val="auto"/>
                <w:sz w:val="26"/>
                <w:szCs w:val="26"/>
                <w:highlight w:val="none"/>
              </w:rPr>
              <w:t>市</w:t>
            </w:r>
            <w:r>
              <w:rPr>
                <w:rFonts w:hint="eastAsia"/>
                <w:color w:val="auto"/>
                <w:sz w:val="26"/>
                <w:szCs w:val="26"/>
                <w:highlight w:val="none"/>
                <w:u w:val="single"/>
              </w:rPr>
              <w:t>合川</w:t>
            </w:r>
            <w:r>
              <w:rPr>
                <w:rFonts w:hint="eastAsia"/>
                <w:color w:val="auto"/>
                <w:sz w:val="26"/>
                <w:szCs w:val="26"/>
                <w:highlight w:val="none"/>
              </w:rPr>
              <w:t>区</w:t>
            </w:r>
            <w:r>
              <w:rPr>
                <w:rFonts w:hint="eastAsia"/>
                <w:color w:val="auto"/>
                <w:sz w:val="26"/>
                <w:szCs w:val="26"/>
                <w:highlight w:val="none"/>
                <w:u w:val="single"/>
              </w:rPr>
              <w:t>土场</w:t>
            </w:r>
            <w:r>
              <w:rPr>
                <w:rFonts w:hint="eastAsia"/>
                <w:color w:val="auto"/>
                <w:sz w:val="26"/>
                <w:szCs w:val="26"/>
                <w:highlight w:val="none"/>
              </w:rPr>
              <w:t>镇</w:t>
            </w:r>
            <w:r>
              <w:rPr>
                <w:rFonts w:hint="eastAsia"/>
                <w:color w:val="auto"/>
                <w:sz w:val="26"/>
                <w:szCs w:val="26"/>
                <w:highlight w:val="none"/>
                <w:u w:val="single"/>
                <w:lang w:eastAsia="zh-CN"/>
              </w:rPr>
              <w:t>前石路4号</w:t>
            </w:r>
          </w:p>
        </w:tc>
      </w:tr>
      <w:tr w14:paraId="7783CC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5" w:type="dxa"/>
            <w:tcMar>
              <w:top w:w="16" w:type="dxa"/>
              <w:left w:w="16" w:type="dxa"/>
              <w:right w:w="16" w:type="dxa"/>
            </w:tcMar>
            <w:vAlign w:val="center"/>
          </w:tcPr>
          <w:p w14:paraId="6AD87125">
            <w:pPr>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地理坐标</w:t>
            </w:r>
          </w:p>
        </w:tc>
        <w:tc>
          <w:tcPr>
            <w:tcW w:w="7575" w:type="dxa"/>
            <w:gridSpan w:val="4"/>
            <w:vAlign w:val="center"/>
          </w:tcPr>
          <w:p w14:paraId="29F0531D">
            <w:pPr>
              <w:jc w:val="center"/>
              <w:rPr>
                <w:color w:val="auto"/>
                <w:sz w:val="26"/>
                <w:szCs w:val="26"/>
                <w:highlight w:val="none"/>
              </w:rPr>
            </w:pPr>
            <w:r>
              <w:rPr>
                <w:color w:val="auto"/>
                <w:sz w:val="26"/>
                <w:szCs w:val="26"/>
                <w:highlight w:val="none"/>
              </w:rPr>
              <w:t>（</w:t>
            </w:r>
            <w:r>
              <w:rPr>
                <w:color w:val="auto"/>
                <w:sz w:val="26"/>
                <w:szCs w:val="26"/>
                <w:highlight w:val="none"/>
                <w:u w:val="single"/>
              </w:rPr>
              <w:t>106</w:t>
            </w:r>
            <w:r>
              <w:rPr>
                <w:color w:val="auto"/>
                <w:sz w:val="26"/>
                <w:szCs w:val="26"/>
                <w:highlight w:val="none"/>
              </w:rPr>
              <w:t>度</w:t>
            </w:r>
            <w:r>
              <w:rPr>
                <w:color w:val="auto"/>
                <w:sz w:val="26"/>
                <w:szCs w:val="26"/>
                <w:highlight w:val="none"/>
                <w:u w:val="single"/>
              </w:rPr>
              <w:t>2</w:t>
            </w:r>
            <w:r>
              <w:rPr>
                <w:rFonts w:hint="eastAsia"/>
                <w:color w:val="auto"/>
                <w:sz w:val="26"/>
                <w:szCs w:val="26"/>
                <w:highlight w:val="none"/>
                <w:u w:val="single"/>
              </w:rPr>
              <w:t>7</w:t>
            </w:r>
            <w:r>
              <w:rPr>
                <w:color w:val="auto"/>
                <w:sz w:val="26"/>
                <w:szCs w:val="26"/>
                <w:highlight w:val="none"/>
              </w:rPr>
              <w:t>分</w:t>
            </w:r>
            <w:r>
              <w:rPr>
                <w:rFonts w:hint="eastAsia"/>
                <w:color w:val="auto"/>
                <w:sz w:val="26"/>
                <w:szCs w:val="26"/>
                <w:highlight w:val="none"/>
                <w:u w:val="single"/>
                <w:lang w:val="en-US" w:eastAsia="zh-CN"/>
              </w:rPr>
              <w:t>XXX</w:t>
            </w:r>
            <w:r>
              <w:rPr>
                <w:color w:val="auto"/>
                <w:sz w:val="26"/>
                <w:szCs w:val="26"/>
                <w:highlight w:val="none"/>
              </w:rPr>
              <w:t>秒，</w:t>
            </w:r>
            <w:r>
              <w:rPr>
                <w:color w:val="auto"/>
                <w:sz w:val="26"/>
                <w:szCs w:val="26"/>
                <w:highlight w:val="none"/>
                <w:u w:val="single"/>
              </w:rPr>
              <w:t>29</w:t>
            </w:r>
            <w:r>
              <w:rPr>
                <w:color w:val="auto"/>
                <w:sz w:val="26"/>
                <w:szCs w:val="26"/>
                <w:highlight w:val="none"/>
              </w:rPr>
              <w:t>度</w:t>
            </w:r>
            <w:r>
              <w:rPr>
                <w:rFonts w:hint="eastAsia"/>
                <w:color w:val="auto"/>
                <w:sz w:val="26"/>
                <w:szCs w:val="26"/>
                <w:highlight w:val="none"/>
                <w:u w:val="single"/>
              </w:rPr>
              <w:t>53</w:t>
            </w:r>
            <w:r>
              <w:rPr>
                <w:color w:val="auto"/>
                <w:sz w:val="26"/>
                <w:szCs w:val="26"/>
                <w:highlight w:val="none"/>
              </w:rPr>
              <w:t>分</w:t>
            </w:r>
            <w:r>
              <w:rPr>
                <w:rFonts w:hint="eastAsia"/>
                <w:color w:val="auto"/>
                <w:sz w:val="26"/>
                <w:szCs w:val="26"/>
                <w:highlight w:val="none"/>
                <w:u w:val="single"/>
                <w:lang w:val="en-US" w:eastAsia="zh-CN"/>
              </w:rPr>
              <w:t>XXX</w:t>
            </w:r>
            <w:r>
              <w:rPr>
                <w:color w:val="auto"/>
                <w:sz w:val="26"/>
                <w:szCs w:val="26"/>
                <w:highlight w:val="none"/>
              </w:rPr>
              <w:t>秒）</w:t>
            </w:r>
          </w:p>
        </w:tc>
      </w:tr>
      <w:tr w14:paraId="13C587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3" w:hRule="atLeast"/>
          <w:jc w:val="center"/>
        </w:trPr>
        <w:tc>
          <w:tcPr>
            <w:tcW w:w="1295" w:type="dxa"/>
            <w:tcMar>
              <w:top w:w="16" w:type="dxa"/>
              <w:left w:w="16" w:type="dxa"/>
              <w:right w:w="16" w:type="dxa"/>
            </w:tcMar>
            <w:vAlign w:val="center"/>
          </w:tcPr>
          <w:p w14:paraId="0907AC68">
            <w:pPr>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国民经济</w:t>
            </w:r>
          </w:p>
          <w:p w14:paraId="707CD750">
            <w:pPr>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行业类别</w:t>
            </w:r>
          </w:p>
        </w:tc>
        <w:tc>
          <w:tcPr>
            <w:tcW w:w="1979" w:type="dxa"/>
            <w:vAlign w:val="center"/>
          </w:tcPr>
          <w:p w14:paraId="050A486A">
            <w:pPr>
              <w:adjustRightInd w:val="0"/>
              <w:snapToGrid w:val="0"/>
              <w:rPr>
                <w:color w:val="auto"/>
                <w:sz w:val="24"/>
                <w:highlight w:val="none"/>
              </w:rPr>
            </w:pPr>
            <w:r>
              <w:rPr>
                <w:rFonts w:hint="eastAsia"/>
                <w:color w:val="auto"/>
                <w:sz w:val="26"/>
                <w:szCs w:val="26"/>
                <w:highlight w:val="none"/>
              </w:rPr>
              <w:t>C</w:t>
            </w:r>
            <w:r>
              <w:rPr>
                <w:rFonts w:hint="eastAsia"/>
                <w:color w:val="auto"/>
                <w:sz w:val="24"/>
                <w:highlight w:val="none"/>
              </w:rPr>
              <w:t>3670 汽车零部件及配件制造</w:t>
            </w:r>
          </w:p>
        </w:tc>
        <w:tc>
          <w:tcPr>
            <w:tcW w:w="1433" w:type="dxa"/>
            <w:vAlign w:val="center"/>
          </w:tcPr>
          <w:p w14:paraId="26DD8926">
            <w:pPr>
              <w:adjustRightInd w:val="0"/>
              <w:snapToGrid w:val="0"/>
              <w:jc w:val="center"/>
              <w:rPr>
                <w:rFonts w:ascii="宋体" w:hAnsi="宋体" w:cs="宋体"/>
                <w:color w:val="auto"/>
                <w:sz w:val="26"/>
                <w:szCs w:val="26"/>
                <w:highlight w:val="none"/>
              </w:rPr>
            </w:pPr>
            <w:bookmarkStart w:id="0" w:name="_Hlk49843745"/>
            <w:r>
              <w:rPr>
                <w:rFonts w:hint="eastAsia" w:ascii="宋体" w:hAnsi="宋体" w:cs="宋体"/>
                <w:color w:val="auto"/>
                <w:sz w:val="26"/>
                <w:szCs w:val="26"/>
                <w:highlight w:val="none"/>
              </w:rPr>
              <w:t>建设项目</w:t>
            </w:r>
          </w:p>
          <w:p w14:paraId="63C5981A">
            <w:pPr>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行业类别</w:t>
            </w:r>
            <w:bookmarkEnd w:id="0"/>
          </w:p>
        </w:tc>
        <w:tc>
          <w:tcPr>
            <w:tcW w:w="4163" w:type="dxa"/>
            <w:gridSpan w:val="2"/>
            <w:vAlign w:val="center"/>
          </w:tcPr>
          <w:p w14:paraId="047D5B35">
            <w:pPr>
              <w:adjustRightInd w:val="0"/>
              <w:snapToGrid w:val="0"/>
              <w:ind w:left="-10" w:leftChars="-5" w:right="-10" w:rightChars="-5"/>
              <w:rPr>
                <w:color w:val="auto"/>
                <w:sz w:val="26"/>
                <w:szCs w:val="26"/>
                <w:highlight w:val="none"/>
              </w:rPr>
            </w:pPr>
            <w:r>
              <w:rPr>
                <w:rFonts w:hint="eastAsia"/>
                <w:color w:val="auto"/>
                <w:spacing w:val="-4"/>
                <w:sz w:val="24"/>
                <w:highlight w:val="none"/>
              </w:rPr>
              <w:t>三十三、汽车制造业36</w:t>
            </w:r>
            <w:r>
              <w:rPr>
                <w:color w:val="auto"/>
                <w:spacing w:val="-4"/>
                <w:sz w:val="24"/>
                <w:highlight w:val="none"/>
              </w:rPr>
              <w:t xml:space="preserve"> </w:t>
            </w:r>
            <w:r>
              <w:rPr>
                <w:rFonts w:hint="eastAsia"/>
                <w:color w:val="auto"/>
                <w:spacing w:val="-4"/>
                <w:sz w:val="24"/>
                <w:highlight w:val="none"/>
              </w:rPr>
              <w:t>汽车零部件及配件制造367 中其他（年用非溶剂型低VOCs含量涂料10吨以下的除外）；</w:t>
            </w:r>
          </w:p>
        </w:tc>
      </w:tr>
      <w:tr w14:paraId="71EE92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95" w:type="dxa"/>
            <w:tcMar>
              <w:top w:w="16" w:type="dxa"/>
              <w:left w:w="16" w:type="dxa"/>
              <w:right w:w="16" w:type="dxa"/>
            </w:tcMar>
            <w:vAlign w:val="center"/>
          </w:tcPr>
          <w:p w14:paraId="4E8320AC">
            <w:pPr>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建设性质</w:t>
            </w:r>
          </w:p>
        </w:tc>
        <w:tc>
          <w:tcPr>
            <w:tcW w:w="1979" w:type="dxa"/>
            <w:vAlign w:val="center"/>
          </w:tcPr>
          <w:p w14:paraId="5C67E1A4">
            <w:pPr>
              <w:jc w:val="left"/>
              <w:rPr>
                <w:rFonts w:ascii="宋体" w:hAnsi="宋体" w:cs="宋体"/>
                <w:color w:val="auto"/>
                <w:sz w:val="26"/>
                <w:szCs w:val="26"/>
                <w:highlight w:val="none"/>
              </w:rPr>
            </w:pPr>
            <w:r>
              <w:rPr>
                <w:color w:val="auto"/>
                <w:sz w:val="26"/>
                <w:szCs w:val="26"/>
                <w:highlight w:val="none"/>
              </w:rPr>
              <w:sym w:font="Wingdings 2" w:char="00A3"/>
            </w:r>
            <w:r>
              <w:rPr>
                <w:rFonts w:hint="eastAsia" w:ascii="宋体" w:hAnsi="宋体" w:cs="宋体"/>
                <w:color w:val="auto"/>
                <w:sz w:val="26"/>
                <w:szCs w:val="26"/>
                <w:highlight w:val="none"/>
              </w:rPr>
              <w:t>新建（迁建）</w:t>
            </w:r>
          </w:p>
          <w:p w14:paraId="5F952751">
            <w:pPr>
              <w:jc w:val="left"/>
              <w:rPr>
                <w:rFonts w:ascii="宋体" w:hAnsi="宋体" w:cs="宋体"/>
                <w:color w:val="auto"/>
                <w:sz w:val="26"/>
                <w:szCs w:val="26"/>
                <w:highlight w:val="none"/>
              </w:rPr>
            </w:pPr>
            <w:r>
              <w:rPr>
                <w:rFonts w:hint="eastAsia" w:ascii="宋体" w:hAnsi="宋体" w:cs="宋体"/>
                <w:color w:val="auto"/>
                <w:sz w:val="26"/>
                <w:szCs w:val="26"/>
                <w:highlight w:val="none"/>
              </w:rPr>
              <w:t xml:space="preserve">□改建 </w:t>
            </w:r>
          </w:p>
          <w:p w14:paraId="106B14F1">
            <w:pPr>
              <w:jc w:val="left"/>
              <w:rPr>
                <w:rFonts w:ascii="宋体" w:hAnsi="宋体" w:cs="宋体"/>
                <w:color w:val="auto"/>
                <w:sz w:val="26"/>
                <w:szCs w:val="26"/>
                <w:highlight w:val="none"/>
              </w:rPr>
            </w:pPr>
            <w:r>
              <w:rPr>
                <w:rFonts w:hint="eastAsia" w:ascii="宋体" w:hAnsi="宋体" w:cs="宋体"/>
                <w:color w:val="auto"/>
                <w:sz w:val="26"/>
                <w:szCs w:val="26"/>
                <w:highlight w:val="none"/>
              </w:rPr>
              <w:t>□扩建</w:t>
            </w:r>
          </w:p>
          <w:p w14:paraId="7554240F">
            <w:pPr>
              <w:jc w:val="left"/>
              <w:rPr>
                <w:rFonts w:ascii="宋体" w:hAnsi="宋体" w:cs="宋体"/>
                <w:color w:val="auto"/>
                <w:sz w:val="26"/>
                <w:szCs w:val="26"/>
                <w:highlight w:val="none"/>
              </w:rPr>
            </w:pPr>
            <w:r>
              <w:rPr>
                <w:rFonts w:hint="eastAsia" w:ascii="宋体" w:hAnsi="宋体" w:cs="宋体"/>
                <w:color w:val="auto"/>
                <w:sz w:val="26"/>
                <w:szCs w:val="26"/>
                <w:highlight w:val="none"/>
              </w:rPr>
              <w:t>☑技术改造</w:t>
            </w:r>
          </w:p>
        </w:tc>
        <w:tc>
          <w:tcPr>
            <w:tcW w:w="1433" w:type="dxa"/>
            <w:vAlign w:val="center"/>
          </w:tcPr>
          <w:p w14:paraId="2BF6E8F3">
            <w:pPr>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建设项目</w:t>
            </w:r>
          </w:p>
          <w:p w14:paraId="4622448F">
            <w:pPr>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申报情形</w:t>
            </w:r>
          </w:p>
        </w:tc>
        <w:tc>
          <w:tcPr>
            <w:tcW w:w="4163" w:type="dxa"/>
            <w:gridSpan w:val="2"/>
            <w:vAlign w:val="center"/>
          </w:tcPr>
          <w:p w14:paraId="078805BE">
            <w:pPr>
              <w:jc w:val="left"/>
              <w:rPr>
                <w:rFonts w:ascii="宋体" w:hAnsi="宋体" w:cs="宋体"/>
                <w:color w:val="auto"/>
                <w:sz w:val="26"/>
                <w:szCs w:val="26"/>
                <w:highlight w:val="none"/>
              </w:rPr>
            </w:pPr>
            <w:r>
              <w:rPr>
                <w:color w:val="auto"/>
                <w:sz w:val="26"/>
                <w:szCs w:val="26"/>
                <w:highlight w:val="none"/>
              </w:rPr>
              <w:sym w:font="Wingdings 2" w:char="F052"/>
            </w:r>
            <w:r>
              <w:rPr>
                <w:rFonts w:hint="eastAsia" w:ascii="宋体" w:hAnsi="宋体" w:cs="宋体"/>
                <w:color w:val="auto"/>
                <w:sz w:val="26"/>
                <w:szCs w:val="26"/>
                <w:highlight w:val="none"/>
              </w:rPr>
              <w:t>首次申报项目</w:t>
            </w:r>
          </w:p>
          <w:p w14:paraId="59588A8B">
            <w:pPr>
              <w:jc w:val="left"/>
              <w:rPr>
                <w:rFonts w:ascii="宋体" w:hAnsi="宋体" w:cs="宋体"/>
                <w:color w:val="auto"/>
                <w:sz w:val="26"/>
                <w:szCs w:val="26"/>
                <w:highlight w:val="none"/>
              </w:rPr>
            </w:pPr>
            <w:r>
              <w:rPr>
                <w:rFonts w:hint="eastAsia" w:ascii="宋体" w:hAnsi="宋体" w:cs="宋体"/>
                <w:color w:val="auto"/>
                <w:sz w:val="26"/>
                <w:szCs w:val="26"/>
                <w:highlight w:val="none"/>
              </w:rPr>
              <w:t>□不予批准后再次申报项目</w:t>
            </w:r>
          </w:p>
          <w:p w14:paraId="320AE289">
            <w:pPr>
              <w:jc w:val="left"/>
              <w:rPr>
                <w:rFonts w:ascii="宋体" w:hAnsi="宋体" w:cs="宋体"/>
                <w:color w:val="auto"/>
                <w:sz w:val="26"/>
                <w:szCs w:val="26"/>
                <w:highlight w:val="none"/>
              </w:rPr>
            </w:pPr>
            <w:r>
              <w:rPr>
                <w:rFonts w:hint="eastAsia" w:ascii="宋体" w:hAnsi="宋体" w:cs="宋体"/>
                <w:color w:val="auto"/>
                <w:sz w:val="26"/>
                <w:szCs w:val="26"/>
                <w:highlight w:val="none"/>
              </w:rPr>
              <w:sym w:font="Wingdings 2" w:char="00A3"/>
            </w:r>
            <w:bookmarkStart w:id="1" w:name="hmcheck_fab5c3895b3943dcbbb5fa1c8dc38521"/>
            <w:r>
              <w:rPr>
                <w:rFonts w:hint="eastAsia" w:ascii="宋体" w:hAnsi="宋体" w:cs="宋体"/>
                <w:color w:val="auto"/>
                <w:sz w:val="26"/>
                <w:szCs w:val="26"/>
                <w:highlight w:val="none"/>
                <w:shd w:val="clear" w:fill="FFAFAA"/>
              </w:rPr>
              <w:t>超</w:t>
            </w:r>
            <w:bookmarkEnd w:id="1"/>
            <w:r>
              <w:rPr>
                <w:rFonts w:hint="eastAsia" w:ascii="宋体" w:hAnsi="宋体" w:cs="宋体"/>
                <w:color w:val="auto"/>
                <w:sz w:val="26"/>
                <w:szCs w:val="26"/>
                <w:highlight w:val="none"/>
              </w:rPr>
              <w:t>五年重新审核项目</w:t>
            </w:r>
          </w:p>
          <w:p w14:paraId="315AEECD">
            <w:pPr>
              <w:jc w:val="left"/>
              <w:rPr>
                <w:rFonts w:ascii="宋体" w:hAnsi="宋体" w:cs="宋体"/>
                <w:color w:val="auto"/>
                <w:sz w:val="26"/>
                <w:szCs w:val="26"/>
                <w:highlight w:val="none"/>
              </w:rPr>
            </w:pPr>
            <w:r>
              <w:rPr>
                <w:rFonts w:hint="eastAsia" w:ascii="宋体" w:hAnsi="宋体" w:cs="宋体"/>
                <w:color w:val="auto"/>
                <w:sz w:val="26"/>
                <w:szCs w:val="26"/>
                <w:highlight w:val="none"/>
              </w:rPr>
              <w:t>□重大变动重新报批项目</w:t>
            </w:r>
          </w:p>
        </w:tc>
      </w:tr>
      <w:tr w14:paraId="62592C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295" w:type="dxa"/>
            <w:tcMar>
              <w:top w:w="16" w:type="dxa"/>
              <w:left w:w="16" w:type="dxa"/>
              <w:right w:w="16" w:type="dxa"/>
            </w:tcMar>
            <w:vAlign w:val="center"/>
          </w:tcPr>
          <w:p w14:paraId="26DD6CC6">
            <w:pPr>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项目审批（核准</w:t>
            </w:r>
            <w:r>
              <w:rPr>
                <w:rFonts w:ascii="宋体" w:hAnsi="宋体" w:cs="宋体"/>
                <w:color w:val="auto"/>
                <w:sz w:val="26"/>
                <w:szCs w:val="26"/>
                <w:highlight w:val="none"/>
              </w:rPr>
              <w:t>/</w:t>
            </w:r>
            <w:r>
              <w:rPr>
                <w:rFonts w:hint="eastAsia" w:ascii="宋体" w:hAnsi="宋体" w:cs="宋体"/>
                <w:color w:val="auto"/>
                <w:sz w:val="26"/>
                <w:szCs w:val="26"/>
                <w:highlight w:val="none"/>
              </w:rPr>
              <w:t>备案）部门（选填）</w:t>
            </w:r>
          </w:p>
        </w:tc>
        <w:tc>
          <w:tcPr>
            <w:tcW w:w="1979" w:type="dxa"/>
            <w:vAlign w:val="center"/>
          </w:tcPr>
          <w:p w14:paraId="7AD26534">
            <w:pPr>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合川区经济和信息化委员会</w:t>
            </w:r>
          </w:p>
        </w:tc>
        <w:tc>
          <w:tcPr>
            <w:tcW w:w="1433" w:type="dxa"/>
            <w:vAlign w:val="center"/>
          </w:tcPr>
          <w:p w14:paraId="7A70EC36">
            <w:pPr>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项目审批（核准</w:t>
            </w:r>
            <w:r>
              <w:rPr>
                <w:rFonts w:ascii="宋体" w:hAnsi="宋体" w:cs="宋体"/>
                <w:color w:val="auto"/>
                <w:sz w:val="26"/>
                <w:szCs w:val="26"/>
                <w:highlight w:val="none"/>
              </w:rPr>
              <w:t>/</w:t>
            </w:r>
            <w:r>
              <w:rPr>
                <w:rFonts w:hint="eastAsia" w:ascii="宋体" w:hAnsi="宋体" w:cs="宋体"/>
                <w:color w:val="auto"/>
                <w:sz w:val="26"/>
                <w:szCs w:val="26"/>
                <w:highlight w:val="none"/>
              </w:rPr>
              <w:t>备案）文号（选填）</w:t>
            </w:r>
          </w:p>
        </w:tc>
        <w:tc>
          <w:tcPr>
            <w:tcW w:w="4163" w:type="dxa"/>
            <w:gridSpan w:val="2"/>
            <w:vAlign w:val="center"/>
          </w:tcPr>
          <w:p w14:paraId="0ABBC02F">
            <w:pPr>
              <w:adjustRightInd w:val="0"/>
              <w:snapToGrid w:val="0"/>
              <w:jc w:val="center"/>
              <w:rPr>
                <w:rFonts w:ascii="宋体" w:hAnsi="宋体" w:cs="宋体"/>
                <w:color w:val="auto"/>
                <w:sz w:val="26"/>
                <w:szCs w:val="26"/>
                <w:highlight w:val="none"/>
              </w:rPr>
            </w:pPr>
            <w:r>
              <w:rPr>
                <w:rFonts w:hint="eastAsia"/>
                <w:color w:val="auto"/>
                <w:sz w:val="26"/>
                <w:szCs w:val="26"/>
                <w:highlight w:val="none"/>
              </w:rPr>
              <w:t>2501-500117-07-02-533192、2501-500117-07-02-789661、2501-500117-04-02-991242</w:t>
            </w:r>
          </w:p>
        </w:tc>
      </w:tr>
      <w:tr w14:paraId="52C5E8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5" w:type="dxa"/>
            <w:tcMar>
              <w:top w:w="16" w:type="dxa"/>
              <w:left w:w="16" w:type="dxa"/>
              <w:right w:w="16" w:type="dxa"/>
            </w:tcMar>
            <w:vAlign w:val="center"/>
          </w:tcPr>
          <w:p w14:paraId="4B250206">
            <w:pPr>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总投资</w:t>
            </w:r>
          </w:p>
          <w:p w14:paraId="2E3F7DC6">
            <w:pPr>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（万元）</w:t>
            </w:r>
          </w:p>
        </w:tc>
        <w:tc>
          <w:tcPr>
            <w:tcW w:w="1979" w:type="dxa"/>
            <w:vAlign w:val="center"/>
          </w:tcPr>
          <w:p w14:paraId="590CC5E3">
            <w:pPr>
              <w:adjustRightInd w:val="0"/>
              <w:snapToGrid w:val="0"/>
              <w:jc w:val="center"/>
              <w:rPr>
                <w:color w:val="auto"/>
                <w:sz w:val="26"/>
                <w:szCs w:val="26"/>
                <w:highlight w:val="none"/>
              </w:rPr>
            </w:pPr>
            <w:r>
              <w:rPr>
                <w:rFonts w:hint="eastAsia"/>
                <w:color w:val="auto"/>
                <w:sz w:val="26"/>
                <w:szCs w:val="26"/>
                <w:highlight w:val="none"/>
              </w:rPr>
              <w:t>3500.00</w:t>
            </w:r>
          </w:p>
        </w:tc>
        <w:tc>
          <w:tcPr>
            <w:tcW w:w="1433" w:type="dxa"/>
            <w:tcMar>
              <w:top w:w="16" w:type="dxa"/>
              <w:left w:w="16" w:type="dxa"/>
              <w:right w:w="16" w:type="dxa"/>
            </w:tcMar>
            <w:vAlign w:val="center"/>
          </w:tcPr>
          <w:p w14:paraId="245CDFE3">
            <w:pPr>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环保投资（万元）</w:t>
            </w:r>
          </w:p>
        </w:tc>
        <w:tc>
          <w:tcPr>
            <w:tcW w:w="4163" w:type="dxa"/>
            <w:gridSpan w:val="2"/>
            <w:vAlign w:val="center"/>
          </w:tcPr>
          <w:p w14:paraId="72AE47C7">
            <w:pPr>
              <w:adjustRightInd w:val="0"/>
              <w:snapToGrid w:val="0"/>
              <w:jc w:val="center"/>
              <w:rPr>
                <w:color w:val="auto"/>
                <w:sz w:val="26"/>
                <w:szCs w:val="26"/>
                <w:highlight w:val="none"/>
              </w:rPr>
            </w:pPr>
            <w:r>
              <w:rPr>
                <w:rFonts w:hint="eastAsia"/>
                <w:color w:val="auto"/>
                <w:sz w:val="26"/>
                <w:szCs w:val="26"/>
                <w:highlight w:val="none"/>
              </w:rPr>
              <w:t>50.00</w:t>
            </w:r>
          </w:p>
        </w:tc>
      </w:tr>
      <w:tr w14:paraId="20DAF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5" w:type="dxa"/>
            <w:tcMar>
              <w:top w:w="16" w:type="dxa"/>
              <w:left w:w="16" w:type="dxa"/>
              <w:right w:w="16" w:type="dxa"/>
            </w:tcMar>
            <w:vAlign w:val="center"/>
          </w:tcPr>
          <w:p w14:paraId="6C158E1B">
            <w:pPr>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环保投资占比（</w:t>
            </w:r>
            <w:r>
              <w:rPr>
                <w:rFonts w:ascii="宋体" w:hAnsi="宋体" w:cs="宋体"/>
                <w:color w:val="auto"/>
                <w:sz w:val="26"/>
                <w:szCs w:val="26"/>
                <w:highlight w:val="none"/>
              </w:rPr>
              <w:t>%</w:t>
            </w:r>
            <w:r>
              <w:rPr>
                <w:rFonts w:hint="eastAsia" w:ascii="宋体" w:hAnsi="宋体" w:cs="宋体"/>
                <w:color w:val="auto"/>
                <w:sz w:val="26"/>
                <w:szCs w:val="26"/>
                <w:highlight w:val="none"/>
              </w:rPr>
              <w:t>）</w:t>
            </w:r>
          </w:p>
        </w:tc>
        <w:tc>
          <w:tcPr>
            <w:tcW w:w="1979" w:type="dxa"/>
            <w:vAlign w:val="center"/>
          </w:tcPr>
          <w:p w14:paraId="68A6C8AD">
            <w:pPr>
              <w:adjustRightInd w:val="0"/>
              <w:snapToGrid w:val="0"/>
              <w:jc w:val="center"/>
              <w:rPr>
                <w:color w:val="auto"/>
                <w:sz w:val="26"/>
                <w:szCs w:val="26"/>
                <w:highlight w:val="none"/>
              </w:rPr>
            </w:pPr>
            <w:r>
              <w:rPr>
                <w:color w:val="auto"/>
                <w:sz w:val="26"/>
                <w:szCs w:val="26"/>
                <w:highlight w:val="none"/>
              </w:rPr>
              <w:t>1.</w:t>
            </w:r>
            <w:r>
              <w:rPr>
                <w:rFonts w:hint="eastAsia"/>
                <w:color w:val="auto"/>
                <w:sz w:val="26"/>
                <w:szCs w:val="26"/>
                <w:highlight w:val="none"/>
              </w:rPr>
              <w:t>4</w:t>
            </w:r>
          </w:p>
        </w:tc>
        <w:tc>
          <w:tcPr>
            <w:tcW w:w="1433" w:type="dxa"/>
            <w:tcMar>
              <w:top w:w="16" w:type="dxa"/>
              <w:left w:w="16" w:type="dxa"/>
              <w:right w:w="16" w:type="dxa"/>
            </w:tcMar>
            <w:vAlign w:val="center"/>
          </w:tcPr>
          <w:p w14:paraId="5B812AFF">
            <w:pPr>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施工工期</w:t>
            </w:r>
          </w:p>
        </w:tc>
        <w:tc>
          <w:tcPr>
            <w:tcW w:w="4163" w:type="dxa"/>
            <w:gridSpan w:val="2"/>
            <w:vAlign w:val="center"/>
          </w:tcPr>
          <w:p w14:paraId="28491A18">
            <w:pPr>
              <w:adjustRightInd w:val="0"/>
              <w:snapToGrid w:val="0"/>
              <w:jc w:val="center"/>
              <w:rPr>
                <w:color w:val="auto"/>
                <w:sz w:val="26"/>
                <w:szCs w:val="26"/>
                <w:highlight w:val="none"/>
              </w:rPr>
            </w:pPr>
            <w:r>
              <w:rPr>
                <w:rFonts w:hint="eastAsia"/>
                <w:color w:val="auto"/>
                <w:sz w:val="26"/>
                <w:szCs w:val="26"/>
                <w:highlight w:val="none"/>
              </w:rPr>
              <w:t>23个</w:t>
            </w:r>
            <w:r>
              <w:rPr>
                <w:color w:val="auto"/>
                <w:sz w:val="26"/>
                <w:szCs w:val="26"/>
                <w:highlight w:val="none"/>
              </w:rPr>
              <w:t>月</w:t>
            </w:r>
          </w:p>
        </w:tc>
      </w:tr>
      <w:tr w14:paraId="2B07F9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5" w:type="dxa"/>
            <w:tcMar>
              <w:top w:w="16" w:type="dxa"/>
              <w:left w:w="16" w:type="dxa"/>
              <w:right w:w="16" w:type="dxa"/>
            </w:tcMar>
            <w:vAlign w:val="center"/>
          </w:tcPr>
          <w:p w14:paraId="5628A8BA">
            <w:pPr>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是否开工建设</w:t>
            </w:r>
          </w:p>
        </w:tc>
        <w:tc>
          <w:tcPr>
            <w:tcW w:w="1979" w:type="dxa"/>
            <w:vAlign w:val="center"/>
          </w:tcPr>
          <w:p w14:paraId="218FE913">
            <w:pPr>
              <w:adjustRightInd w:val="0"/>
              <w:snapToGrid w:val="0"/>
              <w:rPr>
                <w:rFonts w:ascii="宋体" w:hAnsi="宋体" w:cs="宋体"/>
                <w:color w:val="auto"/>
                <w:sz w:val="26"/>
                <w:szCs w:val="26"/>
                <w:highlight w:val="none"/>
              </w:rPr>
            </w:pPr>
            <w:r>
              <w:rPr>
                <w:color w:val="auto"/>
                <w:sz w:val="26"/>
                <w:szCs w:val="26"/>
                <w:highlight w:val="none"/>
              </w:rPr>
              <w:sym w:font="Wingdings 2" w:char="F052"/>
            </w:r>
            <w:r>
              <w:rPr>
                <w:rFonts w:hint="eastAsia" w:ascii="宋体" w:hAnsi="宋体" w:cs="宋体"/>
                <w:color w:val="auto"/>
                <w:sz w:val="26"/>
                <w:szCs w:val="26"/>
                <w:highlight w:val="none"/>
              </w:rPr>
              <w:t>否</w:t>
            </w:r>
          </w:p>
          <w:p w14:paraId="4806FCC5">
            <w:pPr>
              <w:adjustRightInd w:val="0"/>
              <w:snapToGrid w:val="0"/>
              <w:rPr>
                <w:rFonts w:ascii="宋体" w:hAnsi="宋体" w:cs="宋体"/>
                <w:color w:val="auto"/>
                <w:sz w:val="26"/>
                <w:szCs w:val="26"/>
                <w:highlight w:val="none"/>
              </w:rPr>
            </w:pPr>
            <w:r>
              <w:rPr>
                <w:rFonts w:hint="eastAsia" w:ascii="宋体" w:hAnsi="宋体" w:cs="宋体"/>
                <w:color w:val="auto"/>
                <w:sz w:val="26"/>
                <w:szCs w:val="26"/>
                <w:highlight w:val="none"/>
              </w:rPr>
              <w:sym w:font="Wingdings 2" w:char="00A3"/>
            </w:r>
            <w:r>
              <w:rPr>
                <w:rFonts w:hint="eastAsia" w:ascii="宋体" w:hAnsi="宋体" w:cs="宋体"/>
                <w:color w:val="auto"/>
                <w:sz w:val="26"/>
                <w:szCs w:val="26"/>
                <w:highlight w:val="none"/>
              </w:rPr>
              <w:t>是：</w:t>
            </w:r>
            <w:r>
              <w:rPr>
                <w:rFonts w:hint="eastAsia" w:ascii="宋体" w:hAnsi="宋体" w:cs="宋体"/>
                <w:color w:val="auto"/>
                <w:sz w:val="26"/>
                <w:szCs w:val="26"/>
                <w:highlight w:val="none"/>
                <w:u w:val="single"/>
              </w:rPr>
              <w:t xml:space="preserve">             </w:t>
            </w:r>
          </w:p>
        </w:tc>
        <w:tc>
          <w:tcPr>
            <w:tcW w:w="1433" w:type="dxa"/>
            <w:tcMar>
              <w:top w:w="16" w:type="dxa"/>
              <w:left w:w="16" w:type="dxa"/>
              <w:right w:w="16" w:type="dxa"/>
            </w:tcMar>
            <w:vAlign w:val="center"/>
          </w:tcPr>
          <w:p w14:paraId="628AF785">
            <w:pPr>
              <w:adjustRightInd w:val="0"/>
              <w:snapToGrid w:val="0"/>
              <w:jc w:val="center"/>
              <w:rPr>
                <w:rFonts w:ascii="宋体" w:hAnsi="宋体" w:cs="宋体"/>
                <w:color w:val="auto"/>
                <w:spacing w:val="-6"/>
                <w:sz w:val="26"/>
                <w:szCs w:val="26"/>
                <w:highlight w:val="none"/>
              </w:rPr>
            </w:pPr>
            <w:r>
              <w:rPr>
                <w:rFonts w:hint="eastAsia" w:ascii="宋体" w:hAnsi="宋体" w:cs="宋体"/>
                <w:color w:val="auto"/>
                <w:spacing w:val="-6"/>
                <w:sz w:val="26"/>
                <w:szCs w:val="26"/>
                <w:highlight w:val="none"/>
              </w:rPr>
              <w:t>用地（用海）</w:t>
            </w:r>
          </w:p>
          <w:p w14:paraId="620B87CD">
            <w:pPr>
              <w:adjustRightInd w:val="0"/>
              <w:snapToGrid w:val="0"/>
              <w:jc w:val="center"/>
              <w:rPr>
                <w:rFonts w:ascii="宋体" w:hAnsi="宋体" w:cs="宋体"/>
                <w:color w:val="auto"/>
                <w:sz w:val="26"/>
                <w:szCs w:val="26"/>
                <w:highlight w:val="none"/>
              </w:rPr>
            </w:pPr>
            <w:r>
              <w:rPr>
                <w:rFonts w:hint="eastAsia" w:ascii="宋体" w:hAnsi="宋体" w:cs="宋体"/>
                <w:color w:val="auto"/>
                <w:spacing w:val="-6"/>
                <w:sz w:val="26"/>
                <w:szCs w:val="26"/>
                <w:highlight w:val="none"/>
              </w:rPr>
              <w:t>面积（</w:t>
            </w:r>
            <w:r>
              <w:rPr>
                <w:rFonts w:ascii="宋体" w:hAnsi="宋体" w:cs="宋体"/>
                <w:color w:val="auto"/>
                <w:spacing w:val="-6"/>
                <w:sz w:val="26"/>
                <w:szCs w:val="26"/>
                <w:highlight w:val="none"/>
              </w:rPr>
              <w:t>m</w:t>
            </w:r>
            <w:r>
              <w:rPr>
                <w:rFonts w:ascii="宋体" w:hAnsi="宋体" w:cs="宋体"/>
                <w:color w:val="auto"/>
                <w:spacing w:val="-6"/>
                <w:sz w:val="26"/>
                <w:szCs w:val="26"/>
                <w:highlight w:val="none"/>
                <w:vertAlign w:val="superscript"/>
              </w:rPr>
              <w:t>2</w:t>
            </w:r>
            <w:r>
              <w:rPr>
                <w:rFonts w:hint="eastAsia" w:ascii="宋体" w:hAnsi="宋体" w:cs="宋体"/>
                <w:color w:val="auto"/>
                <w:spacing w:val="-6"/>
                <w:sz w:val="26"/>
                <w:szCs w:val="26"/>
                <w:highlight w:val="none"/>
              </w:rPr>
              <w:t>）</w:t>
            </w:r>
          </w:p>
        </w:tc>
        <w:tc>
          <w:tcPr>
            <w:tcW w:w="4163" w:type="dxa"/>
            <w:gridSpan w:val="2"/>
            <w:vAlign w:val="center"/>
          </w:tcPr>
          <w:p w14:paraId="47DE80CC">
            <w:pPr>
              <w:adjustRightInd w:val="0"/>
              <w:snapToGrid w:val="0"/>
              <w:jc w:val="center"/>
              <w:rPr>
                <w:color w:val="auto"/>
                <w:sz w:val="26"/>
                <w:szCs w:val="26"/>
                <w:highlight w:val="none"/>
              </w:rPr>
            </w:pPr>
            <w:r>
              <w:rPr>
                <w:color w:val="auto"/>
                <w:sz w:val="26"/>
                <w:szCs w:val="26"/>
                <w:highlight w:val="none"/>
              </w:rPr>
              <w:t>29912.17（</w:t>
            </w:r>
            <w:r>
              <w:rPr>
                <w:rFonts w:hint="eastAsia"/>
                <w:color w:val="auto"/>
                <w:sz w:val="26"/>
                <w:szCs w:val="26"/>
                <w:highlight w:val="none"/>
              </w:rPr>
              <w:t>其中</w:t>
            </w:r>
            <w:r>
              <w:rPr>
                <w:color w:val="auto"/>
                <w:sz w:val="26"/>
                <w:szCs w:val="26"/>
                <w:highlight w:val="none"/>
              </w:rPr>
              <w:t>新增用地面积</w:t>
            </w:r>
            <w:r>
              <w:rPr>
                <w:rFonts w:hint="eastAsia"/>
                <w:color w:val="auto"/>
                <w:sz w:val="26"/>
                <w:szCs w:val="26"/>
                <w:highlight w:val="none"/>
              </w:rPr>
              <w:t>为0</w:t>
            </w:r>
            <w:r>
              <w:rPr>
                <w:color w:val="auto"/>
                <w:sz w:val="26"/>
                <w:szCs w:val="26"/>
                <w:highlight w:val="none"/>
              </w:rPr>
              <w:t>）</w:t>
            </w:r>
          </w:p>
        </w:tc>
      </w:tr>
      <w:tr w14:paraId="0ADB2D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95" w:type="dxa"/>
            <w:vAlign w:val="center"/>
          </w:tcPr>
          <w:p w14:paraId="79E19FC9">
            <w:pPr>
              <w:autoSpaceDE w:val="0"/>
              <w:autoSpaceDN w:val="0"/>
              <w:adjustRightInd w:val="0"/>
              <w:snapToGrid w:val="0"/>
              <w:jc w:val="center"/>
              <w:rPr>
                <w:rFonts w:ascii="宋体" w:hAnsi="宋体" w:cs="宋体"/>
                <w:color w:val="auto"/>
                <w:kern w:val="0"/>
                <w:sz w:val="26"/>
                <w:szCs w:val="26"/>
                <w:highlight w:val="none"/>
              </w:rPr>
            </w:pPr>
            <w:r>
              <w:rPr>
                <w:rFonts w:hint="eastAsia" w:ascii="宋体" w:hAnsi="宋体" w:cs="宋体"/>
                <w:color w:val="auto"/>
                <w:kern w:val="0"/>
                <w:sz w:val="26"/>
                <w:szCs w:val="26"/>
                <w:highlight w:val="none"/>
              </w:rPr>
              <w:t>专项评价设置情况</w:t>
            </w:r>
          </w:p>
        </w:tc>
        <w:tc>
          <w:tcPr>
            <w:tcW w:w="7575" w:type="dxa"/>
            <w:gridSpan w:val="4"/>
            <w:vAlign w:val="center"/>
          </w:tcPr>
          <w:p w14:paraId="6B455797">
            <w:pPr>
              <w:autoSpaceDE w:val="0"/>
              <w:autoSpaceDN w:val="0"/>
              <w:adjustRightInd w:val="0"/>
              <w:snapToGrid w:val="0"/>
              <w:spacing w:line="480" w:lineRule="exact"/>
              <w:ind w:firstLine="520" w:firstLineChars="200"/>
              <w:rPr>
                <w:color w:val="auto"/>
                <w:kern w:val="0"/>
                <w:sz w:val="26"/>
                <w:szCs w:val="26"/>
                <w:highlight w:val="none"/>
              </w:rPr>
            </w:pPr>
          </w:p>
          <w:p w14:paraId="691B73A6">
            <w:pPr>
              <w:autoSpaceDE w:val="0"/>
              <w:autoSpaceDN w:val="0"/>
              <w:adjustRightInd w:val="0"/>
              <w:snapToGrid w:val="0"/>
              <w:spacing w:line="480" w:lineRule="exact"/>
              <w:ind w:firstLine="520" w:firstLineChars="200"/>
              <w:rPr>
                <w:color w:val="auto"/>
                <w:kern w:val="0"/>
                <w:sz w:val="26"/>
                <w:szCs w:val="26"/>
                <w:highlight w:val="none"/>
              </w:rPr>
            </w:pPr>
          </w:p>
          <w:p w14:paraId="24388329">
            <w:pPr>
              <w:autoSpaceDE w:val="0"/>
              <w:autoSpaceDN w:val="0"/>
              <w:adjustRightInd w:val="0"/>
              <w:snapToGrid w:val="0"/>
              <w:spacing w:line="480" w:lineRule="exact"/>
              <w:ind w:firstLine="520" w:firstLineChars="200"/>
              <w:rPr>
                <w:color w:val="auto"/>
                <w:kern w:val="0"/>
                <w:sz w:val="26"/>
                <w:szCs w:val="26"/>
                <w:highlight w:val="none"/>
              </w:rPr>
            </w:pPr>
            <w:r>
              <w:rPr>
                <w:rFonts w:hint="eastAsia"/>
                <w:color w:val="auto"/>
                <w:kern w:val="0"/>
                <w:sz w:val="26"/>
                <w:szCs w:val="26"/>
                <w:highlight w:val="none"/>
              </w:rPr>
              <w:t>无。对照《建设项目环境影响报告表编制技术指南（污染影响类）（试行）》中“专项评价设置原则表”，本项目无须设置专项评价。</w:t>
            </w:r>
          </w:p>
          <w:p w14:paraId="642C4ED8">
            <w:pPr>
              <w:autoSpaceDE w:val="0"/>
              <w:autoSpaceDN w:val="0"/>
              <w:adjustRightInd w:val="0"/>
              <w:snapToGrid w:val="0"/>
              <w:jc w:val="center"/>
              <w:rPr>
                <w:color w:val="auto"/>
                <w:kern w:val="0"/>
                <w:sz w:val="26"/>
                <w:szCs w:val="26"/>
                <w:highlight w:val="none"/>
              </w:rPr>
            </w:pPr>
          </w:p>
          <w:p w14:paraId="2E08B3B8">
            <w:pPr>
              <w:autoSpaceDE w:val="0"/>
              <w:autoSpaceDN w:val="0"/>
              <w:adjustRightInd w:val="0"/>
              <w:snapToGrid w:val="0"/>
              <w:jc w:val="center"/>
              <w:rPr>
                <w:color w:val="auto"/>
                <w:kern w:val="0"/>
                <w:sz w:val="26"/>
                <w:szCs w:val="26"/>
                <w:highlight w:val="none"/>
              </w:rPr>
            </w:pPr>
          </w:p>
          <w:p w14:paraId="208C8912">
            <w:pPr>
              <w:autoSpaceDE w:val="0"/>
              <w:autoSpaceDN w:val="0"/>
              <w:adjustRightInd w:val="0"/>
              <w:snapToGrid w:val="0"/>
              <w:jc w:val="center"/>
              <w:rPr>
                <w:color w:val="auto"/>
                <w:kern w:val="0"/>
                <w:sz w:val="26"/>
                <w:szCs w:val="26"/>
                <w:highlight w:val="none"/>
              </w:rPr>
            </w:pPr>
          </w:p>
          <w:p w14:paraId="6E5198CD">
            <w:pPr>
              <w:autoSpaceDE w:val="0"/>
              <w:autoSpaceDN w:val="0"/>
              <w:adjustRightInd w:val="0"/>
              <w:snapToGrid w:val="0"/>
              <w:jc w:val="center"/>
              <w:rPr>
                <w:b/>
                <w:bCs/>
                <w:color w:val="auto"/>
                <w:kern w:val="0"/>
                <w:sz w:val="26"/>
                <w:szCs w:val="26"/>
                <w:highlight w:val="none"/>
              </w:rPr>
            </w:pPr>
            <w:r>
              <w:rPr>
                <w:b/>
                <w:bCs/>
                <w:color w:val="auto"/>
                <w:kern w:val="0"/>
                <w:sz w:val="26"/>
                <w:szCs w:val="26"/>
                <w:highlight w:val="none"/>
              </w:rPr>
              <w:t>专项评价设置原则对照表</w:t>
            </w:r>
          </w:p>
          <w:tbl>
            <w:tblPr>
              <w:tblStyle w:val="16"/>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3367"/>
              <w:gridCol w:w="3029"/>
            </w:tblGrid>
            <w:tr w14:paraId="6192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33" w:type="dxa"/>
                  <w:vAlign w:val="center"/>
                </w:tcPr>
                <w:p w14:paraId="0F0ABB91">
                  <w:pPr>
                    <w:autoSpaceDE w:val="0"/>
                    <w:autoSpaceDN w:val="0"/>
                    <w:adjustRightInd w:val="0"/>
                    <w:snapToGrid w:val="0"/>
                    <w:jc w:val="center"/>
                    <w:rPr>
                      <w:b/>
                      <w:bCs/>
                      <w:color w:val="auto"/>
                      <w:kern w:val="0"/>
                      <w:sz w:val="22"/>
                      <w:szCs w:val="22"/>
                      <w:highlight w:val="none"/>
                    </w:rPr>
                  </w:pPr>
                  <w:r>
                    <w:rPr>
                      <w:b/>
                      <w:bCs/>
                      <w:color w:val="auto"/>
                      <w:kern w:val="0"/>
                      <w:sz w:val="22"/>
                      <w:szCs w:val="22"/>
                      <w:highlight w:val="none"/>
                    </w:rPr>
                    <w:t>类别</w:t>
                  </w:r>
                </w:p>
              </w:tc>
              <w:tc>
                <w:tcPr>
                  <w:tcW w:w="3367" w:type="dxa"/>
                  <w:vAlign w:val="center"/>
                </w:tcPr>
                <w:p w14:paraId="2DA9A681">
                  <w:pPr>
                    <w:autoSpaceDE w:val="0"/>
                    <w:autoSpaceDN w:val="0"/>
                    <w:adjustRightInd w:val="0"/>
                    <w:snapToGrid w:val="0"/>
                    <w:jc w:val="center"/>
                    <w:rPr>
                      <w:b/>
                      <w:bCs/>
                      <w:color w:val="auto"/>
                      <w:kern w:val="0"/>
                      <w:sz w:val="22"/>
                      <w:szCs w:val="22"/>
                      <w:highlight w:val="none"/>
                    </w:rPr>
                  </w:pPr>
                  <w:r>
                    <w:rPr>
                      <w:b/>
                      <w:bCs/>
                      <w:color w:val="auto"/>
                      <w:kern w:val="0"/>
                      <w:sz w:val="22"/>
                      <w:szCs w:val="22"/>
                      <w:highlight w:val="none"/>
                    </w:rPr>
                    <w:t>设置原则</w:t>
                  </w:r>
                </w:p>
              </w:tc>
              <w:tc>
                <w:tcPr>
                  <w:tcW w:w="3029" w:type="dxa"/>
                  <w:vAlign w:val="center"/>
                </w:tcPr>
                <w:p w14:paraId="13D358DC">
                  <w:pPr>
                    <w:autoSpaceDE w:val="0"/>
                    <w:autoSpaceDN w:val="0"/>
                    <w:adjustRightInd w:val="0"/>
                    <w:snapToGrid w:val="0"/>
                    <w:jc w:val="center"/>
                    <w:rPr>
                      <w:b/>
                      <w:bCs/>
                      <w:color w:val="auto"/>
                      <w:kern w:val="0"/>
                      <w:sz w:val="22"/>
                      <w:szCs w:val="22"/>
                      <w:highlight w:val="none"/>
                    </w:rPr>
                  </w:pPr>
                  <w:r>
                    <w:rPr>
                      <w:rFonts w:hint="eastAsia"/>
                      <w:b/>
                      <w:bCs/>
                      <w:color w:val="auto"/>
                      <w:kern w:val="0"/>
                      <w:sz w:val="22"/>
                      <w:szCs w:val="22"/>
                      <w:highlight w:val="none"/>
                    </w:rPr>
                    <w:t>本项目是否设置专项评价</w:t>
                  </w:r>
                </w:p>
              </w:tc>
            </w:tr>
            <w:tr w14:paraId="0EA1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jc w:val="center"/>
              </w:trPr>
              <w:tc>
                <w:tcPr>
                  <w:tcW w:w="733" w:type="dxa"/>
                  <w:vAlign w:val="center"/>
                </w:tcPr>
                <w:p w14:paraId="6D66CC71">
                  <w:pPr>
                    <w:autoSpaceDE w:val="0"/>
                    <w:autoSpaceDN w:val="0"/>
                    <w:adjustRightInd w:val="0"/>
                    <w:snapToGrid w:val="0"/>
                    <w:jc w:val="center"/>
                    <w:rPr>
                      <w:color w:val="auto"/>
                      <w:kern w:val="0"/>
                      <w:sz w:val="22"/>
                      <w:szCs w:val="22"/>
                      <w:highlight w:val="none"/>
                    </w:rPr>
                  </w:pPr>
                  <w:r>
                    <w:rPr>
                      <w:color w:val="auto"/>
                      <w:kern w:val="0"/>
                      <w:sz w:val="22"/>
                      <w:szCs w:val="22"/>
                      <w:highlight w:val="none"/>
                    </w:rPr>
                    <w:t>大气</w:t>
                  </w:r>
                </w:p>
              </w:tc>
              <w:tc>
                <w:tcPr>
                  <w:tcW w:w="3367" w:type="dxa"/>
                  <w:vAlign w:val="center"/>
                </w:tcPr>
                <w:p w14:paraId="1F377D9A">
                  <w:pPr>
                    <w:autoSpaceDE w:val="0"/>
                    <w:autoSpaceDN w:val="0"/>
                    <w:adjustRightInd w:val="0"/>
                    <w:snapToGrid w:val="0"/>
                    <w:jc w:val="center"/>
                    <w:rPr>
                      <w:color w:val="auto"/>
                      <w:kern w:val="0"/>
                      <w:sz w:val="22"/>
                      <w:szCs w:val="22"/>
                      <w:highlight w:val="none"/>
                    </w:rPr>
                  </w:pPr>
                  <w:r>
                    <w:rPr>
                      <w:color w:val="auto"/>
                      <w:kern w:val="0"/>
                      <w:sz w:val="22"/>
                      <w:szCs w:val="22"/>
                      <w:highlight w:val="none"/>
                    </w:rPr>
                    <w:t>排放废气含有毒有害污染物</w:t>
                  </w:r>
                  <w:r>
                    <w:rPr>
                      <w:color w:val="auto"/>
                      <w:kern w:val="0"/>
                      <w:sz w:val="22"/>
                      <w:szCs w:val="22"/>
                      <w:highlight w:val="none"/>
                      <w:vertAlign w:val="superscript"/>
                    </w:rPr>
                    <w:t>1</w:t>
                  </w:r>
                  <w:r>
                    <w:rPr>
                      <w:color w:val="auto"/>
                      <w:kern w:val="0"/>
                      <w:sz w:val="22"/>
                      <w:szCs w:val="22"/>
                      <w:highlight w:val="none"/>
                    </w:rPr>
                    <w:t>、二噁英、苯并[a]芘、氰化物、氯气且厂界外500米范围内有环境空气保护目标</w:t>
                  </w:r>
                  <w:r>
                    <w:rPr>
                      <w:color w:val="auto"/>
                      <w:kern w:val="0"/>
                      <w:sz w:val="22"/>
                      <w:szCs w:val="22"/>
                      <w:highlight w:val="none"/>
                      <w:vertAlign w:val="superscript"/>
                    </w:rPr>
                    <w:t>2</w:t>
                  </w:r>
                  <w:r>
                    <w:rPr>
                      <w:color w:val="auto"/>
                      <w:kern w:val="0"/>
                      <w:sz w:val="22"/>
                      <w:szCs w:val="22"/>
                      <w:highlight w:val="none"/>
                    </w:rPr>
                    <w:t>的建设项目；</w:t>
                  </w:r>
                </w:p>
              </w:tc>
              <w:tc>
                <w:tcPr>
                  <w:tcW w:w="3029" w:type="dxa"/>
                  <w:vAlign w:val="center"/>
                </w:tcPr>
                <w:p w14:paraId="5BE3D6A9">
                  <w:pPr>
                    <w:autoSpaceDE w:val="0"/>
                    <w:autoSpaceDN w:val="0"/>
                    <w:adjustRightInd w:val="0"/>
                    <w:snapToGrid w:val="0"/>
                    <w:jc w:val="center"/>
                    <w:rPr>
                      <w:color w:val="auto"/>
                      <w:kern w:val="0"/>
                      <w:sz w:val="22"/>
                      <w:szCs w:val="22"/>
                      <w:highlight w:val="none"/>
                    </w:rPr>
                  </w:pPr>
                  <w:r>
                    <w:rPr>
                      <w:rFonts w:hint="eastAsia"/>
                      <w:color w:val="auto"/>
                      <w:sz w:val="22"/>
                      <w:szCs w:val="22"/>
                      <w:highlight w:val="none"/>
                    </w:rPr>
                    <w:t>否；项目废气排放不含有毒有害污染物、二噁英、苯并[a]芘、氰化物、氯气。</w:t>
                  </w:r>
                </w:p>
              </w:tc>
            </w:tr>
            <w:tr w14:paraId="47D9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33" w:type="dxa"/>
                  <w:vAlign w:val="center"/>
                </w:tcPr>
                <w:p w14:paraId="4CEDD04B">
                  <w:pPr>
                    <w:autoSpaceDE w:val="0"/>
                    <w:autoSpaceDN w:val="0"/>
                    <w:adjustRightInd w:val="0"/>
                    <w:snapToGrid w:val="0"/>
                    <w:jc w:val="center"/>
                    <w:rPr>
                      <w:color w:val="auto"/>
                      <w:kern w:val="0"/>
                      <w:sz w:val="22"/>
                      <w:szCs w:val="22"/>
                      <w:highlight w:val="none"/>
                    </w:rPr>
                  </w:pPr>
                  <w:r>
                    <w:rPr>
                      <w:color w:val="auto"/>
                      <w:kern w:val="0"/>
                      <w:sz w:val="22"/>
                      <w:szCs w:val="22"/>
                      <w:highlight w:val="none"/>
                    </w:rPr>
                    <w:t>地表水</w:t>
                  </w:r>
                </w:p>
              </w:tc>
              <w:tc>
                <w:tcPr>
                  <w:tcW w:w="3367" w:type="dxa"/>
                  <w:vAlign w:val="center"/>
                </w:tcPr>
                <w:p w14:paraId="40C21F20">
                  <w:pPr>
                    <w:autoSpaceDE w:val="0"/>
                    <w:autoSpaceDN w:val="0"/>
                    <w:adjustRightInd w:val="0"/>
                    <w:snapToGrid w:val="0"/>
                    <w:jc w:val="center"/>
                    <w:rPr>
                      <w:color w:val="auto"/>
                      <w:kern w:val="0"/>
                      <w:sz w:val="22"/>
                      <w:szCs w:val="22"/>
                      <w:highlight w:val="none"/>
                    </w:rPr>
                  </w:pPr>
                  <w:r>
                    <w:rPr>
                      <w:rFonts w:hint="eastAsia"/>
                      <w:color w:val="auto"/>
                      <w:kern w:val="0"/>
                      <w:sz w:val="22"/>
                      <w:szCs w:val="22"/>
                      <w:highlight w:val="none"/>
                    </w:rPr>
                    <w:t>新增工业废水直排建设项目（槽罐车外送污水处理厂的除外）；新增废水直排的污水集中处理厂；</w:t>
                  </w:r>
                </w:p>
              </w:tc>
              <w:tc>
                <w:tcPr>
                  <w:tcW w:w="3029" w:type="dxa"/>
                  <w:vAlign w:val="center"/>
                </w:tcPr>
                <w:p w14:paraId="4D3BA424">
                  <w:pPr>
                    <w:autoSpaceDE w:val="0"/>
                    <w:autoSpaceDN w:val="0"/>
                    <w:adjustRightInd w:val="0"/>
                    <w:snapToGrid w:val="0"/>
                    <w:jc w:val="center"/>
                    <w:rPr>
                      <w:color w:val="auto"/>
                      <w:sz w:val="22"/>
                      <w:szCs w:val="22"/>
                      <w:highlight w:val="none"/>
                    </w:rPr>
                  </w:pPr>
                  <w:r>
                    <w:rPr>
                      <w:rFonts w:hint="eastAsia"/>
                      <w:color w:val="auto"/>
                      <w:sz w:val="22"/>
                      <w:szCs w:val="22"/>
                      <w:highlight w:val="none"/>
                    </w:rPr>
                    <w:t>否；项目废水排放方式为间接排放，不属于新增废水直排的建设项目、污水集中处理厂。</w:t>
                  </w:r>
                </w:p>
              </w:tc>
            </w:tr>
            <w:tr w14:paraId="5DBAB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33" w:type="dxa"/>
                  <w:vAlign w:val="center"/>
                </w:tcPr>
                <w:p w14:paraId="76A28450">
                  <w:pPr>
                    <w:autoSpaceDE w:val="0"/>
                    <w:autoSpaceDN w:val="0"/>
                    <w:adjustRightInd w:val="0"/>
                    <w:snapToGrid w:val="0"/>
                    <w:jc w:val="center"/>
                    <w:rPr>
                      <w:color w:val="auto"/>
                      <w:kern w:val="0"/>
                      <w:sz w:val="22"/>
                      <w:szCs w:val="22"/>
                      <w:highlight w:val="none"/>
                    </w:rPr>
                  </w:pPr>
                  <w:r>
                    <w:rPr>
                      <w:color w:val="auto"/>
                      <w:kern w:val="0"/>
                      <w:sz w:val="22"/>
                      <w:szCs w:val="22"/>
                      <w:highlight w:val="none"/>
                    </w:rPr>
                    <w:t>环境风险</w:t>
                  </w:r>
                </w:p>
              </w:tc>
              <w:tc>
                <w:tcPr>
                  <w:tcW w:w="3367" w:type="dxa"/>
                  <w:vAlign w:val="center"/>
                </w:tcPr>
                <w:p w14:paraId="1F99C013">
                  <w:pPr>
                    <w:autoSpaceDE w:val="0"/>
                    <w:autoSpaceDN w:val="0"/>
                    <w:adjustRightInd w:val="0"/>
                    <w:snapToGrid w:val="0"/>
                    <w:jc w:val="center"/>
                    <w:rPr>
                      <w:color w:val="auto"/>
                      <w:kern w:val="0"/>
                      <w:sz w:val="22"/>
                      <w:szCs w:val="22"/>
                      <w:highlight w:val="none"/>
                    </w:rPr>
                  </w:pPr>
                  <w:r>
                    <w:rPr>
                      <w:color w:val="auto"/>
                      <w:kern w:val="0"/>
                      <w:sz w:val="22"/>
                      <w:szCs w:val="22"/>
                      <w:highlight w:val="none"/>
                    </w:rPr>
                    <w:t>有毒有害和易燃易爆危险物质存储量超过临界量</w:t>
                  </w:r>
                  <w:r>
                    <w:rPr>
                      <w:color w:val="auto"/>
                      <w:kern w:val="0"/>
                      <w:sz w:val="22"/>
                      <w:szCs w:val="22"/>
                      <w:highlight w:val="none"/>
                      <w:vertAlign w:val="superscript"/>
                    </w:rPr>
                    <w:t>3</w:t>
                  </w:r>
                  <w:r>
                    <w:rPr>
                      <w:color w:val="auto"/>
                      <w:kern w:val="0"/>
                      <w:sz w:val="22"/>
                      <w:szCs w:val="22"/>
                      <w:highlight w:val="none"/>
                    </w:rPr>
                    <w:t>的建设项目；</w:t>
                  </w:r>
                </w:p>
              </w:tc>
              <w:tc>
                <w:tcPr>
                  <w:tcW w:w="3029" w:type="dxa"/>
                  <w:vAlign w:val="center"/>
                </w:tcPr>
                <w:p w14:paraId="34FC6075">
                  <w:pPr>
                    <w:autoSpaceDE w:val="0"/>
                    <w:autoSpaceDN w:val="0"/>
                    <w:adjustRightInd w:val="0"/>
                    <w:snapToGrid w:val="0"/>
                    <w:jc w:val="center"/>
                    <w:rPr>
                      <w:color w:val="auto"/>
                      <w:kern w:val="0"/>
                      <w:sz w:val="22"/>
                      <w:szCs w:val="22"/>
                      <w:highlight w:val="none"/>
                    </w:rPr>
                  </w:pPr>
                  <w:r>
                    <w:rPr>
                      <w:rFonts w:hint="eastAsia"/>
                      <w:color w:val="auto"/>
                      <w:kern w:val="0"/>
                      <w:sz w:val="22"/>
                      <w:szCs w:val="22"/>
                      <w:highlight w:val="none"/>
                    </w:rPr>
                    <w:t>否；项目有毒有害和易燃易爆危险物质存储量未超过HJ169附录B中的临界量。</w:t>
                  </w:r>
                </w:p>
              </w:tc>
            </w:tr>
            <w:tr w14:paraId="165C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14:paraId="6648624C">
                  <w:pPr>
                    <w:autoSpaceDE w:val="0"/>
                    <w:autoSpaceDN w:val="0"/>
                    <w:adjustRightInd w:val="0"/>
                    <w:snapToGrid w:val="0"/>
                    <w:jc w:val="center"/>
                    <w:rPr>
                      <w:color w:val="auto"/>
                      <w:kern w:val="0"/>
                      <w:sz w:val="22"/>
                      <w:szCs w:val="22"/>
                      <w:highlight w:val="none"/>
                    </w:rPr>
                  </w:pPr>
                  <w:r>
                    <w:rPr>
                      <w:color w:val="auto"/>
                      <w:kern w:val="0"/>
                      <w:sz w:val="22"/>
                      <w:szCs w:val="22"/>
                      <w:highlight w:val="none"/>
                    </w:rPr>
                    <w:t>生态</w:t>
                  </w:r>
                </w:p>
              </w:tc>
              <w:tc>
                <w:tcPr>
                  <w:tcW w:w="3367" w:type="dxa"/>
                  <w:vAlign w:val="center"/>
                </w:tcPr>
                <w:p w14:paraId="5C1A0EFE">
                  <w:pPr>
                    <w:autoSpaceDE w:val="0"/>
                    <w:autoSpaceDN w:val="0"/>
                    <w:adjustRightInd w:val="0"/>
                    <w:snapToGrid w:val="0"/>
                    <w:jc w:val="center"/>
                    <w:rPr>
                      <w:color w:val="auto"/>
                      <w:kern w:val="0"/>
                      <w:sz w:val="22"/>
                      <w:szCs w:val="22"/>
                      <w:highlight w:val="none"/>
                    </w:rPr>
                  </w:pPr>
                  <w:r>
                    <w:rPr>
                      <w:rFonts w:hint="eastAsia"/>
                      <w:color w:val="auto"/>
                      <w:kern w:val="0"/>
                      <w:sz w:val="22"/>
                      <w:szCs w:val="22"/>
                      <w:highlight w:val="none"/>
                    </w:rPr>
                    <w:t>取水口下游500米范围内有重要水生生物的自然产卵场、索饵场、越冬场和洄游通道的新增河道取水的污染类建设项目；</w:t>
                  </w:r>
                </w:p>
              </w:tc>
              <w:tc>
                <w:tcPr>
                  <w:tcW w:w="3029" w:type="dxa"/>
                  <w:vAlign w:val="center"/>
                </w:tcPr>
                <w:p w14:paraId="18B0690E">
                  <w:pPr>
                    <w:autoSpaceDE w:val="0"/>
                    <w:autoSpaceDN w:val="0"/>
                    <w:adjustRightInd w:val="0"/>
                    <w:snapToGrid w:val="0"/>
                    <w:jc w:val="center"/>
                    <w:rPr>
                      <w:color w:val="auto"/>
                      <w:kern w:val="0"/>
                      <w:sz w:val="22"/>
                      <w:szCs w:val="22"/>
                      <w:highlight w:val="none"/>
                    </w:rPr>
                  </w:pPr>
                  <w:r>
                    <w:rPr>
                      <w:rFonts w:hint="eastAsia"/>
                      <w:color w:val="auto"/>
                      <w:kern w:val="0"/>
                      <w:sz w:val="22"/>
                      <w:szCs w:val="22"/>
                      <w:highlight w:val="none"/>
                    </w:rPr>
                    <w:t>否；项目不涉及取水工程。</w:t>
                  </w:r>
                </w:p>
              </w:tc>
            </w:tr>
            <w:tr w14:paraId="48832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14:paraId="6C42F285">
                  <w:pPr>
                    <w:autoSpaceDE w:val="0"/>
                    <w:autoSpaceDN w:val="0"/>
                    <w:adjustRightInd w:val="0"/>
                    <w:snapToGrid w:val="0"/>
                    <w:jc w:val="center"/>
                    <w:rPr>
                      <w:color w:val="auto"/>
                      <w:kern w:val="0"/>
                      <w:sz w:val="22"/>
                      <w:szCs w:val="22"/>
                      <w:highlight w:val="none"/>
                    </w:rPr>
                  </w:pPr>
                  <w:r>
                    <w:rPr>
                      <w:rFonts w:hint="eastAsia"/>
                      <w:color w:val="auto"/>
                      <w:kern w:val="0"/>
                      <w:sz w:val="22"/>
                      <w:szCs w:val="22"/>
                      <w:highlight w:val="none"/>
                    </w:rPr>
                    <w:t>海洋</w:t>
                  </w:r>
                </w:p>
              </w:tc>
              <w:tc>
                <w:tcPr>
                  <w:tcW w:w="3367" w:type="dxa"/>
                  <w:vAlign w:val="center"/>
                </w:tcPr>
                <w:p w14:paraId="6EC0880E">
                  <w:pPr>
                    <w:autoSpaceDE w:val="0"/>
                    <w:autoSpaceDN w:val="0"/>
                    <w:adjustRightInd w:val="0"/>
                    <w:snapToGrid w:val="0"/>
                    <w:jc w:val="center"/>
                    <w:rPr>
                      <w:color w:val="auto"/>
                      <w:kern w:val="0"/>
                      <w:sz w:val="22"/>
                      <w:szCs w:val="22"/>
                      <w:highlight w:val="none"/>
                    </w:rPr>
                  </w:pPr>
                  <w:r>
                    <w:rPr>
                      <w:rFonts w:hint="eastAsia"/>
                      <w:color w:val="auto"/>
                      <w:kern w:val="0"/>
                      <w:sz w:val="22"/>
                      <w:szCs w:val="22"/>
                      <w:highlight w:val="none"/>
                    </w:rPr>
                    <w:t>直接向海排放污染物的海洋工程建设项目；</w:t>
                  </w:r>
                </w:p>
              </w:tc>
              <w:tc>
                <w:tcPr>
                  <w:tcW w:w="3029" w:type="dxa"/>
                  <w:vAlign w:val="center"/>
                </w:tcPr>
                <w:p w14:paraId="475DB5A0">
                  <w:pPr>
                    <w:autoSpaceDE w:val="0"/>
                    <w:autoSpaceDN w:val="0"/>
                    <w:adjustRightInd w:val="0"/>
                    <w:snapToGrid w:val="0"/>
                    <w:jc w:val="center"/>
                    <w:rPr>
                      <w:color w:val="auto"/>
                      <w:kern w:val="0"/>
                      <w:sz w:val="22"/>
                      <w:szCs w:val="22"/>
                      <w:highlight w:val="none"/>
                    </w:rPr>
                  </w:pPr>
                  <w:r>
                    <w:rPr>
                      <w:rFonts w:hint="eastAsia"/>
                      <w:color w:val="auto"/>
                      <w:kern w:val="0"/>
                      <w:sz w:val="22"/>
                      <w:szCs w:val="22"/>
                      <w:highlight w:val="none"/>
                    </w:rPr>
                    <w:t>否；项目不属于海洋工程建设项目。</w:t>
                  </w:r>
                </w:p>
              </w:tc>
            </w:tr>
            <w:tr w14:paraId="321DE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29" w:type="dxa"/>
                  <w:gridSpan w:val="3"/>
                  <w:vAlign w:val="center"/>
                </w:tcPr>
                <w:p w14:paraId="6C54E8C0">
                  <w:pPr>
                    <w:autoSpaceDE w:val="0"/>
                    <w:autoSpaceDN w:val="0"/>
                    <w:adjustRightInd w:val="0"/>
                    <w:snapToGrid w:val="0"/>
                    <w:jc w:val="center"/>
                    <w:rPr>
                      <w:color w:val="auto"/>
                      <w:kern w:val="0"/>
                      <w:sz w:val="22"/>
                      <w:szCs w:val="22"/>
                      <w:highlight w:val="none"/>
                    </w:rPr>
                  </w:pPr>
                  <w:r>
                    <w:rPr>
                      <w:rFonts w:hint="eastAsia"/>
                      <w:color w:val="auto"/>
                      <w:kern w:val="0"/>
                      <w:sz w:val="21"/>
                      <w:szCs w:val="21"/>
                      <w:highlight w:val="none"/>
                    </w:rPr>
                    <w:t>注：</w:t>
                  </w:r>
                  <w:r>
                    <w:rPr>
                      <w:color w:val="auto"/>
                      <w:kern w:val="0"/>
                      <w:sz w:val="21"/>
                      <w:szCs w:val="21"/>
                      <w:highlight w:val="none"/>
                    </w:rPr>
                    <w:t>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bl>
          <w:p w14:paraId="5C125A89">
            <w:pPr>
              <w:autoSpaceDE w:val="0"/>
              <w:autoSpaceDN w:val="0"/>
              <w:adjustRightInd w:val="0"/>
              <w:snapToGrid w:val="0"/>
              <w:ind w:firstLine="520" w:firstLineChars="200"/>
              <w:jc w:val="left"/>
              <w:rPr>
                <w:rFonts w:ascii="宋体" w:hAnsi="宋体" w:cs="宋体"/>
                <w:color w:val="auto"/>
                <w:kern w:val="0"/>
                <w:sz w:val="26"/>
                <w:szCs w:val="26"/>
                <w:highlight w:val="none"/>
              </w:rPr>
            </w:pPr>
          </w:p>
        </w:tc>
      </w:tr>
      <w:tr w14:paraId="01129B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1295" w:type="dxa"/>
            <w:vAlign w:val="center"/>
          </w:tcPr>
          <w:p w14:paraId="574A7054">
            <w:pPr>
              <w:autoSpaceDE w:val="0"/>
              <w:autoSpaceDN w:val="0"/>
              <w:adjustRightInd w:val="0"/>
              <w:snapToGrid w:val="0"/>
              <w:jc w:val="center"/>
              <w:rPr>
                <w:color w:val="auto"/>
                <w:kern w:val="0"/>
                <w:sz w:val="26"/>
                <w:szCs w:val="26"/>
                <w:highlight w:val="none"/>
              </w:rPr>
            </w:pPr>
            <w:r>
              <w:rPr>
                <w:color w:val="auto"/>
                <w:sz w:val="26"/>
                <w:szCs w:val="26"/>
                <w:highlight w:val="none"/>
              </w:rPr>
              <w:t>规划情况</w:t>
            </w:r>
          </w:p>
        </w:tc>
        <w:tc>
          <w:tcPr>
            <w:tcW w:w="7575" w:type="dxa"/>
            <w:gridSpan w:val="4"/>
            <w:vAlign w:val="center"/>
          </w:tcPr>
          <w:p w14:paraId="573B1368">
            <w:pPr>
              <w:adjustRightInd w:val="0"/>
              <w:snapToGrid w:val="0"/>
              <w:spacing w:line="480" w:lineRule="exact"/>
              <w:jc w:val="left"/>
              <w:rPr>
                <w:color w:val="auto"/>
                <w:kern w:val="0"/>
                <w:sz w:val="26"/>
                <w:szCs w:val="26"/>
                <w:highlight w:val="none"/>
              </w:rPr>
            </w:pPr>
            <w:r>
              <w:rPr>
                <w:b/>
                <w:bCs/>
                <w:color w:val="auto"/>
                <w:kern w:val="0"/>
                <w:sz w:val="26"/>
                <w:szCs w:val="26"/>
                <w:highlight w:val="none"/>
              </w:rPr>
              <w:t>规划名称：</w:t>
            </w:r>
            <w:r>
              <w:rPr>
                <w:color w:val="auto"/>
                <w:kern w:val="0"/>
                <w:sz w:val="26"/>
                <w:szCs w:val="26"/>
                <w:highlight w:val="none"/>
              </w:rPr>
              <w:t>《重庆市合川区土场镇总体规划（2017—2035年）》</w:t>
            </w:r>
          </w:p>
          <w:p w14:paraId="34E69342">
            <w:pPr>
              <w:adjustRightInd w:val="0"/>
              <w:snapToGrid w:val="0"/>
              <w:spacing w:line="480" w:lineRule="exact"/>
              <w:jc w:val="left"/>
              <w:rPr>
                <w:color w:val="auto"/>
                <w:kern w:val="0"/>
                <w:sz w:val="26"/>
                <w:szCs w:val="26"/>
                <w:highlight w:val="none"/>
              </w:rPr>
            </w:pPr>
            <w:r>
              <w:rPr>
                <w:b/>
                <w:bCs/>
                <w:color w:val="auto"/>
                <w:kern w:val="0"/>
                <w:sz w:val="26"/>
                <w:szCs w:val="26"/>
                <w:highlight w:val="none"/>
              </w:rPr>
              <w:t>审批机关：</w:t>
            </w:r>
            <w:r>
              <w:rPr>
                <w:color w:val="auto"/>
                <w:kern w:val="0"/>
                <w:sz w:val="26"/>
                <w:szCs w:val="26"/>
                <w:highlight w:val="none"/>
              </w:rPr>
              <w:t>重庆市合川区人民政府</w:t>
            </w:r>
          </w:p>
          <w:p w14:paraId="1CB23CED">
            <w:pPr>
              <w:autoSpaceDE w:val="0"/>
              <w:autoSpaceDN w:val="0"/>
              <w:adjustRightInd w:val="0"/>
              <w:snapToGrid w:val="0"/>
              <w:spacing w:line="480" w:lineRule="exact"/>
              <w:jc w:val="left"/>
              <w:rPr>
                <w:color w:val="auto"/>
                <w:kern w:val="0"/>
                <w:sz w:val="26"/>
                <w:szCs w:val="26"/>
                <w:highlight w:val="none"/>
              </w:rPr>
            </w:pPr>
            <w:r>
              <w:rPr>
                <w:b/>
                <w:bCs/>
                <w:color w:val="auto"/>
                <w:kern w:val="0"/>
                <w:sz w:val="26"/>
                <w:szCs w:val="26"/>
                <w:highlight w:val="none"/>
              </w:rPr>
              <w:t>审批文件名称及文号：</w:t>
            </w:r>
            <w:r>
              <w:rPr>
                <w:color w:val="auto"/>
                <w:kern w:val="0"/>
                <w:sz w:val="26"/>
                <w:szCs w:val="26"/>
                <w:highlight w:val="none"/>
              </w:rPr>
              <w:t>重庆市合川区人民政府关于《合川区土场镇总体规划（2017-2035）》的批复（合川府〔2019〕133号）</w:t>
            </w:r>
          </w:p>
        </w:tc>
      </w:tr>
      <w:tr w14:paraId="7627AC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95" w:type="dxa"/>
            <w:vAlign w:val="center"/>
          </w:tcPr>
          <w:p w14:paraId="2AFE61FE">
            <w:pPr>
              <w:adjustRightInd w:val="0"/>
              <w:snapToGrid w:val="0"/>
              <w:jc w:val="center"/>
              <w:rPr>
                <w:rFonts w:ascii="宋体" w:hAnsi="宋体" w:cs="宋体"/>
                <w:color w:val="auto"/>
                <w:kern w:val="0"/>
                <w:sz w:val="26"/>
                <w:szCs w:val="26"/>
                <w:highlight w:val="none"/>
              </w:rPr>
            </w:pPr>
            <w:r>
              <w:rPr>
                <w:rFonts w:hint="eastAsia" w:ascii="宋体" w:hAnsi="宋体" w:cs="宋体"/>
                <w:color w:val="auto"/>
                <w:sz w:val="26"/>
                <w:szCs w:val="26"/>
                <w:highlight w:val="none"/>
              </w:rPr>
              <w:t>规划环境影响评价情况</w:t>
            </w:r>
          </w:p>
        </w:tc>
        <w:tc>
          <w:tcPr>
            <w:tcW w:w="7575" w:type="dxa"/>
            <w:gridSpan w:val="4"/>
            <w:vAlign w:val="center"/>
          </w:tcPr>
          <w:p w14:paraId="6896E2EC">
            <w:pPr>
              <w:autoSpaceDE w:val="0"/>
              <w:autoSpaceDN w:val="0"/>
              <w:adjustRightInd w:val="0"/>
              <w:snapToGrid w:val="0"/>
              <w:spacing w:line="480" w:lineRule="exact"/>
              <w:rPr>
                <w:color w:val="auto"/>
                <w:kern w:val="0"/>
                <w:sz w:val="26"/>
                <w:szCs w:val="26"/>
                <w:highlight w:val="none"/>
              </w:rPr>
            </w:pPr>
            <w:r>
              <w:rPr>
                <w:b/>
                <w:bCs/>
                <w:color w:val="auto"/>
                <w:kern w:val="0"/>
                <w:sz w:val="26"/>
                <w:szCs w:val="26"/>
                <w:highlight w:val="none"/>
              </w:rPr>
              <w:t>文件名称：</w:t>
            </w:r>
            <w:r>
              <w:rPr>
                <w:rFonts w:hint="eastAsia"/>
                <w:color w:val="auto"/>
                <w:kern w:val="0"/>
                <w:sz w:val="26"/>
                <w:szCs w:val="26"/>
                <w:highlight w:val="none"/>
              </w:rPr>
              <w:t>《重庆市合川区土场镇、清平镇总体规划环境影响报告书》</w:t>
            </w:r>
          </w:p>
          <w:p w14:paraId="6693DCA5">
            <w:pPr>
              <w:autoSpaceDE w:val="0"/>
              <w:autoSpaceDN w:val="0"/>
              <w:adjustRightInd w:val="0"/>
              <w:snapToGrid w:val="0"/>
              <w:spacing w:line="480" w:lineRule="exact"/>
              <w:rPr>
                <w:color w:val="auto"/>
                <w:kern w:val="0"/>
                <w:sz w:val="26"/>
                <w:szCs w:val="26"/>
                <w:highlight w:val="none"/>
              </w:rPr>
            </w:pPr>
            <w:r>
              <w:rPr>
                <w:b/>
                <w:bCs/>
                <w:color w:val="auto"/>
                <w:kern w:val="0"/>
                <w:sz w:val="26"/>
                <w:szCs w:val="26"/>
                <w:highlight w:val="none"/>
              </w:rPr>
              <w:t>审查机关：</w:t>
            </w:r>
            <w:r>
              <w:rPr>
                <w:rFonts w:hint="eastAsia"/>
                <w:color w:val="auto"/>
                <w:kern w:val="0"/>
                <w:sz w:val="26"/>
                <w:szCs w:val="26"/>
                <w:highlight w:val="none"/>
              </w:rPr>
              <w:t>重庆市合川区生态环境局</w:t>
            </w:r>
          </w:p>
          <w:p w14:paraId="48F21264">
            <w:pPr>
              <w:autoSpaceDE w:val="0"/>
              <w:autoSpaceDN w:val="0"/>
              <w:adjustRightInd w:val="0"/>
              <w:snapToGrid w:val="0"/>
              <w:spacing w:line="480" w:lineRule="exact"/>
              <w:rPr>
                <w:rFonts w:ascii="宋体" w:hAnsi="宋体" w:cs="宋体"/>
                <w:color w:val="auto"/>
                <w:kern w:val="0"/>
                <w:sz w:val="26"/>
                <w:szCs w:val="26"/>
                <w:highlight w:val="none"/>
              </w:rPr>
            </w:pPr>
            <w:r>
              <w:rPr>
                <w:b/>
                <w:bCs/>
                <w:color w:val="auto"/>
                <w:kern w:val="0"/>
                <w:sz w:val="26"/>
                <w:szCs w:val="26"/>
                <w:highlight w:val="none"/>
              </w:rPr>
              <w:t>审查文件名称及文号：</w:t>
            </w:r>
            <w:r>
              <w:rPr>
                <w:rFonts w:hint="eastAsia"/>
                <w:color w:val="auto"/>
                <w:kern w:val="0"/>
                <w:sz w:val="26"/>
                <w:szCs w:val="26"/>
                <w:highlight w:val="none"/>
              </w:rPr>
              <w:t xml:space="preserve">《重庆市合川区生态环境局关于重庆市合川区土场镇、清平镇总体规划环境影响报告书审查意见的函》（合川环函〔2021〕71号）  </w:t>
            </w:r>
          </w:p>
        </w:tc>
      </w:tr>
      <w:tr w14:paraId="48B017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95" w:type="dxa"/>
            <w:vAlign w:val="center"/>
          </w:tcPr>
          <w:p w14:paraId="1304DDD5">
            <w:pPr>
              <w:autoSpaceDE w:val="0"/>
              <w:autoSpaceDN w:val="0"/>
              <w:adjustRightInd w:val="0"/>
              <w:snapToGrid w:val="0"/>
              <w:jc w:val="center"/>
              <w:rPr>
                <w:rFonts w:ascii="宋体" w:hAnsi="宋体" w:cs="宋体"/>
                <w:color w:val="auto"/>
                <w:kern w:val="0"/>
                <w:sz w:val="26"/>
                <w:szCs w:val="26"/>
                <w:highlight w:val="none"/>
              </w:rPr>
            </w:pPr>
            <w:r>
              <w:rPr>
                <w:rFonts w:hint="eastAsia" w:ascii="宋体" w:hAnsi="宋体" w:cs="宋体"/>
                <w:color w:val="auto"/>
                <w:kern w:val="0"/>
                <w:sz w:val="26"/>
                <w:szCs w:val="26"/>
                <w:highlight w:val="none"/>
              </w:rPr>
              <w:t>规划及规划环境影响评价符合性分析</w:t>
            </w:r>
          </w:p>
        </w:tc>
        <w:tc>
          <w:tcPr>
            <w:tcW w:w="7575" w:type="dxa"/>
            <w:gridSpan w:val="4"/>
            <w:vAlign w:val="center"/>
          </w:tcPr>
          <w:p w14:paraId="5817B96A">
            <w:pPr>
              <w:autoSpaceDE w:val="0"/>
              <w:autoSpaceDN w:val="0"/>
              <w:adjustRightInd w:val="0"/>
              <w:snapToGrid w:val="0"/>
              <w:spacing w:line="480" w:lineRule="exact"/>
              <w:ind w:firstLine="522" w:firstLineChars="200"/>
              <w:rPr>
                <w:b/>
                <w:color w:val="auto"/>
                <w:kern w:val="0"/>
                <w:sz w:val="26"/>
                <w:szCs w:val="26"/>
                <w:highlight w:val="none"/>
              </w:rPr>
            </w:pPr>
            <w:r>
              <w:rPr>
                <w:b/>
                <w:color w:val="auto"/>
                <w:kern w:val="0"/>
                <w:sz w:val="26"/>
                <w:szCs w:val="26"/>
                <w:highlight w:val="none"/>
              </w:rPr>
              <w:t>1.1 规划及规划环境影响评价符合性分析</w:t>
            </w:r>
          </w:p>
          <w:p w14:paraId="77DC0F56">
            <w:pPr>
              <w:autoSpaceDE w:val="0"/>
              <w:autoSpaceDN w:val="0"/>
              <w:adjustRightInd w:val="0"/>
              <w:snapToGrid w:val="0"/>
              <w:spacing w:line="480" w:lineRule="exact"/>
              <w:ind w:firstLine="522" w:firstLineChars="200"/>
              <w:rPr>
                <w:b/>
                <w:color w:val="auto"/>
                <w:kern w:val="0"/>
                <w:sz w:val="26"/>
                <w:szCs w:val="26"/>
                <w:highlight w:val="none"/>
              </w:rPr>
            </w:pPr>
            <w:r>
              <w:rPr>
                <w:b/>
                <w:color w:val="auto"/>
                <w:kern w:val="0"/>
                <w:sz w:val="26"/>
                <w:szCs w:val="26"/>
                <w:highlight w:val="none"/>
              </w:rPr>
              <w:t>1.1</w:t>
            </w:r>
            <w:r>
              <w:rPr>
                <w:rFonts w:hint="eastAsia"/>
                <w:b/>
                <w:color w:val="auto"/>
                <w:kern w:val="0"/>
                <w:sz w:val="26"/>
                <w:szCs w:val="26"/>
                <w:highlight w:val="none"/>
              </w:rPr>
              <w:t>.1</w:t>
            </w:r>
            <w:r>
              <w:rPr>
                <w:b/>
                <w:color w:val="auto"/>
                <w:kern w:val="0"/>
                <w:sz w:val="26"/>
                <w:szCs w:val="26"/>
                <w:highlight w:val="none"/>
              </w:rPr>
              <w:t xml:space="preserve"> 与《重庆市合川区土场镇总体规划（2017—2035年）》的符合性分析</w:t>
            </w:r>
          </w:p>
          <w:p w14:paraId="178711FE">
            <w:pPr>
              <w:autoSpaceDE w:val="0"/>
              <w:autoSpaceDN w:val="0"/>
              <w:adjustRightInd w:val="0"/>
              <w:snapToGrid w:val="0"/>
              <w:spacing w:line="480" w:lineRule="exact"/>
              <w:ind w:firstLine="520" w:firstLineChars="200"/>
              <w:rPr>
                <w:bCs/>
                <w:color w:val="auto"/>
                <w:kern w:val="0"/>
                <w:sz w:val="26"/>
                <w:szCs w:val="26"/>
                <w:highlight w:val="none"/>
              </w:rPr>
            </w:pPr>
            <w:r>
              <w:rPr>
                <w:bCs/>
                <w:color w:val="auto"/>
                <w:kern w:val="0"/>
                <w:sz w:val="26"/>
                <w:szCs w:val="26"/>
                <w:highlight w:val="none"/>
              </w:rPr>
              <w:t>《重庆市合川区土场镇总体规划（2017—2035年）》指出，土场镇是合川区东部经济走廊的核心重镇，以发展汽摩整车制造+装备配套为主导，协同发展商贸业和服务业的重庆汽摩产业新城。镇区：包括土场镇区（北部）和银翔新城（南部）两个片区，土场镇区以行政、居住、商务以及工业（汽配）、物流为主，银翔新城以居住和工业（汽车整车制造）为主。</w:t>
            </w:r>
          </w:p>
          <w:p w14:paraId="0307C95F">
            <w:pPr>
              <w:autoSpaceDE w:val="0"/>
              <w:autoSpaceDN w:val="0"/>
              <w:adjustRightInd w:val="0"/>
              <w:snapToGrid w:val="0"/>
              <w:spacing w:line="480" w:lineRule="exact"/>
              <w:ind w:firstLine="520" w:firstLineChars="200"/>
              <w:rPr>
                <w:bCs/>
                <w:color w:val="auto"/>
                <w:kern w:val="0"/>
                <w:sz w:val="26"/>
                <w:szCs w:val="26"/>
                <w:highlight w:val="none"/>
              </w:rPr>
            </w:pPr>
            <w:r>
              <w:rPr>
                <w:bCs/>
                <w:color w:val="auto"/>
                <w:kern w:val="0"/>
                <w:sz w:val="26"/>
                <w:szCs w:val="26"/>
                <w:highlight w:val="none"/>
              </w:rPr>
              <w:t>本项目</w:t>
            </w:r>
            <w:r>
              <w:rPr>
                <w:rFonts w:hint="eastAsia"/>
                <w:bCs/>
                <w:color w:val="auto"/>
                <w:kern w:val="0"/>
                <w:sz w:val="26"/>
                <w:szCs w:val="26"/>
                <w:highlight w:val="none"/>
              </w:rPr>
              <w:t>租用重庆友拓汽车零部件有限公司合川厂区工程建设项目</w:t>
            </w:r>
            <w:r>
              <w:rPr>
                <w:rFonts w:hint="eastAsia"/>
                <w:bCs/>
                <w:color w:val="auto"/>
                <w:kern w:val="0"/>
                <w:sz w:val="26"/>
                <w:szCs w:val="26"/>
                <w:highlight w:val="none"/>
                <w:lang w:eastAsia="zh-CN"/>
              </w:rPr>
              <w:t>厂房及设备进行技术改造，</w:t>
            </w:r>
            <w:r>
              <w:rPr>
                <w:rFonts w:hint="eastAsia"/>
                <w:bCs/>
                <w:color w:val="auto"/>
                <w:kern w:val="0"/>
                <w:sz w:val="26"/>
                <w:szCs w:val="26"/>
                <w:highlight w:val="none"/>
              </w:rPr>
              <w:t>相关环境保护手续一并承接</w:t>
            </w:r>
            <w:r>
              <w:rPr>
                <w:rFonts w:hint="eastAsia"/>
                <w:bCs/>
                <w:color w:val="auto"/>
                <w:kern w:val="0"/>
                <w:sz w:val="26"/>
                <w:szCs w:val="26"/>
                <w:highlight w:val="none"/>
                <w:lang w:eastAsia="zh-CN"/>
              </w:rPr>
              <w:t>。</w:t>
            </w:r>
            <w:r>
              <w:rPr>
                <w:bCs/>
                <w:color w:val="auto"/>
                <w:kern w:val="0"/>
                <w:sz w:val="26"/>
                <w:szCs w:val="26"/>
                <w:highlight w:val="none"/>
              </w:rPr>
              <w:t>位于重庆市合川区土场镇</w:t>
            </w:r>
            <w:r>
              <w:rPr>
                <w:rFonts w:hint="eastAsia"/>
                <w:bCs/>
                <w:color w:val="auto"/>
                <w:kern w:val="0"/>
                <w:sz w:val="26"/>
                <w:szCs w:val="26"/>
                <w:highlight w:val="none"/>
                <w:lang w:eastAsia="zh-CN"/>
              </w:rPr>
              <w:t>前石路4号</w:t>
            </w:r>
            <w:r>
              <w:rPr>
                <w:rFonts w:hint="eastAsia"/>
                <w:bCs/>
                <w:color w:val="auto"/>
                <w:kern w:val="0"/>
                <w:sz w:val="26"/>
                <w:szCs w:val="26"/>
                <w:highlight w:val="none"/>
              </w:rPr>
              <w:t>，</w:t>
            </w:r>
            <w:r>
              <w:rPr>
                <w:bCs/>
                <w:color w:val="auto"/>
                <w:kern w:val="0"/>
                <w:sz w:val="26"/>
                <w:szCs w:val="26"/>
                <w:highlight w:val="none"/>
              </w:rPr>
              <w:t>所在区域属于合规的工业园区</w:t>
            </w:r>
            <w:r>
              <w:rPr>
                <w:rFonts w:hint="eastAsia"/>
                <w:bCs/>
                <w:color w:val="auto"/>
                <w:kern w:val="0"/>
                <w:sz w:val="26"/>
                <w:szCs w:val="26"/>
                <w:highlight w:val="none"/>
                <w:lang w:eastAsia="zh-CN"/>
              </w:rPr>
              <w:t>（</w:t>
            </w:r>
            <w:r>
              <w:rPr>
                <w:rFonts w:hint="eastAsia"/>
                <w:bCs/>
                <w:color w:val="auto"/>
                <w:kern w:val="0"/>
                <w:sz w:val="26"/>
                <w:szCs w:val="26"/>
                <w:highlight w:val="none"/>
              </w:rPr>
              <w:t>渝府</w:t>
            </w:r>
            <w:r>
              <w:rPr>
                <w:rFonts w:hint="eastAsia"/>
                <w:bCs/>
                <w:color w:val="auto"/>
                <w:kern w:val="0"/>
                <w:sz w:val="26"/>
                <w:szCs w:val="26"/>
                <w:highlight w:val="none"/>
                <w:lang w:eastAsia="zh-CN"/>
              </w:rPr>
              <w:t>〔2016〕53号</w:t>
            </w:r>
            <w:r>
              <w:rPr>
                <w:rFonts w:hint="eastAsia"/>
                <w:bCs/>
                <w:color w:val="auto"/>
                <w:kern w:val="0"/>
                <w:sz w:val="26"/>
                <w:szCs w:val="26"/>
                <w:highlight w:val="none"/>
              </w:rPr>
              <w:t>批准的合川市级工业园区天顶组团</w:t>
            </w:r>
            <w:r>
              <w:rPr>
                <w:rFonts w:hint="eastAsia"/>
                <w:bCs/>
                <w:color w:val="auto"/>
                <w:kern w:val="0"/>
                <w:sz w:val="26"/>
                <w:szCs w:val="26"/>
                <w:highlight w:val="none"/>
                <w:lang w:eastAsia="zh-CN"/>
              </w:rPr>
              <w:t>；2025年2月，重庆市合川区人民政府以《重庆市合川区人民政府关于核准重庆合川高新技术产业开发区规划范围的请示》合川府文〔2025〕2号中将天顶组团更名为黄金组团）。</w:t>
            </w:r>
            <w:r>
              <w:rPr>
                <w:bCs/>
                <w:color w:val="auto"/>
                <w:kern w:val="0"/>
                <w:sz w:val="26"/>
                <w:szCs w:val="26"/>
                <w:highlight w:val="none"/>
              </w:rPr>
              <w:t>用地性质为工业用地，项目所属行业类别为C3670汽车零部件及配件制造，为汽车整车制造的配套产业，符合《重庆市合川区土场镇总体规划（2017—2035年）》用地规划及产业发展定位要求。</w:t>
            </w:r>
          </w:p>
          <w:p w14:paraId="6641DE46">
            <w:pPr>
              <w:autoSpaceDE w:val="0"/>
              <w:autoSpaceDN w:val="0"/>
              <w:adjustRightInd w:val="0"/>
              <w:snapToGrid w:val="0"/>
              <w:spacing w:line="480" w:lineRule="exact"/>
              <w:ind w:firstLine="522" w:firstLineChars="200"/>
              <w:rPr>
                <w:b/>
                <w:bCs/>
                <w:color w:val="auto"/>
                <w:kern w:val="0"/>
                <w:sz w:val="26"/>
                <w:szCs w:val="26"/>
                <w:highlight w:val="none"/>
              </w:rPr>
            </w:pPr>
            <w:r>
              <w:rPr>
                <w:b/>
                <w:bCs/>
                <w:color w:val="auto"/>
                <w:kern w:val="0"/>
                <w:sz w:val="26"/>
                <w:szCs w:val="26"/>
                <w:highlight w:val="none"/>
              </w:rPr>
              <w:t>1.</w:t>
            </w:r>
            <w:r>
              <w:rPr>
                <w:rFonts w:hint="eastAsia"/>
                <w:b/>
                <w:bCs/>
                <w:color w:val="auto"/>
                <w:kern w:val="0"/>
                <w:sz w:val="26"/>
                <w:szCs w:val="26"/>
                <w:highlight w:val="none"/>
              </w:rPr>
              <w:t>1.</w:t>
            </w:r>
            <w:r>
              <w:rPr>
                <w:b/>
                <w:bCs/>
                <w:color w:val="auto"/>
                <w:kern w:val="0"/>
                <w:sz w:val="26"/>
                <w:szCs w:val="26"/>
                <w:highlight w:val="none"/>
              </w:rPr>
              <w:t>2 与</w:t>
            </w:r>
            <w:r>
              <w:rPr>
                <w:rFonts w:hint="eastAsia"/>
                <w:b/>
                <w:bCs/>
                <w:color w:val="auto"/>
                <w:kern w:val="0"/>
                <w:sz w:val="26"/>
                <w:szCs w:val="26"/>
                <w:highlight w:val="none"/>
              </w:rPr>
              <w:t>《重庆市合川区土场镇、清平镇总体规划环境影响报告书》及其审查意见函</w:t>
            </w:r>
            <w:r>
              <w:rPr>
                <w:b/>
                <w:bCs/>
                <w:color w:val="auto"/>
                <w:kern w:val="0"/>
                <w:sz w:val="26"/>
                <w:szCs w:val="26"/>
                <w:highlight w:val="none"/>
              </w:rPr>
              <w:t>符合性分析</w:t>
            </w:r>
            <w:r>
              <w:rPr>
                <w:rFonts w:hint="eastAsia"/>
                <w:b/>
                <w:bCs/>
                <w:color w:val="auto"/>
                <w:kern w:val="0"/>
                <w:sz w:val="26"/>
                <w:szCs w:val="26"/>
                <w:highlight w:val="none"/>
              </w:rPr>
              <w:t xml:space="preserve"> </w:t>
            </w:r>
          </w:p>
          <w:p w14:paraId="389210D1">
            <w:pPr>
              <w:autoSpaceDE w:val="0"/>
              <w:autoSpaceDN w:val="0"/>
              <w:adjustRightInd w:val="0"/>
              <w:snapToGrid w:val="0"/>
              <w:spacing w:line="480" w:lineRule="exact"/>
              <w:ind w:firstLine="520" w:firstLineChars="200"/>
              <w:rPr>
                <w:color w:val="auto"/>
                <w:kern w:val="0"/>
                <w:sz w:val="26"/>
                <w:szCs w:val="26"/>
                <w:highlight w:val="none"/>
              </w:rPr>
            </w:pPr>
            <w:r>
              <w:rPr>
                <w:rFonts w:hint="eastAsia"/>
                <w:color w:val="auto"/>
                <w:kern w:val="0"/>
                <w:sz w:val="26"/>
                <w:szCs w:val="26"/>
                <w:highlight w:val="none"/>
              </w:rPr>
              <w:t>项目与园区规划环评及其审查意见函符合性分析详见下表。</w:t>
            </w:r>
          </w:p>
          <w:p w14:paraId="6CEA1DA7">
            <w:pPr>
              <w:autoSpaceDE w:val="0"/>
              <w:autoSpaceDN w:val="0"/>
              <w:adjustRightInd w:val="0"/>
              <w:jc w:val="left"/>
              <w:rPr>
                <w:rFonts w:ascii="宋体" w:cs="宋体"/>
                <w:color w:val="auto"/>
                <w:kern w:val="0"/>
                <w:sz w:val="24"/>
                <w:highlight w:val="none"/>
              </w:rPr>
            </w:pPr>
          </w:p>
          <w:p w14:paraId="03FC5CEA">
            <w:pPr>
              <w:autoSpaceDE w:val="0"/>
              <w:autoSpaceDN w:val="0"/>
              <w:adjustRightInd w:val="0"/>
              <w:jc w:val="center"/>
              <w:rPr>
                <w:color w:val="auto"/>
                <w:kern w:val="0"/>
                <w:sz w:val="26"/>
                <w:szCs w:val="26"/>
                <w:highlight w:val="none"/>
              </w:rPr>
            </w:pPr>
            <w:r>
              <w:rPr>
                <w:color w:val="auto"/>
                <w:kern w:val="0"/>
                <w:sz w:val="26"/>
                <w:szCs w:val="26"/>
                <w:highlight w:val="none"/>
              </w:rPr>
              <w:t>表1.</w:t>
            </w:r>
            <w:r>
              <w:rPr>
                <w:rFonts w:hint="eastAsia"/>
                <w:color w:val="auto"/>
                <w:kern w:val="0"/>
                <w:sz w:val="26"/>
                <w:szCs w:val="26"/>
                <w:highlight w:val="none"/>
              </w:rPr>
              <w:t>1</w:t>
            </w:r>
            <w:r>
              <w:rPr>
                <w:color w:val="auto"/>
                <w:kern w:val="0"/>
                <w:sz w:val="26"/>
                <w:szCs w:val="26"/>
                <w:highlight w:val="none"/>
              </w:rPr>
              <w:t xml:space="preserve">-1 </w:t>
            </w:r>
            <w:r>
              <w:rPr>
                <w:rFonts w:hint="eastAsia"/>
                <w:color w:val="auto"/>
                <w:kern w:val="0"/>
                <w:sz w:val="26"/>
                <w:szCs w:val="26"/>
                <w:highlight w:val="none"/>
              </w:rPr>
              <w:t>与园区规划环评报告书符合性分析（摘录）</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
              <w:gridCol w:w="391"/>
              <w:gridCol w:w="378"/>
              <w:gridCol w:w="3779"/>
              <w:gridCol w:w="2447"/>
            </w:tblGrid>
            <w:tr w14:paraId="5DBC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7"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1FA11293">
                  <w:pPr>
                    <w:adjustRightInd w:val="0"/>
                    <w:snapToGrid w:val="0"/>
                    <w:ind w:left="-53" w:leftChars="-25" w:right="-53" w:rightChars="-25"/>
                    <w:jc w:val="center"/>
                    <w:rPr>
                      <w:color w:val="auto"/>
                      <w:kern w:val="0"/>
                      <w:sz w:val="20"/>
                      <w:szCs w:val="20"/>
                      <w:highlight w:val="none"/>
                    </w:rPr>
                  </w:pPr>
                  <w:r>
                    <w:rPr>
                      <w:rFonts w:hint="eastAsia"/>
                      <w:color w:val="auto"/>
                      <w:sz w:val="20"/>
                      <w:szCs w:val="20"/>
                      <w:highlight w:val="none"/>
                    </w:rPr>
                    <w:t>分类</w:t>
                  </w:r>
                </w:p>
              </w:tc>
              <w:tc>
                <w:tcPr>
                  <w:tcW w:w="2827"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31D786FA">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清单内容</w:t>
                  </w:r>
                </w:p>
              </w:tc>
              <w:tc>
                <w:tcPr>
                  <w:tcW w:w="1664" w:type="pct"/>
                  <w:tcBorders>
                    <w:top w:val="single" w:color="auto" w:sz="4" w:space="0"/>
                    <w:left w:val="single" w:color="auto" w:sz="4" w:space="0"/>
                    <w:bottom w:val="single" w:color="auto" w:sz="4" w:space="0"/>
                    <w:right w:val="single" w:color="auto" w:sz="4" w:space="0"/>
                    <w:tl2br w:val="nil"/>
                    <w:tr2bl w:val="nil"/>
                  </w:tcBorders>
                  <w:vAlign w:val="center"/>
                </w:tcPr>
                <w:p w14:paraId="2532C021">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符合性分析</w:t>
                  </w:r>
                </w:p>
              </w:tc>
            </w:tr>
            <w:tr w14:paraId="5D1D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7" w:type="pct"/>
                  <w:gridSpan w:val="2"/>
                  <w:vMerge w:val="restart"/>
                  <w:tcBorders>
                    <w:top w:val="single" w:color="auto" w:sz="4" w:space="0"/>
                    <w:left w:val="single" w:color="auto" w:sz="4" w:space="0"/>
                    <w:right w:val="single" w:color="auto" w:sz="4" w:space="0"/>
                    <w:tl2br w:val="nil"/>
                    <w:tr2bl w:val="nil"/>
                  </w:tcBorders>
                  <w:vAlign w:val="center"/>
                </w:tcPr>
                <w:p w14:paraId="28B6C2AE">
                  <w:pPr>
                    <w:pStyle w:val="54"/>
                    <w:rPr>
                      <w:color w:val="auto"/>
                      <w:sz w:val="20"/>
                      <w:szCs w:val="20"/>
                      <w:highlight w:val="none"/>
                    </w:rPr>
                  </w:pPr>
                  <w:r>
                    <w:rPr>
                      <w:rFonts w:hint="eastAsia"/>
                      <w:color w:val="auto"/>
                      <w:sz w:val="20"/>
                      <w:szCs w:val="20"/>
                      <w:highlight w:val="none"/>
                    </w:rPr>
                    <w:t>优化调整建议</w:t>
                  </w:r>
                </w:p>
              </w:tc>
              <w:tc>
                <w:tcPr>
                  <w:tcW w:w="2827"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124CEF5F">
                  <w:pPr>
                    <w:pStyle w:val="54"/>
                    <w:rPr>
                      <w:color w:val="auto"/>
                      <w:sz w:val="20"/>
                      <w:szCs w:val="20"/>
                      <w:highlight w:val="none"/>
                    </w:rPr>
                  </w:pPr>
                  <w:r>
                    <w:rPr>
                      <w:color w:val="auto"/>
                      <w:sz w:val="20"/>
                      <w:szCs w:val="20"/>
                      <w:highlight w:val="none"/>
                    </w:rPr>
                    <w:t>临近居住用地的工业用地不宜布置环境空气影响相对较大的企业或生产车间，优先布局对居住和公共设施等环境基本无干扰和污染的工业项目，涉及环境防护距离的工业企业或项目，应通过选址或调整布局严格控制环境防护距离。</w:t>
                  </w:r>
                </w:p>
              </w:tc>
              <w:tc>
                <w:tcPr>
                  <w:tcW w:w="1664" w:type="pct"/>
                  <w:vMerge w:val="restart"/>
                  <w:tcBorders>
                    <w:top w:val="single" w:color="auto" w:sz="4" w:space="0"/>
                    <w:left w:val="single" w:color="auto" w:sz="4" w:space="0"/>
                    <w:right w:val="single" w:color="auto" w:sz="4" w:space="0"/>
                    <w:tl2br w:val="nil"/>
                    <w:tr2bl w:val="nil"/>
                  </w:tcBorders>
                  <w:vAlign w:val="center"/>
                </w:tcPr>
                <w:p w14:paraId="20C58E08">
                  <w:pPr>
                    <w:pStyle w:val="54"/>
                    <w:rPr>
                      <w:color w:val="auto"/>
                      <w:sz w:val="20"/>
                      <w:szCs w:val="20"/>
                      <w:highlight w:val="none"/>
                    </w:rPr>
                  </w:pPr>
                  <w:r>
                    <w:rPr>
                      <w:rFonts w:hint="eastAsia"/>
                      <w:color w:val="auto"/>
                      <w:sz w:val="20"/>
                      <w:szCs w:val="20"/>
                      <w:highlight w:val="none"/>
                    </w:rPr>
                    <w:t>符合。</w:t>
                  </w:r>
                </w:p>
                <w:p w14:paraId="177521F7">
                  <w:pPr>
                    <w:pStyle w:val="54"/>
                    <w:rPr>
                      <w:color w:val="auto"/>
                      <w:sz w:val="20"/>
                      <w:szCs w:val="20"/>
                      <w:highlight w:val="none"/>
                    </w:rPr>
                  </w:pPr>
                  <w:r>
                    <w:rPr>
                      <w:rFonts w:hint="eastAsia"/>
                      <w:color w:val="auto"/>
                      <w:sz w:val="20"/>
                      <w:szCs w:val="20"/>
                      <w:highlight w:val="none"/>
                    </w:rPr>
                    <w:t>项目租用重庆友拓汽车零部件有限公司合川厂区工程建设项目厂房</w:t>
                  </w:r>
                  <w:r>
                    <w:rPr>
                      <w:rFonts w:hint="eastAsia"/>
                      <w:color w:val="auto"/>
                      <w:sz w:val="20"/>
                      <w:szCs w:val="20"/>
                      <w:highlight w:val="none"/>
                      <w:lang w:eastAsia="zh-CN"/>
                    </w:rPr>
                    <w:t>及设备</w:t>
                  </w:r>
                  <w:r>
                    <w:rPr>
                      <w:rFonts w:hint="eastAsia"/>
                      <w:color w:val="auto"/>
                      <w:sz w:val="20"/>
                      <w:szCs w:val="20"/>
                      <w:highlight w:val="none"/>
                    </w:rPr>
                    <w:t>，位于居住用地下风向，距离居住用地最近距离约</w:t>
                  </w:r>
                  <w:r>
                    <w:rPr>
                      <w:rFonts w:hint="eastAsia"/>
                      <w:color w:val="auto"/>
                      <w:sz w:val="20"/>
                      <w:szCs w:val="20"/>
                      <w:highlight w:val="none"/>
                      <w:lang w:val="en-US" w:eastAsia="zh-CN"/>
                    </w:rPr>
                    <w:t>404</w:t>
                  </w:r>
                  <w:r>
                    <w:rPr>
                      <w:rFonts w:hint="eastAsia"/>
                      <w:color w:val="auto"/>
                      <w:sz w:val="20"/>
                      <w:szCs w:val="20"/>
                      <w:highlight w:val="none"/>
                    </w:rPr>
                    <w:t>m，且中间有道路、已建工业企业相隔，不属于临近居住用地的地块。</w:t>
                  </w:r>
                </w:p>
              </w:tc>
            </w:tr>
            <w:tr w14:paraId="4D55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7" w:type="pct"/>
                  <w:gridSpan w:val="2"/>
                  <w:vMerge w:val="continue"/>
                  <w:tcBorders>
                    <w:left w:val="single" w:color="auto" w:sz="4" w:space="0"/>
                    <w:bottom w:val="single" w:color="auto" w:sz="4" w:space="0"/>
                    <w:right w:val="single" w:color="auto" w:sz="4" w:space="0"/>
                    <w:tl2br w:val="nil"/>
                    <w:tr2bl w:val="nil"/>
                  </w:tcBorders>
                  <w:vAlign w:val="center"/>
                </w:tcPr>
                <w:p w14:paraId="60B7584A">
                  <w:pPr>
                    <w:pStyle w:val="54"/>
                    <w:rPr>
                      <w:color w:val="auto"/>
                      <w:sz w:val="20"/>
                      <w:szCs w:val="20"/>
                      <w:highlight w:val="none"/>
                    </w:rPr>
                  </w:pPr>
                </w:p>
              </w:tc>
              <w:tc>
                <w:tcPr>
                  <w:tcW w:w="2827"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559B7754">
                  <w:pPr>
                    <w:pStyle w:val="54"/>
                    <w:rPr>
                      <w:color w:val="auto"/>
                      <w:sz w:val="20"/>
                      <w:szCs w:val="20"/>
                      <w:highlight w:val="none"/>
                    </w:rPr>
                  </w:pPr>
                  <w:r>
                    <w:rPr>
                      <w:color w:val="auto"/>
                      <w:sz w:val="20"/>
                      <w:szCs w:val="20"/>
                      <w:highlight w:val="none"/>
                    </w:rPr>
                    <w:t>严格控制与居住区相邻的工业用地，为了减轻周边工业用地对居住区的影响，周边工业用地宜规划为一类工业用地，入驻企业控制为低噪声、低污染企业的企业。</w:t>
                  </w:r>
                </w:p>
              </w:tc>
              <w:tc>
                <w:tcPr>
                  <w:tcW w:w="1664" w:type="pct"/>
                  <w:vMerge w:val="continue"/>
                  <w:tcBorders>
                    <w:left w:val="single" w:color="auto" w:sz="4" w:space="0"/>
                    <w:bottom w:val="single" w:color="auto" w:sz="4" w:space="0"/>
                    <w:right w:val="single" w:color="auto" w:sz="4" w:space="0"/>
                    <w:tl2br w:val="nil"/>
                    <w:tr2bl w:val="nil"/>
                  </w:tcBorders>
                  <w:vAlign w:val="center"/>
                </w:tcPr>
                <w:p w14:paraId="314E716C">
                  <w:pPr>
                    <w:pStyle w:val="54"/>
                    <w:rPr>
                      <w:color w:val="auto"/>
                      <w:sz w:val="20"/>
                      <w:szCs w:val="20"/>
                      <w:highlight w:val="none"/>
                    </w:rPr>
                  </w:pPr>
                </w:p>
              </w:tc>
            </w:tr>
            <w:tr w14:paraId="2CA50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 w:type="pct"/>
                  <w:vMerge w:val="restart"/>
                  <w:tcBorders>
                    <w:top w:val="single" w:color="auto" w:sz="4" w:space="0"/>
                    <w:left w:val="single" w:color="auto" w:sz="4" w:space="0"/>
                    <w:right w:val="single" w:color="auto" w:sz="4" w:space="0"/>
                    <w:tl2br w:val="nil"/>
                    <w:tr2bl w:val="nil"/>
                  </w:tcBorders>
                  <w:vAlign w:val="center"/>
                </w:tcPr>
                <w:p w14:paraId="5179A351">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生态环境准入清单</w:t>
                  </w:r>
                </w:p>
              </w:tc>
              <w:tc>
                <w:tcPr>
                  <w:tcW w:w="266" w:type="pct"/>
                  <w:tcBorders>
                    <w:top w:val="single" w:color="auto" w:sz="4" w:space="0"/>
                    <w:left w:val="single" w:color="auto" w:sz="4" w:space="0"/>
                    <w:bottom w:val="single" w:color="auto" w:sz="4" w:space="0"/>
                    <w:right w:val="single" w:color="auto" w:sz="4" w:space="0"/>
                    <w:tl2br w:val="nil"/>
                    <w:tr2bl w:val="nil"/>
                  </w:tcBorders>
                  <w:vAlign w:val="center"/>
                </w:tcPr>
                <w:p w14:paraId="37EDFC66">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空间布局约束</w:t>
                  </w:r>
                </w:p>
              </w:tc>
              <w:tc>
                <w:tcPr>
                  <w:tcW w:w="2827"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3256D982">
                  <w:pPr>
                    <w:pStyle w:val="54"/>
                    <w:rPr>
                      <w:color w:val="auto"/>
                      <w:sz w:val="20"/>
                      <w:szCs w:val="20"/>
                      <w:highlight w:val="none"/>
                    </w:rPr>
                  </w:pPr>
                  <w:r>
                    <w:rPr>
                      <w:color w:val="auto"/>
                      <w:sz w:val="20"/>
                      <w:szCs w:val="20"/>
                      <w:highlight w:val="none"/>
                    </w:rPr>
                    <w:t>1、优化环境防护距离设置，将环境防护距离优化控制在园区边界或用地红线以内。</w:t>
                  </w:r>
                </w:p>
                <w:p w14:paraId="7258F651">
                  <w:pPr>
                    <w:pStyle w:val="54"/>
                    <w:rPr>
                      <w:color w:val="auto"/>
                      <w:sz w:val="20"/>
                      <w:szCs w:val="20"/>
                      <w:highlight w:val="none"/>
                    </w:rPr>
                  </w:pPr>
                  <w:r>
                    <w:rPr>
                      <w:color w:val="auto"/>
                      <w:sz w:val="20"/>
                      <w:szCs w:val="20"/>
                      <w:highlight w:val="none"/>
                    </w:rPr>
                    <w:t>2、临近居住用地的工业用地不宜布置环境空气影响相对较大的企业或生产车间；涉及环境防护距离的工业企业或项目，应通过选址或调整布局严格控制环境防护距离。</w:t>
                  </w:r>
                </w:p>
                <w:p w14:paraId="20299050">
                  <w:pPr>
                    <w:pStyle w:val="54"/>
                    <w:rPr>
                      <w:color w:val="auto"/>
                      <w:sz w:val="20"/>
                      <w:szCs w:val="20"/>
                      <w:highlight w:val="none"/>
                    </w:rPr>
                  </w:pPr>
                  <w:r>
                    <w:rPr>
                      <w:color w:val="auto"/>
                      <w:sz w:val="20"/>
                      <w:szCs w:val="20"/>
                      <w:highlight w:val="none"/>
                    </w:rPr>
                    <w:t>3、严格控制镇区边界，不得侵占生态保护红线、一般生态空间、“四山”禁建区。</w:t>
                  </w:r>
                </w:p>
                <w:p w14:paraId="53ACFA5C">
                  <w:pPr>
                    <w:pStyle w:val="54"/>
                    <w:rPr>
                      <w:color w:val="auto"/>
                      <w:sz w:val="20"/>
                      <w:szCs w:val="20"/>
                      <w:highlight w:val="none"/>
                    </w:rPr>
                  </w:pPr>
                  <w:r>
                    <w:rPr>
                      <w:color w:val="auto"/>
                      <w:sz w:val="20"/>
                      <w:szCs w:val="20"/>
                      <w:highlight w:val="none"/>
                    </w:rPr>
                    <w:t>4、生态保护红线内原则上禁止人为活动，其他区域严格禁止开发性、生产性建设活动，在符合现行法律法规前提下，除国家重大战略项目外，仅允许对生态功能不造成破坏的有限人为活动。</w:t>
                  </w:r>
                </w:p>
              </w:tc>
              <w:tc>
                <w:tcPr>
                  <w:tcW w:w="1664" w:type="pct"/>
                  <w:tcBorders>
                    <w:top w:val="single" w:color="auto" w:sz="4" w:space="0"/>
                    <w:left w:val="single" w:color="auto" w:sz="4" w:space="0"/>
                    <w:bottom w:val="single" w:color="auto" w:sz="4" w:space="0"/>
                    <w:right w:val="single" w:color="auto" w:sz="4" w:space="0"/>
                    <w:tl2br w:val="nil"/>
                    <w:tr2bl w:val="nil"/>
                  </w:tcBorders>
                  <w:vAlign w:val="center"/>
                </w:tcPr>
                <w:p w14:paraId="44FE6C46">
                  <w:pPr>
                    <w:pStyle w:val="54"/>
                    <w:rPr>
                      <w:color w:val="auto"/>
                      <w:sz w:val="20"/>
                      <w:szCs w:val="20"/>
                      <w:highlight w:val="none"/>
                    </w:rPr>
                  </w:pPr>
                  <w:r>
                    <w:rPr>
                      <w:rFonts w:hint="eastAsia"/>
                      <w:color w:val="auto"/>
                      <w:sz w:val="20"/>
                      <w:szCs w:val="20"/>
                      <w:highlight w:val="none"/>
                    </w:rPr>
                    <w:t>符合。</w:t>
                  </w:r>
                </w:p>
                <w:p w14:paraId="72EE991D">
                  <w:pPr>
                    <w:pStyle w:val="54"/>
                    <w:rPr>
                      <w:color w:val="auto"/>
                      <w:sz w:val="20"/>
                      <w:szCs w:val="20"/>
                      <w:highlight w:val="none"/>
                    </w:rPr>
                  </w:pPr>
                  <w:r>
                    <w:rPr>
                      <w:rFonts w:hint="eastAsia"/>
                      <w:color w:val="auto"/>
                      <w:sz w:val="20"/>
                      <w:szCs w:val="20"/>
                      <w:highlight w:val="none"/>
                    </w:rPr>
                    <w:t>项目无须设置环境防护距离，项目所在地不属于临近居住用地的工业用地；项目所在区域属于合规的工业园区，不涉及占用生态保护红线、一般生态空间及“四山”禁建区。</w:t>
                  </w:r>
                </w:p>
              </w:tc>
            </w:tr>
            <w:tr w14:paraId="7DD8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 w:type="pct"/>
                  <w:vMerge w:val="continue"/>
                  <w:tcBorders>
                    <w:left w:val="single" w:color="auto" w:sz="4" w:space="0"/>
                    <w:right w:val="single" w:color="auto" w:sz="4" w:space="0"/>
                    <w:tl2br w:val="nil"/>
                    <w:tr2bl w:val="nil"/>
                  </w:tcBorders>
                  <w:vAlign w:val="center"/>
                </w:tcPr>
                <w:p w14:paraId="5EA5CD0D">
                  <w:pPr>
                    <w:adjustRightInd w:val="0"/>
                    <w:snapToGrid w:val="0"/>
                    <w:ind w:left="-53" w:leftChars="-25" w:right="-53" w:rightChars="-25"/>
                    <w:jc w:val="center"/>
                    <w:rPr>
                      <w:color w:val="auto"/>
                      <w:sz w:val="20"/>
                      <w:szCs w:val="20"/>
                      <w:highlight w:val="none"/>
                    </w:rPr>
                  </w:pPr>
                </w:p>
              </w:tc>
              <w:tc>
                <w:tcPr>
                  <w:tcW w:w="266"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665F6A9F">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污染物排放管控</w:t>
                  </w:r>
                </w:p>
              </w:tc>
              <w:tc>
                <w:tcPr>
                  <w:tcW w:w="257" w:type="pct"/>
                  <w:tcBorders>
                    <w:top w:val="single" w:color="auto" w:sz="4" w:space="0"/>
                    <w:left w:val="single" w:color="auto" w:sz="4" w:space="0"/>
                    <w:bottom w:val="single" w:color="auto" w:sz="4" w:space="0"/>
                    <w:right w:val="single" w:color="auto" w:sz="4" w:space="0"/>
                    <w:tl2br w:val="nil"/>
                    <w:tr2bl w:val="nil"/>
                  </w:tcBorders>
                  <w:vAlign w:val="center"/>
                </w:tcPr>
                <w:p w14:paraId="1C3720A1">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水污染控制要求</w:t>
                  </w:r>
                </w:p>
              </w:tc>
              <w:tc>
                <w:tcPr>
                  <w:tcW w:w="2569" w:type="pct"/>
                  <w:tcBorders>
                    <w:top w:val="single" w:color="auto" w:sz="4" w:space="0"/>
                    <w:left w:val="single" w:color="auto" w:sz="4" w:space="0"/>
                    <w:bottom w:val="single" w:color="auto" w:sz="4" w:space="0"/>
                    <w:right w:val="single" w:color="auto" w:sz="4" w:space="0"/>
                    <w:tl2br w:val="nil"/>
                    <w:tr2bl w:val="nil"/>
                  </w:tcBorders>
                  <w:vAlign w:val="center"/>
                </w:tcPr>
                <w:p w14:paraId="31A014E6">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1、加快建设微车基地污水处理厂，确保与服务范围的工业项目建设相衔接，确保规划区生活污水和工业废水能得到完全接纳。</w:t>
                  </w:r>
                </w:p>
                <w:p w14:paraId="2DDB32D5">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2、适时启动清平生活污水处理厂、土场生活污水处理厂、银翔新城</w:t>
                  </w:r>
                  <w:r>
                    <w:rPr>
                      <w:rFonts w:hint="eastAsia"/>
                      <w:color w:val="auto"/>
                      <w:sz w:val="20"/>
                      <w:szCs w:val="20"/>
                      <w:highlight w:val="none"/>
                      <w:lang w:eastAsia="zh-CN"/>
                    </w:rPr>
                    <w:t>污水</w:t>
                  </w:r>
                  <w:r>
                    <w:rPr>
                      <w:rFonts w:hint="eastAsia"/>
                      <w:color w:val="auto"/>
                      <w:sz w:val="20"/>
                      <w:szCs w:val="20"/>
                      <w:highlight w:val="none"/>
                    </w:rPr>
                    <w:t>处理厂的扩建及提标，确保区域生活污水和工业废水处理率100%。</w:t>
                  </w:r>
                </w:p>
                <w:p w14:paraId="3F49B864">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3、（城乡污水管网配套建设）强化城中村、老旧城区和</w:t>
                  </w:r>
                  <w:bookmarkStart w:id="2" w:name="hmcheck_99a887e047b7445fade48af1409cea44"/>
                  <w:r>
                    <w:rPr>
                      <w:rFonts w:hint="eastAsia"/>
                      <w:color w:val="auto"/>
                      <w:sz w:val="20"/>
                      <w:szCs w:val="20"/>
                      <w:highlight w:val="none"/>
                      <w:shd w:val="clear" w:fill="B2E9BC"/>
                      <w:lang w:eastAsia="zh-CN"/>
                    </w:rPr>
                    <w:t>城乡接合部</w:t>
                  </w:r>
                  <w:bookmarkEnd w:id="2"/>
                  <w:r>
                    <w:rPr>
                      <w:rFonts w:hint="eastAsia"/>
                      <w:color w:val="auto"/>
                      <w:sz w:val="20"/>
                      <w:szCs w:val="20"/>
                      <w:highlight w:val="none"/>
                    </w:rPr>
                    <w:t>污水的截流、收集。现有合流制排水系统应加快实施雨污分流改造，难以改造的应采取截流、调蓄和治理等措施。新建污水处理设施的配套管网应同步设计、同步建设、同步投运。城镇新区建设均应实行雨污分流。</w:t>
                  </w:r>
                </w:p>
              </w:tc>
              <w:tc>
                <w:tcPr>
                  <w:tcW w:w="1664" w:type="pct"/>
                  <w:tcBorders>
                    <w:top w:val="single" w:color="auto" w:sz="4" w:space="0"/>
                    <w:left w:val="single" w:color="auto" w:sz="4" w:space="0"/>
                    <w:bottom w:val="single" w:color="auto" w:sz="4" w:space="0"/>
                    <w:right w:val="single" w:color="auto" w:sz="4" w:space="0"/>
                    <w:tl2br w:val="nil"/>
                    <w:tr2bl w:val="nil"/>
                  </w:tcBorders>
                  <w:vAlign w:val="center"/>
                </w:tcPr>
                <w:p w14:paraId="01FBC8B1">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符合。</w:t>
                  </w:r>
                </w:p>
                <w:p w14:paraId="1DD65A6D">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项目废水经银翔新城污水处理厂处理达标后</w:t>
                  </w:r>
                  <w:bookmarkStart w:id="3" w:name="hmcheck_02d8e29b2ee94120a0a7947ee50fff0c"/>
                  <w:r>
                    <w:rPr>
                      <w:rFonts w:hint="eastAsia"/>
                      <w:color w:val="auto"/>
                      <w:sz w:val="20"/>
                      <w:szCs w:val="20"/>
                      <w:highlight w:val="none"/>
                      <w:shd w:val="clear" w:fill="B2E9BC"/>
                      <w:lang w:eastAsia="zh-CN"/>
                    </w:rPr>
                    <w:t>排入</w:t>
                  </w:r>
                  <w:bookmarkEnd w:id="3"/>
                  <w:r>
                    <w:rPr>
                      <w:rFonts w:hint="eastAsia"/>
                      <w:color w:val="auto"/>
                      <w:sz w:val="20"/>
                      <w:szCs w:val="20"/>
                      <w:highlight w:val="none"/>
                    </w:rPr>
                    <w:t>柏水溪，目前银翔新城污水处理厂已完成一级A标准的提标改造工作。</w:t>
                  </w:r>
                </w:p>
              </w:tc>
            </w:tr>
            <w:tr w14:paraId="7E37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 w:type="pct"/>
                  <w:vMerge w:val="continue"/>
                  <w:tcBorders>
                    <w:left w:val="single" w:color="auto" w:sz="4" w:space="0"/>
                    <w:right w:val="single" w:color="auto" w:sz="4" w:space="0"/>
                    <w:tl2br w:val="nil"/>
                    <w:tr2bl w:val="nil"/>
                  </w:tcBorders>
                  <w:vAlign w:val="center"/>
                </w:tcPr>
                <w:p w14:paraId="61E15615">
                  <w:pPr>
                    <w:widowControl/>
                    <w:adjustRightInd w:val="0"/>
                    <w:snapToGrid w:val="0"/>
                    <w:ind w:left="-53" w:leftChars="-25" w:right="-53" w:rightChars="-25"/>
                    <w:jc w:val="center"/>
                    <w:rPr>
                      <w:color w:val="auto"/>
                      <w:sz w:val="20"/>
                      <w:szCs w:val="20"/>
                      <w:highlight w:val="none"/>
                    </w:rPr>
                  </w:pPr>
                </w:p>
              </w:tc>
              <w:tc>
                <w:tcPr>
                  <w:tcW w:w="266"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01A95271">
                  <w:pPr>
                    <w:widowControl/>
                    <w:adjustRightInd w:val="0"/>
                    <w:snapToGrid w:val="0"/>
                    <w:ind w:left="-53" w:leftChars="-25" w:right="-53" w:rightChars="-25"/>
                    <w:jc w:val="center"/>
                    <w:rPr>
                      <w:color w:val="auto"/>
                      <w:sz w:val="20"/>
                      <w:szCs w:val="20"/>
                      <w:highlight w:val="none"/>
                    </w:rPr>
                  </w:pPr>
                </w:p>
              </w:tc>
              <w:tc>
                <w:tcPr>
                  <w:tcW w:w="257" w:type="pct"/>
                  <w:tcBorders>
                    <w:top w:val="single" w:color="auto" w:sz="4" w:space="0"/>
                    <w:left w:val="single" w:color="auto" w:sz="4" w:space="0"/>
                    <w:bottom w:val="single" w:color="auto" w:sz="4" w:space="0"/>
                    <w:right w:val="single" w:color="auto" w:sz="4" w:space="0"/>
                    <w:tl2br w:val="nil"/>
                    <w:tr2bl w:val="nil"/>
                  </w:tcBorders>
                  <w:vAlign w:val="center"/>
                </w:tcPr>
                <w:p w14:paraId="1218EBD4">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大气污染物控制要求</w:t>
                  </w:r>
                </w:p>
              </w:tc>
              <w:tc>
                <w:tcPr>
                  <w:tcW w:w="2569" w:type="pct"/>
                  <w:tcBorders>
                    <w:top w:val="single" w:color="auto" w:sz="4" w:space="0"/>
                    <w:left w:val="single" w:color="auto" w:sz="4" w:space="0"/>
                    <w:bottom w:val="single" w:color="auto" w:sz="4" w:space="0"/>
                    <w:right w:val="single" w:color="auto" w:sz="4" w:space="0"/>
                    <w:tl2br w:val="nil"/>
                    <w:tr2bl w:val="nil"/>
                  </w:tcBorders>
                  <w:vAlign w:val="center"/>
                </w:tcPr>
                <w:p w14:paraId="6FB97985">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4、完成全部玻璃企业环境专项整治工作，促进氮氧化物等废气稳定达标排放。</w:t>
                  </w:r>
                </w:p>
                <w:p w14:paraId="008538B6">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5、合川区2018</w:t>
                  </w:r>
                  <w:bookmarkStart w:id="4" w:name="hmcheck_fce96774b2aa4e3791982421cf0c671c"/>
                  <w:r>
                    <w:rPr>
                      <w:rFonts w:hint="eastAsia"/>
                      <w:color w:val="auto"/>
                      <w:sz w:val="20"/>
                      <w:szCs w:val="20"/>
                      <w:highlight w:val="none"/>
                      <w:shd w:val="clear" w:fill="B2E9BC"/>
                      <w:lang w:eastAsia="zh-CN"/>
                    </w:rPr>
                    <w:t>—</w:t>
                  </w:r>
                  <w:bookmarkEnd w:id="4"/>
                  <w:r>
                    <w:rPr>
                      <w:rFonts w:hint="eastAsia"/>
                      <w:color w:val="auto"/>
                      <w:sz w:val="20"/>
                      <w:szCs w:val="20"/>
                      <w:highlight w:val="none"/>
                    </w:rPr>
                    <w:t>2020年为环境空气质量不达标，严格控制新增大气污染物排放的开发建设活动。</w:t>
                  </w:r>
                </w:p>
                <w:p w14:paraId="4B350F03">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6、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794BACCF">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7、新建“两高”项目应按照《关于加强重点行业建设项目区域削减措施监督管理的通知》要求，依据区域环境质量改善目标，制定配套区域污染物削减方案，采取有效的污染物区域削减措施，腾出足够的环境容量。</w:t>
                  </w:r>
                </w:p>
              </w:tc>
              <w:tc>
                <w:tcPr>
                  <w:tcW w:w="1664" w:type="pct"/>
                  <w:tcBorders>
                    <w:top w:val="single" w:color="auto" w:sz="4" w:space="0"/>
                    <w:left w:val="single" w:color="auto" w:sz="4" w:space="0"/>
                    <w:bottom w:val="single" w:color="auto" w:sz="4" w:space="0"/>
                    <w:right w:val="single" w:color="auto" w:sz="4" w:space="0"/>
                    <w:tl2br w:val="nil"/>
                    <w:tr2bl w:val="nil"/>
                  </w:tcBorders>
                  <w:vAlign w:val="center"/>
                </w:tcPr>
                <w:p w14:paraId="5A356CE3">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符合。</w:t>
                  </w:r>
                </w:p>
                <w:p w14:paraId="4069C36C">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项目为汽车配件制造业，不属于玻璃企业。合川区</w:t>
                  </w:r>
                  <w:r>
                    <w:rPr>
                      <w:rFonts w:hint="eastAsia"/>
                      <w:color w:val="auto"/>
                      <w:sz w:val="20"/>
                      <w:szCs w:val="20"/>
                      <w:highlight w:val="none"/>
                      <w:lang w:val="en-US" w:eastAsia="zh-CN"/>
                    </w:rPr>
                    <w:t>2024年</w:t>
                  </w:r>
                  <w:r>
                    <w:rPr>
                      <w:rFonts w:hint="eastAsia"/>
                      <w:color w:val="auto"/>
                      <w:sz w:val="20"/>
                      <w:szCs w:val="20"/>
                      <w:highlight w:val="none"/>
                    </w:rPr>
                    <w:t>为不达标区（PM</w:t>
                  </w:r>
                  <w:r>
                    <w:rPr>
                      <w:rFonts w:hint="eastAsia"/>
                      <w:color w:val="auto"/>
                      <w:sz w:val="20"/>
                      <w:szCs w:val="20"/>
                      <w:highlight w:val="none"/>
                      <w:vertAlign w:val="subscript"/>
                    </w:rPr>
                    <w:t>2.5</w:t>
                  </w:r>
                  <w:r>
                    <w:rPr>
                      <w:rFonts w:hint="eastAsia"/>
                      <w:color w:val="auto"/>
                      <w:sz w:val="20"/>
                      <w:szCs w:val="20"/>
                      <w:highlight w:val="none"/>
                    </w:rPr>
                    <w:t>超标），但合川区已制定大气环境质量限期达标规划，规划目标为：“2027年，合川区空气质量六指标全部达标”；随着达标规划相关措施的持续落实，区域</w:t>
                  </w:r>
                  <w:r>
                    <w:rPr>
                      <w:rFonts w:hint="eastAsia"/>
                      <w:color w:val="auto"/>
                      <w:sz w:val="20"/>
                      <w:szCs w:val="20"/>
                      <w:highlight w:val="none"/>
                      <w:lang w:eastAsia="zh-CN"/>
                    </w:rPr>
                    <w:t>环境</w:t>
                  </w:r>
                  <w:r>
                    <w:rPr>
                      <w:rFonts w:hint="eastAsia"/>
                      <w:color w:val="auto"/>
                      <w:sz w:val="20"/>
                      <w:szCs w:val="20"/>
                      <w:highlight w:val="none"/>
                    </w:rPr>
                    <w:t>质量情况将逐步改善。项目不属于“两高”项目。</w:t>
                  </w:r>
                </w:p>
              </w:tc>
            </w:tr>
            <w:tr w14:paraId="7F08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 w:type="pct"/>
                  <w:vMerge w:val="continue"/>
                  <w:tcBorders>
                    <w:left w:val="single" w:color="auto" w:sz="4" w:space="0"/>
                    <w:right w:val="single" w:color="auto" w:sz="4" w:space="0"/>
                    <w:tl2br w:val="nil"/>
                    <w:tr2bl w:val="nil"/>
                  </w:tcBorders>
                  <w:vAlign w:val="center"/>
                </w:tcPr>
                <w:p w14:paraId="7230FEA4">
                  <w:pPr>
                    <w:adjustRightInd w:val="0"/>
                    <w:snapToGrid w:val="0"/>
                    <w:ind w:left="-53" w:leftChars="-25" w:right="-53" w:rightChars="-25"/>
                    <w:jc w:val="center"/>
                    <w:rPr>
                      <w:color w:val="auto"/>
                      <w:sz w:val="20"/>
                      <w:szCs w:val="20"/>
                      <w:highlight w:val="none"/>
                    </w:rPr>
                  </w:pPr>
                </w:p>
              </w:tc>
              <w:tc>
                <w:tcPr>
                  <w:tcW w:w="266" w:type="pct"/>
                  <w:tcBorders>
                    <w:top w:val="single" w:color="auto" w:sz="4" w:space="0"/>
                    <w:left w:val="single" w:color="auto" w:sz="4" w:space="0"/>
                    <w:bottom w:val="single" w:color="auto" w:sz="4" w:space="0"/>
                    <w:right w:val="single" w:color="auto" w:sz="4" w:space="0"/>
                    <w:tl2br w:val="nil"/>
                    <w:tr2bl w:val="nil"/>
                  </w:tcBorders>
                  <w:vAlign w:val="center"/>
                </w:tcPr>
                <w:p w14:paraId="058A728F">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环境风险防控</w:t>
                  </w:r>
                </w:p>
              </w:tc>
              <w:tc>
                <w:tcPr>
                  <w:tcW w:w="2827"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4F92AD4D">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1、天项组团目前已编制应急预案，应加强对企业环境风险源的监督管理，规划区建立园区级风险防控体系，完善环境风险防范措施。</w:t>
                  </w:r>
                </w:p>
                <w:p w14:paraId="2C26A0CC">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2、加快布局分散的企业向园区集中，按要求设置生态隔离带，建设相应的防护工程。严格新（改、扩）建生产有毒有害化学品项目的审批。</w:t>
                  </w:r>
                </w:p>
              </w:tc>
              <w:tc>
                <w:tcPr>
                  <w:tcW w:w="1664" w:type="pct"/>
                  <w:tcBorders>
                    <w:top w:val="single" w:color="auto" w:sz="4" w:space="0"/>
                    <w:left w:val="single" w:color="auto" w:sz="4" w:space="0"/>
                    <w:bottom w:val="single" w:color="auto" w:sz="4" w:space="0"/>
                    <w:right w:val="single" w:color="auto" w:sz="4" w:space="0"/>
                    <w:tl2br w:val="nil"/>
                    <w:tr2bl w:val="nil"/>
                  </w:tcBorders>
                  <w:vAlign w:val="center"/>
                </w:tcPr>
                <w:p w14:paraId="682CE3AC">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符合。</w:t>
                  </w:r>
                </w:p>
                <w:p w14:paraId="4A985F2C">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项目不属于涉及有毒有害化学品生产的项目</w:t>
                  </w:r>
                  <w:r>
                    <w:rPr>
                      <w:rFonts w:hint="eastAsia"/>
                      <w:color w:val="auto"/>
                      <w:sz w:val="20"/>
                      <w:szCs w:val="20"/>
                      <w:highlight w:val="none"/>
                      <w:lang w:eastAsia="zh-CN"/>
                    </w:rPr>
                    <w:t>，选址位于园区内，不属于分散企业</w:t>
                  </w:r>
                  <w:r>
                    <w:rPr>
                      <w:rFonts w:hint="eastAsia"/>
                      <w:color w:val="auto"/>
                      <w:sz w:val="20"/>
                      <w:szCs w:val="20"/>
                      <w:highlight w:val="none"/>
                    </w:rPr>
                    <w:t>。</w:t>
                  </w:r>
                </w:p>
              </w:tc>
            </w:tr>
            <w:tr w14:paraId="44BE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 w:type="pct"/>
                  <w:vMerge w:val="continue"/>
                  <w:tcBorders>
                    <w:left w:val="single" w:color="auto" w:sz="4" w:space="0"/>
                    <w:right w:val="single" w:color="auto" w:sz="4" w:space="0"/>
                    <w:tl2br w:val="nil"/>
                    <w:tr2bl w:val="nil"/>
                  </w:tcBorders>
                  <w:vAlign w:val="center"/>
                </w:tcPr>
                <w:p w14:paraId="23F4C5C2">
                  <w:pPr>
                    <w:adjustRightInd w:val="0"/>
                    <w:snapToGrid w:val="0"/>
                    <w:ind w:left="-53" w:leftChars="-25" w:right="-53" w:rightChars="-25"/>
                    <w:jc w:val="center"/>
                    <w:rPr>
                      <w:color w:val="auto"/>
                      <w:sz w:val="20"/>
                      <w:szCs w:val="20"/>
                      <w:highlight w:val="none"/>
                    </w:rPr>
                  </w:pPr>
                </w:p>
              </w:tc>
              <w:tc>
                <w:tcPr>
                  <w:tcW w:w="266" w:type="pct"/>
                  <w:tcBorders>
                    <w:top w:val="single" w:color="auto" w:sz="4" w:space="0"/>
                    <w:left w:val="single" w:color="auto" w:sz="4" w:space="0"/>
                    <w:bottom w:val="single" w:color="auto" w:sz="4" w:space="0"/>
                    <w:right w:val="single" w:color="auto" w:sz="4" w:space="0"/>
                    <w:tl2br w:val="nil"/>
                    <w:tr2bl w:val="nil"/>
                  </w:tcBorders>
                  <w:vAlign w:val="center"/>
                </w:tcPr>
                <w:p w14:paraId="0DA177ED">
                  <w:pPr>
                    <w:adjustRightInd w:val="0"/>
                    <w:snapToGrid w:val="0"/>
                    <w:ind w:left="-53" w:leftChars="-25" w:right="-53" w:rightChars="-25"/>
                    <w:jc w:val="center"/>
                    <w:rPr>
                      <w:color w:val="auto"/>
                      <w:sz w:val="20"/>
                      <w:szCs w:val="20"/>
                      <w:highlight w:val="none"/>
                    </w:rPr>
                  </w:pPr>
                  <w:r>
                    <w:rPr>
                      <w:color w:val="auto"/>
                      <w:sz w:val="20"/>
                      <w:szCs w:val="20"/>
                      <w:highlight w:val="none"/>
                    </w:rPr>
                    <w:t>资源利用效率</w:t>
                  </w:r>
                </w:p>
              </w:tc>
              <w:tc>
                <w:tcPr>
                  <w:tcW w:w="2827"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3A4CDD17">
                  <w:pPr>
                    <w:jc w:val="left"/>
                    <w:rPr>
                      <w:color w:val="auto"/>
                      <w:szCs w:val="21"/>
                      <w:highlight w:val="none"/>
                    </w:rPr>
                  </w:pPr>
                  <w:r>
                    <w:rPr>
                      <w:color w:val="auto"/>
                      <w:szCs w:val="21"/>
                      <w:highlight w:val="none"/>
                    </w:rPr>
                    <w:t>1、资源环境绩效水平不超过《重庆市工业项目环境准入规定》（渝办发</w:t>
                  </w:r>
                  <w:r>
                    <w:rPr>
                      <w:rFonts w:hint="eastAsia"/>
                      <w:color w:val="auto"/>
                      <w:szCs w:val="21"/>
                      <w:highlight w:val="none"/>
                      <w:lang w:eastAsia="zh-CN"/>
                    </w:rPr>
                    <w:t>〔2012〕142号</w:t>
                  </w:r>
                  <w:r>
                    <w:rPr>
                      <w:color w:val="auto"/>
                      <w:szCs w:val="21"/>
                      <w:highlight w:val="none"/>
                    </w:rPr>
                    <w:t>）限值。汽车制造行业</w:t>
                  </w:r>
                  <w:r>
                    <w:rPr>
                      <w:rFonts w:hint="eastAsia"/>
                      <w:color w:val="auto"/>
                      <w:szCs w:val="21"/>
                      <w:highlight w:val="none"/>
                      <w:lang w:eastAsia="zh-CN"/>
                    </w:rPr>
                    <w:t>（</w:t>
                  </w:r>
                  <w:r>
                    <w:rPr>
                      <w:color w:val="auto"/>
                      <w:szCs w:val="21"/>
                      <w:highlight w:val="none"/>
                    </w:rPr>
                    <w:t>涂装</w:t>
                  </w:r>
                  <w:r>
                    <w:rPr>
                      <w:rFonts w:hint="eastAsia"/>
                      <w:color w:val="auto"/>
                      <w:szCs w:val="21"/>
                      <w:highlight w:val="none"/>
                      <w:lang w:eastAsia="zh-CN"/>
                    </w:rPr>
                    <w:t>）</w:t>
                  </w:r>
                  <w:r>
                    <w:rPr>
                      <w:color w:val="auto"/>
                      <w:szCs w:val="21"/>
                      <w:highlight w:val="none"/>
                    </w:rPr>
                    <w:t>：单位产品新鲜用水量不超过0.1t/m</w:t>
                  </w:r>
                  <w:r>
                    <w:rPr>
                      <w:color w:val="auto"/>
                      <w:szCs w:val="21"/>
                      <w:highlight w:val="none"/>
                      <w:vertAlign w:val="superscript"/>
                    </w:rPr>
                    <w:t>2</w:t>
                  </w:r>
                  <w:r>
                    <w:rPr>
                      <w:color w:val="auto"/>
                      <w:szCs w:val="21"/>
                      <w:highlight w:val="none"/>
                    </w:rPr>
                    <w:t>，单位产品COD排放量不超过8.5g/m</w:t>
                  </w:r>
                  <w:r>
                    <w:rPr>
                      <w:color w:val="auto"/>
                      <w:szCs w:val="21"/>
                      <w:highlight w:val="none"/>
                      <w:vertAlign w:val="superscript"/>
                    </w:rPr>
                    <w:t>2</w:t>
                  </w:r>
                  <w:r>
                    <w:rPr>
                      <w:color w:val="auto"/>
                      <w:szCs w:val="21"/>
                      <w:highlight w:val="none"/>
                    </w:rPr>
                    <w:t>，单位产品NH</w:t>
                  </w:r>
                  <w:r>
                    <w:rPr>
                      <w:color w:val="auto"/>
                      <w:szCs w:val="21"/>
                      <w:highlight w:val="none"/>
                      <w:vertAlign w:val="subscript"/>
                    </w:rPr>
                    <w:t>3</w:t>
                  </w:r>
                  <w:r>
                    <w:rPr>
                      <w:color w:val="auto"/>
                      <w:szCs w:val="21"/>
                      <w:highlight w:val="none"/>
                    </w:rPr>
                    <w:t>-N排放量不超过1.275g/m</w:t>
                  </w:r>
                  <w:r>
                    <w:rPr>
                      <w:color w:val="auto"/>
                      <w:szCs w:val="21"/>
                      <w:highlight w:val="none"/>
                      <w:vertAlign w:val="superscript"/>
                    </w:rPr>
                    <w:t>2</w:t>
                  </w:r>
                  <w:r>
                    <w:rPr>
                      <w:color w:val="auto"/>
                      <w:szCs w:val="21"/>
                      <w:highlight w:val="none"/>
                    </w:rPr>
                    <w:t>，单位产品有机废气排放量2C2B不超过30g/m</w:t>
                  </w:r>
                  <w:r>
                    <w:rPr>
                      <w:color w:val="auto"/>
                      <w:szCs w:val="21"/>
                      <w:highlight w:val="none"/>
                      <w:vertAlign w:val="superscript"/>
                    </w:rPr>
                    <w:t>2</w:t>
                  </w:r>
                  <w:r>
                    <w:rPr>
                      <w:color w:val="auto"/>
                      <w:szCs w:val="21"/>
                      <w:highlight w:val="none"/>
                    </w:rPr>
                    <w:t>，3C3B不超过40g/m</w:t>
                  </w:r>
                  <w:r>
                    <w:rPr>
                      <w:color w:val="auto"/>
                      <w:szCs w:val="21"/>
                      <w:highlight w:val="none"/>
                      <w:vertAlign w:val="superscript"/>
                    </w:rPr>
                    <w:t>2</w:t>
                  </w:r>
                  <w:r>
                    <w:rPr>
                      <w:color w:val="auto"/>
                      <w:szCs w:val="21"/>
                      <w:highlight w:val="none"/>
                    </w:rPr>
                    <w:t>，4C4B不超过50g/m</w:t>
                  </w:r>
                  <w:r>
                    <w:rPr>
                      <w:color w:val="auto"/>
                      <w:szCs w:val="21"/>
                      <w:highlight w:val="none"/>
                      <w:vertAlign w:val="superscript"/>
                    </w:rPr>
                    <w:t>2</w:t>
                  </w:r>
                  <w:r>
                    <w:rPr>
                      <w:color w:val="auto"/>
                      <w:szCs w:val="21"/>
                      <w:highlight w:val="none"/>
                    </w:rPr>
                    <w:t>，5C5B不超过60g/m</w:t>
                  </w:r>
                  <w:r>
                    <w:rPr>
                      <w:color w:val="auto"/>
                      <w:szCs w:val="21"/>
                      <w:highlight w:val="none"/>
                      <w:vertAlign w:val="superscript"/>
                    </w:rPr>
                    <w:t>2</w:t>
                  </w:r>
                  <w:r>
                    <w:rPr>
                      <w:color w:val="auto"/>
                      <w:szCs w:val="21"/>
                      <w:highlight w:val="none"/>
                    </w:rPr>
                    <w:t>。</w:t>
                  </w:r>
                </w:p>
                <w:p w14:paraId="77B79C55">
                  <w:pPr>
                    <w:jc w:val="left"/>
                    <w:rPr>
                      <w:color w:val="auto"/>
                      <w:szCs w:val="21"/>
                      <w:highlight w:val="none"/>
                    </w:rPr>
                  </w:pPr>
                  <w:r>
                    <w:rPr>
                      <w:color w:val="auto"/>
                      <w:szCs w:val="21"/>
                      <w:highlight w:val="none"/>
                    </w:rPr>
                    <w:t>2、符合生态建设和环境保护规划区域布局规定的工业项目。</w:t>
                  </w:r>
                </w:p>
                <w:p w14:paraId="57A631BB">
                  <w:pPr>
                    <w:jc w:val="left"/>
                    <w:rPr>
                      <w:color w:val="auto"/>
                      <w:szCs w:val="21"/>
                      <w:highlight w:val="none"/>
                    </w:rPr>
                  </w:pPr>
                  <w:r>
                    <w:rPr>
                      <w:color w:val="auto"/>
                      <w:szCs w:val="21"/>
                      <w:highlight w:val="none"/>
                    </w:rPr>
                    <w:t>3、禁止使用煤和重油为燃料的工业项目。</w:t>
                  </w:r>
                </w:p>
                <w:p w14:paraId="4762617B">
                  <w:pPr>
                    <w:adjustRightInd w:val="0"/>
                    <w:snapToGrid w:val="0"/>
                    <w:ind w:left="-53" w:leftChars="-25" w:right="-53" w:rightChars="-25"/>
                    <w:jc w:val="center"/>
                    <w:rPr>
                      <w:color w:val="auto"/>
                      <w:sz w:val="20"/>
                      <w:szCs w:val="20"/>
                      <w:highlight w:val="none"/>
                    </w:rPr>
                  </w:pPr>
                  <w:r>
                    <w:rPr>
                      <w:color w:val="auto"/>
                      <w:szCs w:val="21"/>
                      <w:highlight w:val="none"/>
                    </w:rPr>
                    <w:t>4、在划定的高污染燃料禁燃区内，禁止销售和使用原煤、煤矸石、重油、渣油、石油焦、木柴、秸秆等国家和本市规定的高污染燃料。现有使用高污染燃料的设施应当限期淘汰或者改用天然气、页岩气、液化石油气、</w:t>
                  </w:r>
                  <w:bookmarkStart w:id="5" w:name="hmcheck_379cd07fe1d541f197a65229ed41b025"/>
                  <w:r>
                    <w:rPr>
                      <w:color w:val="auto"/>
                      <w:szCs w:val="21"/>
                      <w:highlight w:val="none"/>
                      <w:shd w:val="clear" w:fill="FFAFAA"/>
                    </w:rPr>
                    <w:t>电</w:t>
                  </w:r>
                  <w:bookmarkEnd w:id="5"/>
                  <w:r>
                    <w:rPr>
                      <w:color w:val="auto"/>
                      <w:szCs w:val="21"/>
                      <w:highlight w:val="none"/>
                    </w:rPr>
                    <w:t>、风能等清洁能源。</w:t>
                  </w:r>
                </w:p>
              </w:tc>
              <w:tc>
                <w:tcPr>
                  <w:tcW w:w="1664" w:type="pct"/>
                  <w:tcBorders>
                    <w:top w:val="single" w:color="auto" w:sz="4" w:space="0"/>
                    <w:left w:val="single" w:color="auto" w:sz="4" w:space="0"/>
                    <w:bottom w:val="single" w:color="auto" w:sz="4" w:space="0"/>
                    <w:right w:val="single" w:color="auto" w:sz="4" w:space="0"/>
                    <w:tl2br w:val="nil"/>
                    <w:tr2bl w:val="nil"/>
                  </w:tcBorders>
                  <w:vAlign w:val="center"/>
                </w:tcPr>
                <w:p w14:paraId="72BB513E">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符合。</w:t>
                  </w:r>
                </w:p>
                <w:p w14:paraId="052DCCD5">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项目为汽车配件制造，不涉及表面涂装；《重庆市工业项目环境准入规定》（渝办发</w:t>
                  </w:r>
                  <w:r>
                    <w:rPr>
                      <w:rFonts w:hint="eastAsia"/>
                      <w:color w:val="auto"/>
                      <w:sz w:val="20"/>
                      <w:szCs w:val="20"/>
                      <w:highlight w:val="none"/>
                      <w:lang w:eastAsia="zh-CN"/>
                    </w:rPr>
                    <w:t>〔2012〕142号</w:t>
                  </w:r>
                  <w:r>
                    <w:rPr>
                      <w:rFonts w:hint="eastAsia"/>
                      <w:color w:val="auto"/>
                      <w:sz w:val="20"/>
                      <w:szCs w:val="20"/>
                      <w:highlight w:val="none"/>
                    </w:rPr>
                    <w:t>）已废止，因此本评价不再对照分析</w:t>
                  </w:r>
                  <w:r>
                    <w:rPr>
                      <w:rFonts w:hint="eastAsia"/>
                      <w:color w:val="auto"/>
                      <w:sz w:val="20"/>
                      <w:szCs w:val="20"/>
                      <w:highlight w:val="none"/>
                      <w:lang w:eastAsia="zh-CN"/>
                    </w:rPr>
                    <w:t>；</w:t>
                  </w:r>
                  <w:r>
                    <w:rPr>
                      <w:rFonts w:hint="eastAsia"/>
                      <w:color w:val="auto"/>
                      <w:sz w:val="20"/>
                      <w:szCs w:val="20"/>
                      <w:highlight w:val="none"/>
                    </w:rPr>
                    <w:t>项目符合生态环境分区管控要求，不属于合川区生态环境保护规划限制或限制的产业类别；生产过程中不涉及使用煤和重油等高污染物燃料，使用清洁能源。</w:t>
                  </w:r>
                </w:p>
              </w:tc>
            </w:tr>
            <w:tr w14:paraId="1CFE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 w:type="pct"/>
                  <w:vMerge w:val="continue"/>
                  <w:tcBorders>
                    <w:left w:val="single" w:color="auto" w:sz="4" w:space="0"/>
                    <w:right w:val="single" w:color="auto" w:sz="4" w:space="0"/>
                    <w:tl2br w:val="nil"/>
                    <w:tr2bl w:val="nil"/>
                  </w:tcBorders>
                  <w:vAlign w:val="center"/>
                </w:tcPr>
                <w:p w14:paraId="4031E16A">
                  <w:pPr>
                    <w:adjustRightInd w:val="0"/>
                    <w:snapToGrid w:val="0"/>
                    <w:ind w:left="-53" w:leftChars="-25" w:right="-53" w:rightChars="-25"/>
                    <w:jc w:val="center"/>
                    <w:rPr>
                      <w:color w:val="auto"/>
                      <w:sz w:val="20"/>
                      <w:szCs w:val="20"/>
                      <w:highlight w:val="none"/>
                    </w:rPr>
                  </w:pPr>
                </w:p>
              </w:tc>
              <w:tc>
                <w:tcPr>
                  <w:tcW w:w="266" w:type="pct"/>
                  <w:tcBorders>
                    <w:top w:val="single" w:color="auto" w:sz="4" w:space="0"/>
                    <w:left w:val="single" w:color="auto" w:sz="4" w:space="0"/>
                    <w:bottom w:val="single" w:color="auto" w:sz="4" w:space="0"/>
                    <w:right w:val="single" w:color="auto" w:sz="4" w:space="0"/>
                    <w:tl2br w:val="nil"/>
                    <w:tr2bl w:val="nil"/>
                  </w:tcBorders>
                  <w:vAlign w:val="center"/>
                </w:tcPr>
                <w:p w14:paraId="2D889405">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禁止准入产业</w:t>
                  </w:r>
                </w:p>
              </w:tc>
              <w:tc>
                <w:tcPr>
                  <w:tcW w:w="2827"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6307BBB9">
                  <w:pPr>
                    <w:adjustRightInd w:val="0"/>
                    <w:snapToGrid w:val="0"/>
                    <w:ind w:left="-53" w:leftChars="-25" w:right="-53" w:rightChars="-25"/>
                    <w:jc w:val="center"/>
                    <w:rPr>
                      <w:color w:val="auto"/>
                      <w:sz w:val="20"/>
                      <w:szCs w:val="20"/>
                      <w:highlight w:val="none"/>
                    </w:rPr>
                  </w:pPr>
                  <w:r>
                    <w:rPr>
                      <w:color w:val="auto"/>
                      <w:sz w:val="20"/>
                      <w:szCs w:val="20"/>
                      <w:highlight w:val="none"/>
                    </w:rPr>
                    <w:t>1、《产业结构调整指导目录（2019年）》淘汰类中落后生产工艺装备、落后产品。</w:t>
                  </w:r>
                </w:p>
                <w:p w14:paraId="53679C44">
                  <w:pPr>
                    <w:adjustRightInd w:val="0"/>
                    <w:snapToGrid w:val="0"/>
                    <w:ind w:left="-53" w:leftChars="-25" w:right="-53" w:rightChars="-25"/>
                    <w:jc w:val="center"/>
                    <w:rPr>
                      <w:color w:val="auto"/>
                      <w:sz w:val="20"/>
                      <w:szCs w:val="20"/>
                      <w:highlight w:val="none"/>
                    </w:rPr>
                  </w:pPr>
                  <w:r>
                    <w:rPr>
                      <w:color w:val="auto"/>
                      <w:sz w:val="20"/>
                      <w:szCs w:val="20"/>
                      <w:highlight w:val="none"/>
                    </w:rPr>
                    <w:t>2、《市场准入负面清单（2020年版）》中禁止准入类。</w:t>
                  </w:r>
                </w:p>
                <w:p w14:paraId="63D5FEA3">
                  <w:pPr>
                    <w:adjustRightInd w:val="0"/>
                    <w:snapToGrid w:val="0"/>
                    <w:ind w:left="-53" w:leftChars="-25" w:right="-53" w:rightChars="-25"/>
                    <w:jc w:val="center"/>
                    <w:rPr>
                      <w:color w:val="auto"/>
                      <w:sz w:val="20"/>
                      <w:szCs w:val="20"/>
                      <w:highlight w:val="none"/>
                    </w:rPr>
                  </w:pPr>
                  <w:r>
                    <w:rPr>
                      <w:color w:val="auto"/>
                      <w:sz w:val="20"/>
                      <w:szCs w:val="20"/>
                      <w:highlight w:val="none"/>
                    </w:rPr>
                    <w:t>3、《重庆市产业投资准入手册》（渝发改投</w:t>
                  </w:r>
                  <w:r>
                    <w:rPr>
                      <w:rFonts w:hint="eastAsia"/>
                      <w:color w:val="auto"/>
                      <w:sz w:val="20"/>
                      <w:szCs w:val="20"/>
                      <w:highlight w:val="none"/>
                      <w:lang w:eastAsia="zh-CN"/>
                    </w:rPr>
                    <w:t>〔2018〕541号</w:t>
                  </w:r>
                  <w:r>
                    <w:rPr>
                      <w:color w:val="auto"/>
                      <w:sz w:val="20"/>
                      <w:szCs w:val="20"/>
                      <w:highlight w:val="none"/>
                    </w:rPr>
                    <w:t>）不予准入类产业。</w:t>
                  </w:r>
                </w:p>
                <w:p w14:paraId="4F780C88">
                  <w:pPr>
                    <w:adjustRightInd w:val="0"/>
                    <w:snapToGrid w:val="0"/>
                    <w:ind w:left="-53" w:leftChars="-25" w:right="-53" w:rightChars="-25"/>
                    <w:jc w:val="center"/>
                    <w:rPr>
                      <w:color w:val="auto"/>
                      <w:sz w:val="20"/>
                      <w:szCs w:val="20"/>
                      <w:highlight w:val="none"/>
                    </w:rPr>
                  </w:pPr>
                  <w:r>
                    <w:rPr>
                      <w:color w:val="auto"/>
                      <w:sz w:val="20"/>
                      <w:szCs w:val="20"/>
                      <w:highlight w:val="none"/>
                    </w:rPr>
                    <w:t>4、《合川区三江流域环境保护负面清单（修订）》中禁止类项目。</w:t>
                  </w:r>
                </w:p>
                <w:p w14:paraId="5BBA0CE7">
                  <w:pPr>
                    <w:adjustRightInd w:val="0"/>
                    <w:snapToGrid w:val="0"/>
                    <w:ind w:left="-53" w:leftChars="-25" w:right="-53" w:rightChars="-25"/>
                    <w:jc w:val="center"/>
                    <w:rPr>
                      <w:color w:val="auto"/>
                      <w:sz w:val="20"/>
                      <w:szCs w:val="20"/>
                      <w:highlight w:val="none"/>
                    </w:rPr>
                  </w:pPr>
                  <w:r>
                    <w:rPr>
                      <w:color w:val="auto"/>
                      <w:sz w:val="20"/>
                      <w:szCs w:val="20"/>
                      <w:highlight w:val="none"/>
                    </w:rPr>
                    <w:t>4、嘉陵江及其一级支流汇入口上游20公里、集中式饮用水水源取水口上游20公里范围内的沿岸地区，禁止新建、扩建排放重金属、剧毒物质和持久性有机污染物的工业项目以及存在严重环境安全风险的工业项目。</w:t>
                  </w:r>
                </w:p>
                <w:p w14:paraId="20EB7578">
                  <w:pPr>
                    <w:adjustRightInd w:val="0"/>
                    <w:snapToGrid w:val="0"/>
                    <w:ind w:left="-53" w:leftChars="-25" w:right="-53" w:rightChars="-25"/>
                    <w:jc w:val="center"/>
                    <w:rPr>
                      <w:color w:val="auto"/>
                      <w:sz w:val="20"/>
                      <w:szCs w:val="20"/>
                      <w:highlight w:val="none"/>
                    </w:rPr>
                  </w:pPr>
                  <w:r>
                    <w:rPr>
                      <w:color w:val="auto"/>
                      <w:sz w:val="20"/>
                      <w:szCs w:val="20"/>
                      <w:highlight w:val="none"/>
                    </w:rPr>
                    <w:t>5、在嘉陵江流域及重要功能湖库周边，工业园区各组团，禁止新建、扩建化工、造纸、印染、化学原料药、电镀、铅酸电池、危险废物利用和处置、排放重金属的工业项目。</w:t>
                  </w:r>
                </w:p>
                <w:p w14:paraId="6F14E234">
                  <w:pPr>
                    <w:adjustRightInd w:val="0"/>
                    <w:snapToGrid w:val="0"/>
                    <w:ind w:left="-53" w:leftChars="-25" w:right="-53" w:rightChars="-25"/>
                    <w:jc w:val="center"/>
                    <w:rPr>
                      <w:color w:val="auto"/>
                      <w:sz w:val="20"/>
                      <w:szCs w:val="20"/>
                      <w:highlight w:val="none"/>
                    </w:rPr>
                  </w:pPr>
                  <w:r>
                    <w:rPr>
                      <w:color w:val="auto"/>
                      <w:sz w:val="20"/>
                      <w:szCs w:val="20"/>
                      <w:highlight w:val="none"/>
                    </w:rPr>
                    <w:t>6、禁止新建、扩建、改建燃煤、重油等高污染工业项目。</w:t>
                  </w:r>
                </w:p>
                <w:p w14:paraId="313F640D">
                  <w:pPr>
                    <w:adjustRightInd w:val="0"/>
                    <w:snapToGrid w:val="0"/>
                    <w:ind w:left="-53" w:leftChars="-25" w:right="-53" w:rightChars="-25"/>
                    <w:jc w:val="center"/>
                    <w:rPr>
                      <w:color w:val="auto"/>
                      <w:sz w:val="20"/>
                      <w:szCs w:val="20"/>
                      <w:highlight w:val="none"/>
                    </w:rPr>
                  </w:pPr>
                  <w:r>
                    <w:rPr>
                      <w:color w:val="auto"/>
                      <w:sz w:val="20"/>
                      <w:szCs w:val="20"/>
                      <w:highlight w:val="none"/>
                    </w:rPr>
                    <w:t>7、禁止在“四山”管制区（禁建区、重点控建区）内，新建、扩建采石、开矿、地产开发、工业企业等建设项目。</w:t>
                  </w:r>
                </w:p>
                <w:p w14:paraId="61BC4C09">
                  <w:pPr>
                    <w:adjustRightInd w:val="0"/>
                    <w:snapToGrid w:val="0"/>
                    <w:ind w:left="-53" w:leftChars="-25" w:right="-53" w:rightChars="-25"/>
                    <w:jc w:val="center"/>
                    <w:rPr>
                      <w:color w:val="auto"/>
                      <w:sz w:val="20"/>
                      <w:szCs w:val="20"/>
                      <w:highlight w:val="none"/>
                    </w:rPr>
                  </w:pPr>
                  <w:r>
                    <w:rPr>
                      <w:color w:val="auto"/>
                      <w:sz w:val="20"/>
                      <w:szCs w:val="20"/>
                      <w:highlight w:val="none"/>
                    </w:rPr>
                    <w:t>8、新建工业项目禁止配套建设自备燃煤热电联产项目。</w:t>
                  </w:r>
                </w:p>
                <w:p w14:paraId="780034A0">
                  <w:pPr>
                    <w:adjustRightInd w:val="0"/>
                    <w:snapToGrid w:val="0"/>
                    <w:ind w:left="-53" w:leftChars="-25" w:right="-53" w:rightChars="-25"/>
                    <w:jc w:val="center"/>
                    <w:rPr>
                      <w:color w:val="auto"/>
                      <w:sz w:val="20"/>
                      <w:szCs w:val="20"/>
                      <w:highlight w:val="none"/>
                    </w:rPr>
                  </w:pPr>
                  <w:r>
                    <w:rPr>
                      <w:color w:val="auto"/>
                      <w:sz w:val="20"/>
                      <w:szCs w:val="20"/>
                      <w:highlight w:val="none"/>
                    </w:rPr>
                    <w:t>9、禁止使用含苯涂料、含苯稀释剂、含苯溶剂和含汞、砷、铅、镉、锑的车间底漆。</w:t>
                  </w:r>
                </w:p>
                <w:p w14:paraId="4D83CB11">
                  <w:pPr>
                    <w:adjustRightInd w:val="0"/>
                    <w:snapToGrid w:val="0"/>
                    <w:ind w:left="-53" w:leftChars="-25" w:right="-53" w:rightChars="-25"/>
                    <w:jc w:val="center"/>
                    <w:rPr>
                      <w:color w:val="auto"/>
                      <w:sz w:val="20"/>
                      <w:szCs w:val="20"/>
                      <w:highlight w:val="none"/>
                    </w:rPr>
                  </w:pPr>
                  <w:r>
                    <w:rPr>
                      <w:color w:val="auto"/>
                      <w:sz w:val="20"/>
                      <w:szCs w:val="20"/>
                      <w:highlight w:val="none"/>
                    </w:rPr>
                    <w:t>10、禁止以三氟三氯乙烷、甲基氯仿和四氯化碳为清洗剂或溶剂的生产工艺。</w:t>
                  </w:r>
                </w:p>
              </w:tc>
              <w:tc>
                <w:tcPr>
                  <w:tcW w:w="1664" w:type="pct"/>
                  <w:tcBorders>
                    <w:top w:val="single" w:color="auto" w:sz="4" w:space="0"/>
                    <w:left w:val="single" w:color="auto" w:sz="4" w:space="0"/>
                    <w:bottom w:val="single" w:color="auto" w:sz="4" w:space="0"/>
                    <w:right w:val="single" w:color="auto" w:sz="4" w:space="0"/>
                    <w:tl2br w:val="nil"/>
                    <w:tr2bl w:val="nil"/>
                  </w:tcBorders>
                  <w:vAlign w:val="center"/>
                </w:tcPr>
                <w:p w14:paraId="29001A82">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符合。</w:t>
                  </w:r>
                </w:p>
                <w:p w14:paraId="3F4A23E6">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项目符合《产业结构调整指导目录（2024年本）》产业政策要求；不属于《市场准入负面清单（2020年版）》中禁止准入类的产业；不属于《重庆市产业投资准入工作手册》（渝发改投资〔2022〕1436号）中不予以准入的产业；《合川区三江流域环境保护负面清单（修订）》已于2024年1月8日废止，因此本评价不再对照分析；项目不属于化工、造纸、印染、化学原料药、电镀、铅酸电池、危险废物利用和处置、排放重金属的工业项目；项目不涉及使用燃煤、重油等高污染燃料；项目位于合规的工业园区内，不涉及“四山”管制区；项目不涉及自备燃煤热电联产项目；不涉及使用涂料、稀释剂、溶剂和油漆等原辅料；不涉及使用以三氟三氯乙烷、甲基氯仿和四氯化碳为清洗剂或溶剂的生产工艺。</w:t>
                  </w:r>
                </w:p>
              </w:tc>
            </w:tr>
            <w:tr w14:paraId="71BC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 w:type="pct"/>
                  <w:vMerge w:val="continue"/>
                  <w:tcBorders>
                    <w:left w:val="single" w:color="auto" w:sz="4" w:space="0"/>
                    <w:right w:val="single" w:color="auto" w:sz="4" w:space="0"/>
                    <w:tl2br w:val="nil"/>
                    <w:tr2bl w:val="nil"/>
                  </w:tcBorders>
                  <w:vAlign w:val="center"/>
                </w:tcPr>
                <w:p w14:paraId="657D7746">
                  <w:pPr>
                    <w:adjustRightInd w:val="0"/>
                    <w:snapToGrid w:val="0"/>
                    <w:ind w:left="-53" w:leftChars="-25" w:right="-53" w:rightChars="-25"/>
                    <w:jc w:val="center"/>
                    <w:rPr>
                      <w:color w:val="auto"/>
                      <w:sz w:val="20"/>
                      <w:szCs w:val="20"/>
                      <w:highlight w:val="none"/>
                    </w:rPr>
                  </w:pPr>
                </w:p>
              </w:tc>
              <w:tc>
                <w:tcPr>
                  <w:tcW w:w="266" w:type="pct"/>
                  <w:tcBorders>
                    <w:top w:val="single" w:color="auto" w:sz="4" w:space="0"/>
                    <w:left w:val="single" w:color="auto" w:sz="4" w:space="0"/>
                    <w:bottom w:val="single" w:color="auto" w:sz="4" w:space="0"/>
                    <w:right w:val="single" w:color="auto" w:sz="4" w:space="0"/>
                    <w:tl2br w:val="nil"/>
                    <w:tr2bl w:val="nil"/>
                  </w:tcBorders>
                  <w:vAlign w:val="center"/>
                </w:tcPr>
                <w:p w14:paraId="487EECF7">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限制准入产业</w:t>
                  </w:r>
                </w:p>
              </w:tc>
              <w:tc>
                <w:tcPr>
                  <w:tcW w:w="2827"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56E05453">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1、《产业结构调整指导目录（2019年）》限制类项目（不包括现有企业升级改造或异地置换）。</w:t>
                  </w:r>
                </w:p>
                <w:p w14:paraId="5FEAA0A7">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2、《重庆市产业投资准入手册》（渝发改投</w:t>
                  </w:r>
                  <w:r>
                    <w:rPr>
                      <w:rFonts w:hint="eastAsia"/>
                      <w:color w:val="auto"/>
                      <w:sz w:val="20"/>
                      <w:szCs w:val="20"/>
                      <w:highlight w:val="none"/>
                      <w:lang w:eastAsia="zh-CN"/>
                    </w:rPr>
                    <w:t>〔2018〕541号</w:t>
                  </w:r>
                  <w:r>
                    <w:rPr>
                      <w:rFonts w:hint="eastAsia"/>
                      <w:color w:val="auto"/>
                      <w:sz w:val="20"/>
                      <w:szCs w:val="20"/>
                      <w:highlight w:val="none"/>
                    </w:rPr>
                    <w:t>）限制准入类产业。</w:t>
                  </w:r>
                </w:p>
                <w:p w14:paraId="7AFD0146">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3、《合川区三江流域环境保护负面清单（修订）》中限制类项目。</w:t>
                  </w:r>
                </w:p>
                <w:p w14:paraId="0B56EA2F">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4、限制高能耗、高水耗及水污染物排放量大的工业项目。</w:t>
                  </w:r>
                </w:p>
                <w:p w14:paraId="313CFF6C">
                  <w:pPr>
                    <w:adjustRightInd w:val="0"/>
                    <w:snapToGrid w:val="0"/>
                    <w:ind w:left="-53" w:leftChars="-25" w:right="-53" w:rightChars="-25"/>
                    <w:jc w:val="center"/>
                    <w:rPr>
                      <w:color w:val="auto"/>
                      <w:sz w:val="20"/>
                      <w:szCs w:val="20"/>
                      <w:highlight w:val="none"/>
                    </w:rPr>
                  </w:pPr>
                  <w:r>
                    <w:rPr>
                      <w:rFonts w:hint="eastAsia"/>
                      <w:color w:val="auto"/>
                      <w:sz w:val="20"/>
                      <w:szCs w:val="20"/>
                      <w:highlight w:val="none"/>
                    </w:rPr>
                    <w:t>5、限制在长江、嘉陵江主城区段及其上游沿岸新、改、扩建涉及重金属污染物排放的项目。</w:t>
                  </w:r>
                </w:p>
              </w:tc>
              <w:tc>
                <w:tcPr>
                  <w:tcW w:w="1664" w:type="pct"/>
                  <w:tcBorders>
                    <w:top w:val="single" w:color="auto" w:sz="4" w:space="0"/>
                    <w:left w:val="single" w:color="auto" w:sz="4" w:space="0"/>
                    <w:right w:val="single" w:color="auto" w:sz="4" w:space="0"/>
                    <w:tl2br w:val="nil"/>
                    <w:tr2bl w:val="nil"/>
                  </w:tcBorders>
                  <w:vAlign w:val="center"/>
                </w:tcPr>
                <w:p w14:paraId="5694A4C0">
                  <w:pPr>
                    <w:adjustRightInd w:val="0"/>
                    <w:snapToGrid w:val="0"/>
                    <w:ind w:left="-53" w:leftChars="-25" w:right="-53" w:rightChars="-25"/>
                    <w:jc w:val="center"/>
                    <w:rPr>
                      <w:color w:val="auto"/>
                      <w:sz w:val="20"/>
                      <w:szCs w:val="20"/>
                      <w:highlight w:val="none"/>
                    </w:rPr>
                  </w:pPr>
                  <w:r>
                    <w:rPr>
                      <w:color w:val="auto"/>
                      <w:sz w:val="20"/>
                      <w:szCs w:val="20"/>
                      <w:highlight w:val="none"/>
                    </w:rPr>
                    <w:t>符合。</w:t>
                  </w:r>
                </w:p>
                <w:p w14:paraId="38A17066">
                  <w:pPr>
                    <w:adjustRightInd w:val="0"/>
                    <w:snapToGrid w:val="0"/>
                    <w:ind w:left="-53" w:leftChars="-25" w:right="-53" w:rightChars="-25"/>
                    <w:jc w:val="center"/>
                    <w:rPr>
                      <w:color w:val="auto"/>
                      <w:sz w:val="20"/>
                      <w:szCs w:val="20"/>
                      <w:highlight w:val="none"/>
                    </w:rPr>
                  </w:pPr>
                  <w:r>
                    <w:rPr>
                      <w:color w:val="auto"/>
                      <w:sz w:val="20"/>
                      <w:szCs w:val="20"/>
                      <w:highlight w:val="none"/>
                    </w:rPr>
                    <w:t>项目符合《产业结构调整指导目录（2024年本）》的产业政策要求；不属于《重庆市产业投资准入工作手册》（渝发改投资〔2022〕1436号）中限制准入类产业；不属于高能耗、高水耗及水污染物排放量大的工业项目；不涉及排放重金属污染物。</w:t>
                  </w:r>
                </w:p>
              </w:tc>
            </w:tr>
          </w:tbl>
          <w:p w14:paraId="5B3739A4">
            <w:pPr>
              <w:autoSpaceDE w:val="0"/>
              <w:autoSpaceDN w:val="0"/>
              <w:adjustRightInd w:val="0"/>
              <w:jc w:val="center"/>
              <w:rPr>
                <w:b/>
                <w:bCs/>
                <w:color w:val="auto"/>
                <w:kern w:val="0"/>
                <w:sz w:val="26"/>
                <w:szCs w:val="26"/>
                <w:highlight w:val="none"/>
              </w:rPr>
            </w:pPr>
          </w:p>
          <w:p w14:paraId="3CA721EE">
            <w:pPr>
              <w:autoSpaceDE w:val="0"/>
              <w:autoSpaceDN w:val="0"/>
              <w:adjustRightInd w:val="0"/>
              <w:jc w:val="center"/>
              <w:rPr>
                <w:b/>
                <w:bCs/>
                <w:color w:val="auto"/>
                <w:kern w:val="0"/>
                <w:sz w:val="26"/>
                <w:szCs w:val="26"/>
                <w:highlight w:val="none"/>
              </w:rPr>
            </w:pPr>
            <w:r>
              <w:rPr>
                <w:color w:val="auto"/>
                <w:kern w:val="0"/>
                <w:sz w:val="26"/>
                <w:szCs w:val="26"/>
                <w:highlight w:val="none"/>
              </w:rPr>
              <w:t>表1.</w:t>
            </w:r>
            <w:r>
              <w:rPr>
                <w:rFonts w:hint="eastAsia"/>
                <w:color w:val="auto"/>
                <w:kern w:val="0"/>
                <w:sz w:val="26"/>
                <w:szCs w:val="26"/>
                <w:highlight w:val="none"/>
              </w:rPr>
              <w:t>1</w:t>
            </w:r>
            <w:r>
              <w:rPr>
                <w:color w:val="auto"/>
                <w:kern w:val="0"/>
                <w:sz w:val="26"/>
                <w:szCs w:val="26"/>
                <w:highlight w:val="none"/>
              </w:rPr>
              <w:t>-</w:t>
            </w:r>
            <w:r>
              <w:rPr>
                <w:rFonts w:hint="eastAsia"/>
                <w:color w:val="auto"/>
                <w:kern w:val="0"/>
                <w:sz w:val="26"/>
                <w:szCs w:val="26"/>
                <w:highlight w:val="none"/>
              </w:rPr>
              <w:t>2</w:t>
            </w:r>
            <w:r>
              <w:rPr>
                <w:color w:val="auto"/>
                <w:kern w:val="0"/>
                <w:sz w:val="26"/>
                <w:szCs w:val="26"/>
                <w:highlight w:val="none"/>
              </w:rPr>
              <w:t xml:space="preserve"> </w:t>
            </w:r>
            <w:r>
              <w:rPr>
                <w:rFonts w:hint="eastAsia"/>
                <w:color w:val="auto"/>
                <w:kern w:val="0"/>
                <w:sz w:val="26"/>
                <w:szCs w:val="26"/>
                <w:highlight w:val="none"/>
              </w:rPr>
              <w:t>与园区规划环评审查意见函（摘录）的符合性分析</w:t>
            </w:r>
          </w:p>
          <w:tbl>
            <w:tblPr>
              <w:tblStyle w:val="16"/>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3849"/>
              <w:gridCol w:w="2868"/>
            </w:tblGrid>
            <w:tr w14:paraId="4558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tcBorders>
                    <w:top w:val="single" w:color="auto" w:sz="4" w:space="0"/>
                    <w:left w:val="single" w:color="auto" w:sz="4" w:space="0"/>
                    <w:bottom w:val="single" w:color="auto" w:sz="4" w:space="0"/>
                    <w:right w:val="single" w:color="auto" w:sz="4" w:space="0"/>
                    <w:tl2br w:val="nil"/>
                    <w:tr2bl w:val="nil"/>
                  </w:tcBorders>
                  <w:vAlign w:val="center"/>
                </w:tcPr>
                <w:p w14:paraId="2F273F95">
                  <w:pPr>
                    <w:ind w:left="-53" w:leftChars="-25" w:right="-53" w:rightChars="-25"/>
                    <w:jc w:val="center"/>
                    <w:rPr>
                      <w:color w:val="auto"/>
                      <w:sz w:val="20"/>
                      <w:szCs w:val="20"/>
                      <w:highlight w:val="none"/>
                    </w:rPr>
                  </w:pPr>
                  <w:r>
                    <w:rPr>
                      <w:rFonts w:hint="eastAsia"/>
                      <w:color w:val="auto"/>
                      <w:sz w:val="20"/>
                      <w:szCs w:val="20"/>
                      <w:highlight w:val="none"/>
                    </w:rPr>
                    <w:t>序号</w:t>
                  </w:r>
                </w:p>
              </w:tc>
              <w:tc>
                <w:tcPr>
                  <w:tcW w:w="2644" w:type="pct"/>
                  <w:tcBorders>
                    <w:top w:val="single" w:color="auto" w:sz="4" w:space="0"/>
                    <w:left w:val="single" w:color="auto" w:sz="4" w:space="0"/>
                    <w:bottom w:val="single" w:color="auto" w:sz="4" w:space="0"/>
                    <w:right w:val="single" w:color="auto" w:sz="4" w:space="0"/>
                    <w:tl2br w:val="nil"/>
                    <w:tr2bl w:val="nil"/>
                  </w:tcBorders>
                  <w:vAlign w:val="center"/>
                </w:tcPr>
                <w:p w14:paraId="48BD6217">
                  <w:pPr>
                    <w:ind w:left="-25" w:right="-25"/>
                    <w:jc w:val="center"/>
                    <w:rPr>
                      <w:color w:val="auto"/>
                      <w:sz w:val="20"/>
                      <w:szCs w:val="20"/>
                      <w:highlight w:val="none"/>
                    </w:rPr>
                  </w:pPr>
                  <w:r>
                    <w:rPr>
                      <w:rFonts w:hint="eastAsia"/>
                      <w:color w:val="auto"/>
                      <w:sz w:val="20"/>
                      <w:szCs w:val="20"/>
                      <w:highlight w:val="none"/>
                    </w:rPr>
                    <w:t>要求</w:t>
                  </w:r>
                </w:p>
              </w:tc>
              <w:tc>
                <w:tcPr>
                  <w:tcW w:w="1971" w:type="pct"/>
                  <w:tcBorders>
                    <w:top w:val="single" w:color="auto" w:sz="4" w:space="0"/>
                    <w:left w:val="single" w:color="auto" w:sz="4" w:space="0"/>
                    <w:bottom w:val="single" w:color="auto" w:sz="4" w:space="0"/>
                    <w:right w:val="single" w:color="auto" w:sz="4" w:space="0"/>
                    <w:tl2br w:val="nil"/>
                    <w:tr2bl w:val="nil"/>
                  </w:tcBorders>
                  <w:vAlign w:val="center"/>
                </w:tcPr>
                <w:p w14:paraId="144A1013">
                  <w:pPr>
                    <w:ind w:left="-25" w:right="-25"/>
                    <w:jc w:val="center"/>
                    <w:rPr>
                      <w:color w:val="auto"/>
                      <w:sz w:val="20"/>
                      <w:szCs w:val="20"/>
                      <w:highlight w:val="none"/>
                    </w:rPr>
                  </w:pPr>
                  <w:r>
                    <w:rPr>
                      <w:rFonts w:hint="eastAsia"/>
                      <w:color w:val="auto"/>
                      <w:sz w:val="20"/>
                      <w:szCs w:val="20"/>
                      <w:highlight w:val="none"/>
                    </w:rPr>
                    <w:t>符合性分析</w:t>
                  </w:r>
                </w:p>
              </w:tc>
            </w:tr>
            <w:tr w14:paraId="1807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8"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0584CD61">
                  <w:pPr>
                    <w:numPr>
                      <w:ilvl w:val="0"/>
                      <w:numId w:val="3"/>
                    </w:numPr>
                    <w:ind w:left="-25" w:right="-25"/>
                    <w:jc w:val="left"/>
                    <w:rPr>
                      <w:b/>
                      <w:bCs/>
                      <w:color w:val="auto"/>
                      <w:sz w:val="20"/>
                      <w:szCs w:val="20"/>
                      <w:highlight w:val="none"/>
                    </w:rPr>
                  </w:pPr>
                  <w:r>
                    <w:rPr>
                      <w:b/>
                      <w:bCs/>
                      <w:color w:val="auto"/>
                      <w:sz w:val="20"/>
                      <w:szCs w:val="20"/>
                      <w:highlight w:val="none"/>
                    </w:rPr>
                    <w:t>强化空间管控，优化产业布局。</w:t>
                  </w:r>
                </w:p>
                <w:p w14:paraId="4D13DF20">
                  <w:pPr>
                    <w:ind w:right="-25"/>
                    <w:jc w:val="left"/>
                    <w:rPr>
                      <w:color w:val="auto"/>
                      <w:sz w:val="20"/>
                      <w:szCs w:val="20"/>
                      <w:highlight w:val="none"/>
                    </w:rPr>
                  </w:pPr>
                  <w:r>
                    <w:rPr>
                      <w:color w:val="auto"/>
                      <w:sz w:val="20"/>
                      <w:szCs w:val="20"/>
                      <w:highlight w:val="none"/>
                    </w:rPr>
                    <w:t>优化环境防护距离设置，将环境防护距离优化控制在工业片区边界或用地红线以内。临近居住用地的工业用地不宜布置环境空气影响相对较大的企业或生产车间；涉及环境防护距离的工业企业或项目，应通过选址或调整布局严格控制环境防护距离。严格控制镇区边界，不得侵占生态保护红线、一般生态空间、“四山”禁建区。</w:t>
                  </w:r>
                </w:p>
                <w:p w14:paraId="19E2EFDB">
                  <w:pPr>
                    <w:ind w:left="-25" w:right="-25"/>
                    <w:jc w:val="left"/>
                    <w:rPr>
                      <w:color w:val="auto"/>
                      <w:sz w:val="20"/>
                      <w:szCs w:val="20"/>
                      <w:highlight w:val="none"/>
                    </w:rPr>
                  </w:pPr>
                  <w:r>
                    <w:rPr>
                      <w:color w:val="auto"/>
                      <w:sz w:val="20"/>
                      <w:szCs w:val="20"/>
                      <w:highlight w:val="none"/>
                    </w:rPr>
                    <w:t>土场镇严格控制坝子居住用地TC-18-01/01容积率和教育用地TC-18-02/01规模，周边工业用地新增产生大气污染的项目时需满足环境防护距离要求。为减轻TD-92-04/01、TD-92-05/01二类居住用地所受影响，应将该地块涉及的防护距离范围内用地调整为非居住用地。非规划工业用地内的现有工业企业应适时搬迁，与居住用地相邻的工业用地宜布局一类工业项目。</w:t>
                  </w:r>
                </w:p>
              </w:tc>
              <w:tc>
                <w:tcPr>
                  <w:tcW w:w="1971" w:type="pct"/>
                  <w:tcBorders>
                    <w:top w:val="single" w:color="auto" w:sz="4" w:space="0"/>
                    <w:left w:val="single" w:color="auto" w:sz="4" w:space="0"/>
                    <w:bottom w:val="single" w:color="auto" w:sz="4" w:space="0"/>
                    <w:right w:val="single" w:color="auto" w:sz="4" w:space="0"/>
                    <w:tl2br w:val="nil"/>
                    <w:tr2bl w:val="nil"/>
                  </w:tcBorders>
                  <w:vAlign w:val="center"/>
                </w:tcPr>
                <w:p w14:paraId="09712316">
                  <w:pPr>
                    <w:ind w:left="-25" w:right="-25"/>
                    <w:jc w:val="center"/>
                    <w:rPr>
                      <w:color w:val="auto"/>
                      <w:sz w:val="20"/>
                      <w:szCs w:val="20"/>
                      <w:highlight w:val="none"/>
                    </w:rPr>
                  </w:pPr>
                  <w:r>
                    <w:rPr>
                      <w:rFonts w:hint="eastAsia"/>
                      <w:color w:val="auto"/>
                      <w:sz w:val="20"/>
                      <w:szCs w:val="20"/>
                      <w:highlight w:val="none"/>
                    </w:rPr>
                    <w:t>符合。</w:t>
                  </w:r>
                </w:p>
                <w:p w14:paraId="7E8255A7">
                  <w:pPr>
                    <w:ind w:left="-25" w:right="-25"/>
                    <w:jc w:val="center"/>
                    <w:rPr>
                      <w:color w:val="auto"/>
                      <w:sz w:val="20"/>
                      <w:szCs w:val="20"/>
                      <w:highlight w:val="none"/>
                    </w:rPr>
                  </w:pPr>
                  <w:r>
                    <w:rPr>
                      <w:rFonts w:hint="eastAsia"/>
                      <w:color w:val="auto"/>
                      <w:sz w:val="20"/>
                      <w:szCs w:val="20"/>
                      <w:highlight w:val="none"/>
                    </w:rPr>
                    <w:t>项目不需要设置环境防护距离；项目所在地块不属于临近居住用地地块；项目所在区域属于合规的工业园区，不涉及生态保护红线、一般生态空间及“四山”禁建区。</w:t>
                  </w:r>
                </w:p>
              </w:tc>
            </w:tr>
            <w:tr w14:paraId="0F939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8"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5B2368F3">
                  <w:pPr>
                    <w:numPr>
                      <w:ilvl w:val="0"/>
                      <w:numId w:val="3"/>
                    </w:numPr>
                    <w:ind w:left="-25" w:right="-25"/>
                    <w:jc w:val="left"/>
                    <w:rPr>
                      <w:b/>
                      <w:bCs/>
                      <w:color w:val="auto"/>
                      <w:sz w:val="20"/>
                      <w:szCs w:val="20"/>
                      <w:highlight w:val="none"/>
                    </w:rPr>
                  </w:pPr>
                  <w:r>
                    <w:rPr>
                      <w:rFonts w:hint="eastAsia"/>
                      <w:b/>
                      <w:bCs/>
                      <w:color w:val="auto"/>
                      <w:sz w:val="20"/>
                      <w:szCs w:val="20"/>
                      <w:highlight w:val="none"/>
                    </w:rPr>
                    <w:t>严格建设项目环境准入。</w:t>
                  </w:r>
                </w:p>
                <w:p w14:paraId="257B28B6">
                  <w:pPr>
                    <w:ind w:left="-25" w:right="-25"/>
                    <w:jc w:val="left"/>
                    <w:rPr>
                      <w:color w:val="auto"/>
                      <w:sz w:val="20"/>
                      <w:szCs w:val="20"/>
                      <w:highlight w:val="none"/>
                    </w:rPr>
                  </w:pPr>
                  <w:r>
                    <w:rPr>
                      <w:rFonts w:hint="eastAsia"/>
                      <w:color w:val="auto"/>
                      <w:sz w:val="20"/>
                      <w:szCs w:val="20"/>
                      <w:highlight w:val="none"/>
                    </w:rPr>
                    <w:t>强化规划环评与合川区“三线一单”的联动，规划区应优化产业发展方向，落实环境准入清单，严格建设项目环境准入。坚持源头防控，倡导循环经济，提高清洁生产水平，从源头控制和减少污染物的产生量和排放量，按照清洁生产标准要求，不断提升工业企业的清洁生产水平，新建、改扩建项目清洁生产水平应达到国内先进水平。</w:t>
                  </w:r>
                </w:p>
              </w:tc>
              <w:tc>
                <w:tcPr>
                  <w:tcW w:w="1971" w:type="pct"/>
                  <w:tcBorders>
                    <w:top w:val="single" w:color="auto" w:sz="4" w:space="0"/>
                    <w:left w:val="single" w:color="auto" w:sz="4" w:space="0"/>
                    <w:bottom w:val="single" w:color="auto" w:sz="4" w:space="0"/>
                    <w:right w:val="single" w:color="auto" w:sz="4" w:space="0"/>
                    <w:tl2br w:val="nil"/>
                    <w:tr2bl w:val="nil"/>
                  </w:tcBorders>
                  <w:vAlign w:val="center"/>
                </w:tcPr>
                <w:p w14:paraId="2949AFF7">
                  <w:pPr>
                    <w:ind w:left="-25" w:right="-25"/>
                    <w:jc w:val="center"/>
                    <w:rPr>
                      <w:color w:val="auto"/>
                      <w:sz w:val="20"/>
                      <w:szCs w:val="20"/>
                      <w:highlight w:val="none"/>
                    </w:rPr>
                  </w:pPr>
                  <w:r>
                    <w:rPr>
                      <w:rFonts w:hint="eastAsia"/>
                      <w:color w:val="auto"/>
                      <w:sz w:val="20"/>
                      <w:szCs w:val="20"/>
                      <w:highlight w:val="none"/>
                    </w:rPr>
                    <w:t>符合。</w:t>
                  </w:r>
                </w:p>
                <w:p w14:paraId="492F9DC7">
                  <w:pPr>
                    <w:ind w:left="-25" w:right="-25"/>
                    <w:jc w:val="center"/>
                    <w:rPr>
                      <w:color w:val="auto"/>
                      <w:sz w:val="20"/>
                      <w:szCs w:val="20"/>
                      <w:highlight w:val="none"/>
                    </w:rPr>
                  </w:pPr>
                  <w:r>
                    <w:rPr>
                      <w:rFonts w:hint="eastAsia"/>
                      <w:color w:val="auto"/>
                      <w:sz w:val="20"/>
                      <w:szCs w:val="20"/>
                      <w:highlight w:val="none"/>
                    </w:rPr>
                    <w:t>项目符合规划环评关于土场镇主导产业定位，符合规划环评生态环境准入清单要求，符合重庆市、合川区生态环境分区管控要求，项目按清洁生产标准要求建设，预计建成后清洁生产水平可达到国内先进水平。</w:t>
                  </w:r>
                </w:p>
              </w:tc>
            </w:tr>
            <w:tr w14:paraId="2259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8"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59DFA4FF">
                  <w:pPr>
                    <w:numPr>
                      <w:ilvl w:val="0"/>
                      <w:numId w:val="3"/>
                    </w:numPr>
                    <w:ind w:left="-25" w:right="-25"/>
                    <w:jc w:val="left"/>
                    <w:rPr>
                      <w:b/>
                      <w:bCs/>
                      <w:color w:val="auto"/>
                      <w:sz w:val="20"/>
                      <w:szCs w:val="20"/>
                      <w:highlight w:val="none"/>
                    </w:rPr>
                  </w:pPr>
                  <w:r>
                    <w:rPr>
                      <w:b/>
                      <w:bCs/>
                      <w:color w:val="auto"/>
                      <w:sz w:val="20"/>
                      <w:szCs w:val="20"/>
                      <w:highlight w:val="none"/>
                    </w:rPr>
                    <w:t>强化大气污染防治。</w:t>
                  </w:r>
                </w:p>
                <w:p w14:paraId="4C722EA1">
                  <w:pPr>
                    <w:ind w:left="-25" w:right="-25"/>
                    <w:jc w:val="left"/>
                    <w:rPr>
                      <w:color w:val="auto"/>
                      <w:sz w:val="20"/>
                      <w:szCs w:val="20"/>
                      <w:highlight w:val="none"/>
                    </w:rPr>
                  </w:pPr>
                  <w:r>
                    <w:rPr>
                      <w:color w:val="auto"/>
                      <w:sz w:val="20"/>
                      <w:szCs w:val="20"/>
                      <w:highlight w:val="none"/>
                    </w:rPr>
                    <w:t>入区项目严格落实清洁能源计划和源头控制，禁止燃煤，推动燃气锅炉低氮改造。加强垃圾转运站恶臭废气治理，提高垃圾转运频率，减少垃圾滞留时间，开展转运站及垃圾运输车冲洗保洁；加强VOCs排放项目的源头控制，使用低（无）VOCs含量的原辅料，加强废气收集，安装高效治理设施；严格落实氟化物等废气治理措施；废气排放达标率100%。严格控制无组织排放，杜绝臭气扰民。</w:t>
                  </w:r>
                </w:p>
              </w:tc>
              <w:tc>
                <w:tcPr>
                  <w:tcW w:w="1971" w:type="pct"/>
                  <w:tcBorders>
                    <w:top w:val="single" w:color="auto" w:sz="4" w:space="0"/>
                    <w:left w:val="single" w:color="auto" w:sz="4" w:space="0"/>
                    <w:bottom w:val="single" w:color="auto" w:sz="4" w:space="0"/>
                    <w:right w:val="single" w:color="auto" w:sz="4" w:space="0"/>
                    <w:tl2br w:val="nil"/>
                    <w:tr2bl w:val="nil"/>
                  </w:tcBorders>
                  <w:vAlign w:val="center"/>
                </w:tcPr>
                <w:p w14:paraId="1B582009">
                  <w:pPr>
                    <w:ind w:left="-25" w:right="-25"/>
                    <w:jc w:val="center"/>
                    <w:rPr>
                      <w:color w:val="auto"/>
                      <w:sz w:val="20"/>
                      <w:szCs w:val="20"/>
                      <w:highlight w:val="none"/>
                    </w:rPr>
                  </w:pPr>
                  <w:r>
                    <w:rPr>
                      <w:rFonts w:hint="eastAsia"/>
                      <w:color w:val="auto"/>
                      <w:sz w:val="20"/>
                      <w:szCs w:val="20"/>
                      <w:highlight w:val="none"/>
                    </w:rPr>
                    <w:t>符合。</w:t>
                  </w:r>
                </w:p>
                <w:p w14:paraId="7BEE468B">
                  <w:pPr>
                    <w:ind w:left="-25" w:right="-25"/>
                    <w:jc w:val="center"/>
                    <w:rPr>
                      <w:color w:val="auto"/>
                      <w:sz w:val="20"/>
                      <w:szCs w:val="20"/>
                      <w:highlight w:val="none"/>
                    </w:rPr>
                  </w:pPr>
                  <w:r>
                    <w:rPr>
                      <w:rFonts w:hint="eastAsia"/>
                      <w:color w:val="auto"/>
                      <w:sz w:val="20"/>
                      <w:szCs w:val="20"/>
                      <w:highlight w:val="none"/>
                    </w:rPr>
                    <w:t>项目不涉及使用燃煤、重油等高污染物燃料，项目不涉及氟化物等污染物的排放，仅涉及少量颗粒物及VOCs（采用低挥发性折边胶产品）废气排放，项目按相关要求采取了大气污染控制措施；项目不涉及恶臭污染物排放。</w:t>
                  </w:r>
                </w:p>
              </w:tc>
            </w:tr>
            <w:tr w14:paraId="6F38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8"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0B8CD7B5">
                  <w:pPr>
                    <w:numPr>
                      <w:ilvl w:val="0"/>
                      <w:numId w:val="4"/>
                    </w:numPr>
                    <w:ind w:left="-25" w:right="-25"/>
                    <w:jc w:val="left"/>
                    <w:rPr>
                      <w:b/>
                      <w:bCs/>
                      <w:color w:val="auto"/>
                      <w:sz w:val="20"/>
                      <w:szCs w:val="20"/>
                      <w:highlight w:val="none"/>
                    </w:rPr>
                  </w:pPr>
                  <w:r>
                    <w:rPr>
                      <w:b/>
                      <w:bCs/>
                      <w:color w:val="auto"/>
                      <w:sz w:val="20"/>
                      <w:szCs w:val="20"/>
                      <w:highlight w:val="none"/>
                    </w:rPr>
                    <w:t>抓好水污染防治。</w:t>
                  </w:r>
                </w:p>
                <w:p w14:paraId="3E334552">
                  <w:pPr>
                    <w:ind w:right="-25"/>
                    <w:jc w:val="left"/>
                    <w:rPr>
                      <w:color w:val="auto"/>
                      <w:sz w:val="20"/>
                      <w:szCs w:val="20"/>
                      <w:highlight w:val="none"/>
                    </w:rPr>
                  </w:pPr>
                  <w:r>
                    <w:rPr>
                      <w:rFonts w:hint="eastAsia"/>
                      <w:color w:val="auto"/>
                      <w:sz w:val="20"/>
                      <w:szCs w:val="20"/>
                      <w:highlight w:val="none"/>
                    </w:rPr>
                    <w:t>加快实施流域综合整治工程，确保柏水溪满足相应标准要求。加快银翔新城污水处理厂提标改造工程的建设，争取早日投运；加快微车基地污水处理厂及管网建设，该污水处理厂投运前其服务范围内新、改、扩建项目禁止投运；视实际开发情况适时启动银翔新城污水处理厂、微车基地污水处理厂的扩建，根据地表水水质实际状况和环境质量底线，适时决定银翔新城污水处理厂、微车基地污水处理厂是否</w:t>
                  </w:r>
                  <w:bookmarkStart w:id="6" w:name="hmcheck_6ed836e16d974fd7a5d80e358ce41e64"/>
                  <w:r>
                    <w:rPr>
                      <w:rFonts w:hint="eastAsia"/>
                      <w:color w:val="auto"/>
                      <w:sz w:val="20"/>
                      <w:szCs w:val="20"/>
                      <w:highlight w:val="none"/>
                      <w:shd w:val="clear" w:fill="FFAFAA"/>
                    </w:rPr>
                    <w:t>按准</w:t>
                  </w:r>
                  <w:bookmarkEnd w:id="6"/>
                  <w:r>
                    <w:rPr>
                      <w:rFonts w:hint="eastAsia"/>
                      <w:color w:val="auto"/>
                      <w:sz w:val="20"/>
                      <w:szCs w:val="20"/>
                      <w:highlight w:val="none"/>
                    </w:rPr>
                    <w:t>《地表水环境质量标准》(GB3838-2002) )Ⅳ类标准进行提标改造。根据实际开发情况、地表水水质实际状况和环境质量底线适时启动土场生活污水处理厂、清平生活污水处理厂的扩建及提标改造工程。</w:t>
                  </w:r>
                </w:p>
                <w:p w14:paraId="4AB2AEAA">
                  <w:pPr>
                    <w:ind w:left="-25" w:right="-25"/>
                    <w:jc w:val="left"/>
                    <w:rPr>
                      <w:color w:val="auto"/>
                      <w:sz w:val="20"/>
                      <w:szCs w:val="20"/>
                      <w:highlight w:val="none"/>
                    </w:rPr>
                  </w:pPr>
                  <w:r>
                    <w:rPr>
                      <w:rFonts w:hint="eastAsia"/>
                      <w:color w:val="auto"/>
                      <w:sz w:val="20"/>
                      <w:szCs w:val="20"/>
                      <w:highlight w:val="none"/>
                    </w:rPr>
                    <w:t>高度重视地下水污染防控。采取源头控制为主的原则，落实分区、分级防渗措施，防止规划实施对区域地下水环境的污染。定期开展规划区地下水跟踪监测评价工作，根据监测结论，完善相应的地下水污染防控措施。</w:t>
                  </w:r>
                </w:p>
              </w:tc>
              <w:tc>
                <w:tcPr>
                  <w:tcW w:w="1971" w:type="pct"/>
                  <w:tcBorders>
                    <w:top w:val="single" w:color="auto" w:sz="4" w:space="0"/>
                    <w:left w:val="single" w:color="auto" w:sz="4" w:space="0"/>
                    <w:bottom w:val="single" w:color="auto" w:sz="4" w:space="0"/>
                    <w:right w:val="single" w:color="auto" w:sz="4" w:space="0"/>
                    <w:tl2br w:val="nil"/>
                    <w:tr2bl w:val="nil"/>
                  </w:tcBorders>
                  <w:vAlign w:val="center"/>
                </w:tcPr>
                <w:p w14:paraId="1ABF04CD">
                  <w:pPr>
                    <w:ind w:left="-25" w:right="-25"/>
                    <w:jc w:val="center"/>
                    <w:rPr>
                      <w:color w:val="auto"/>
                      <w:sz w:val="20"/>
                      <w:szCs w:val="20"/>
                      <w:highlight w:val="none"/>
                    </w:rPr>
                  </w:pPr>
                  <w:r>
                    <w:rPr>
                      <w:rFonts w:hint="eastAsia"/>
                      <w:color w:val="auto"/>
                      <w:sz w:val="20"/>
                      <w:szCs w:val="20"/>
                      <w:highlight w:val="none"/>
                    </w:rPr>
                    <w:t>符合。</w:t>
                  </w:r>
                </w:p>
                <w:p w14:paraId="24D2231F">
                  <w:pPr>
                    <w:ind w:left="-25" w:right="-25"/>
                    <w:jc w:val="center"/>
                    <w:rPr>
                      <w:color w:val="auto"/>
                      <w:sz w:val="20"/>
                      <w:szCs w:val="20"/>
                      <w:highlight w:val="none"/>
                    </w:rPr>
                  </w:pPr>
                  <w:r>
                    <w:rPr>
                      <w:rFonts w:hint="eastAsia"/>
                      <w:color w:val="auto"/>
                      <w:sz w:val="20"/>
                      <w:szCs w:val="20"/>
                      <w:highlight w:val="none"/>
                    </w:rPr>
                    <w:t>项目所在区域属于银翔新城污水处理厂纳污覆盖范围，产生的废水经银翔新城污水处理厂处理达标后</w:t>
                  </w:r>
                  <w:r>
                    <w:rPr>
                      <w:rFonts w:hint="eastAsia"/>
                      <w:color w:val="auto"/>
                      <w:sz w:val="20"/>
                      <w:szCs w:val="20"/>
                      <w:highlight w:val="none"/>
                      <w:lang w:eastAsia="zh-CN"/>
                    </w:rPr>
                    <w:t>排入</w:t>
                  </w:r>
                  <w:r>
                    <w:rPr>
                      <w:rFonts w:hint="eastAsia"/>
                      <w:color w:val="auto"/>
                      <w:sz w:val="20"/>
                      <w:szCs w:val="20"/>
                      <w:highlight w:val="none"/>
                    </w:rPr>
                    <w:t>柏水溪，</w:t>
                  </w:r>
                  <w:r>
                    <w:rPr>
                      <w:rFonts w:hint="eastAsia"/>
                      <w:color w:val="auto"/>
                      <w:sz w:val="20"/>
                      <w:szCs w:val="20"/>
                      <w:highlight w:val="none"/>
                      <w:lang w:eastAsia="zh-CN"/>
                    </w:rPr>
                    <w:t>目前</w:t>
                  </w:r>
                  <w:r>
                    <w:rPr>
                      <w:rFonts w:hint="eastAsia"/>
                      <w:color w:val="auto"/>
                      <w:sz w:val="20"/>
                      <w:szCs w:val="20"/>
                      <w:highlight w:val="none"/>
                    </w:rPr>
                    <w:t>银翔新城污水处理厂已完成一级A标的提标改造工作。项目按照相关要求落实分区、分级防渗措施，满足地下水污染防控要求。</w:t>
                  </w:r>
                </w:p>
              </w:tc>
            </w:tr>
            <w:tr w14:paraId="2551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8"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7DA1C819">
                  <w:pPr>
                    <w:ind w:left="-25" w:right="-25"/>
                    <w:jc w:val="left"/>
                    <w:rPr>
                      <w:b/>
                      <w:bCs/>
                      <w:color w:val="auto"/>
                      <w:sz w:val="20"/>
                      <w:szCs w:val="20"/>
                      <w:highlight w:val="none"/>
                    </w:rPr>
                  </w:pPr>
                  <w:r>
                    <w:rPr>
                      <w:b/>
                      <w:bCs/>
                      <w:color w:val="auto"/>
                      <w:sz w:val="20"/>
                      <w:szCs w:val="20"/>
                      <w:highlight w:val="none"/>
                    </w:rPr>
                    <w:t>（五）做好土壤和固体废物污染防治。</w:t>
                  </w:r>
                </w:p>
                <w:p w14:paraId="0D001D37">
                  <w:pPr>
                    <w:ind w:left="-25" w:right="-25"/>
                    <w:jc w:val="left"/>
                    <w:rPr>
                      <w:color w:val="auto"/>
                      <w:sz w:val="20"/>
                      <w:szCs w:val="20"/>
                      <w:highlight w:val="none"/>
                    </w:rPr>
                  </w:pPr>
                  <w:r>
                    <w:rPr>
                      <w:color w:val="auto"/>
                      <w:sz w:val="20"/>
                      <w:szCs w:val="20"/>
                      <w:highlight w:val="none"/>
                    </w:rPr>
                    <w:t>一般工业固体废物以综合利用为主。危险废物应当委托具有相应危险废物经营资质的单位进行处置，并严格按照危险废物管理有关规定进行收集和贮存。对可能造成土壤环境影响的企业要严格按照“土十条”要求落实污染防治措施，避免对土壤和地下水造成污染。规划区工业企业关闭或搬迁，土地再开发利用前，应按照国家和我市有关规定开展场地环境风险调查评估，并视评估结果，实施污染场地治理修复工作。</w:t>
                  </w:r>
                </w:p>
              </w:tc>
              <w:tc>
                <w:tcPr>
                  <w:tcW w:w="1971" w:type="pct"/>
                  <w:tcBorders>
                    <w:top w:val="single" w:color="auto" w:sz="4" w:space="0"/>
                    <w:left w:val="single" w:color="auto" w:sz="4" w:space="0"/>
                    <w:bottom w:val="single" w:color="auto" w:sz="4" w:space="0"/>
                    <w:right w:val="single" w:color="auto" w:sz="4" w:space="0"/>
                    <w:tl2br w:val="nil"/>
                    <w:tr2bl w:val="nil"/>
                  </w:tcBorders>
                  <w:vAlign w:val="center"/>
                </w:tcPr>
                <w:p w14:paraId="0922C4AA">
                  <w:pPr>
                    <w:ind w:left="-25" w:right="-25"/>
                    <w:jc w:val="center"/>
                    <w:rPr>
                      <w:color w:val="auto"/>
                      <w:sz w:val="20"/>
                      <w:szCs w:val="20"/>
                      <w:highlight w:val="none"/>
                    </w:rPr>
                  </w:pPr>
                  <w:r>
                    <w:rPr>
                      <w:rFonts w:hint="eastAsia"/>
                      <w:color w:val="auto"/>
                      <w:sz w:val="20"/>
                      <w:szCs w:val="20"/>
                      <w:highlight w:val="none"/>
                    </w:rPr>
                    <w:t>符合。</w:t>
                  </w:r>
                </w:p>
                <w:p w14:paraId="61C2C4AD">
                  <w:pPr>
                    <w:ind w:left="-25" w:right="-25"/>
                    <w:jc w:val="center"/>
                    <w:rPr>
                      <w:color w:val="auto"/>
                      <w:sz w:val="20"/>
                      <w:szCs w:val="20"/>
                      <w:highlight w:val="none"/>
                    </w:rPr>
                  </w:pPr>
                  <w:r>
                    <w:rPr>
                      <w:rFonts w:hint="eastAsia"/>
                      <w:color w:val="auto"/>
                      <w:sz w:val="20"/>
                      <w:szCs w:val="20"/>
                      <w:highlight w:val="none"/>
                    </w:rPr>
                    <w:t>项目产生的一般工业固体废物优先委外综合利用；危险废物建有贮存点，贮存点按照《危险废物贮存污染控制标准》（GB18597-2023）相关要求建设，运行过程中严格按照危险废物管理有关规定进行收集和贮存，定期委托具有相应危险废物经营资质的单位进行处置；对可能造成土壤、地下水环境</w:t>
                  </w:r>
                  <w:bookmarkStart w:id="7" w:name="hmcheck_39dd7eeb2dd84213b44f2e3718ff7045"/>
                  <w:r>
                    <w:rPr>
                      <w:rFonts w:hint="eastAsia"/>
                      <w:color w:val="auto"/>
                      <w:sz w:val="20"/>
                      <w:szCs w:val="20"/>
                      <w:highlight w:val="none"/>
                      <w:shd w:val="clear" w:fill="B2E9BC"/>
                      <w:lang w:eastAsia="zh-CN"/>
                    </w:rPr>
                    <w:t>污染</w:t>
                  </w:r>
                  <w:bookmarkEnd w:id="7"/>
                  <w:r>
                    <w:rPr>
                      <w:rFonts w:hint="eastAsia"/>
                      <w:color w:val="auto"/>
                      <w:sz w:val="20"/>
                      <w:szCs w:val="20"/>
                      <w:highlight w:val="none"/>
                    </w:rPr>
                    <w:t>的场所采取分区防渗措施，可以从源头防控项目对土壤和地下水造成污染。</w:t>
                  </w:r>
                </w:p>
              </w:tc>
            </w:tr>
            <w:tr w14:paraId="1EF5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8"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2462431B">
                  <w:pPr>
                    <w:ind w:left="-25" w:right="-25"/>
                    <w:jc w:val="left"/>
                    <w:rPr>
                      <w:b/>
                      <w:bCs/>
                      <w:color w:val="auto"/>
                      <w:sz w:val="20"/>
                      <w:szCs w:val="20"/>
                      <w:highlight w:val="none"/>
                    </w:rPr>
                  </w:pPr>
                  <w:r>
                    <w:rPr>
                      <w:b/>
                      <w:bCs/>
                      <w:color w:val="auto"/>
                      <w:sz w:val="20"/>
                      <w:szCs w:val="20"/>
                      <w:highlight w:val="none"/>
                    </w:rPr>
                    <w:t>（六）强化噪声污染管控。</w:t>
                  </w:r>
                </w:p>
                <w:p w14:paraId="3A4F8472">
                  <w:pPr>
                    <w:ind w:left="-25" w:right="-25"/>
                    <w:jc w:val="left"/>
                    <w:rPr>
                      <w:color w:val="auto"/>
                      <w:sz w:val="20"/>
                      <w:szCs w:val="20"/>
                      <w:highlight w:val="none"/>
                    </w:rPr>
                  </w:pPr>
                  <w:r>
                    <w:rPr>
                      <w:color w:val="auto"/>
                      <w:sz w:val="20"/>
                      <w:szCs w:val="20"/>
                      <w:highlight w:val="none"/>
                    </w:rPr>
                    <w:t>合理布局噪声源，加强规划区企业噪声治理，采用低噪声设备，采取消声、隔声、减震等措施，确保厂界噪声达标，尽量减少对周边居民的影响。</w:t>
                  </w:r>
                </w:p>
              </w:tc>
              <w:tc>
                <w:tcPr>
                  <w:tcW w:w="1971" w:type="pct"/>
                  <w:tcBorders>
                    <w:top w:val="single" w:color="auto" w:sz="4" w:space="0"/>
                    <w:left w:val="single" w:color="auto" w:sz="4" w:space="0"/>
                    <w:bottom w:val="single" w:color="auto" w:sz="4" w:space="0"/>
                    <w:right w:val="single" w:color="auto" w:sz="4" w:space="0"/>
                    <w:tl2br w:val="nil"/>
                    <w:tr2bl w:val="nil"/>
                  </w:tcBorders>
                  <w:vAlign w:val="center"/>
                </w:tcPr>
                <w:p w14:paraId="6122988B">
                  <w:pPr>
                    <w:ind w:left="-25" w:right="-25"/>
                    <w:jc w:val="center"/>
                    <w:rPr>
                      <w:color w:val="auto"/>
                      <w:sz w:val="20"/>
                      <w:szCs w:val="20"/>
                      <w:highlight w:val="none"/>
                    </w:rPr>
                  </w:pPr>
                  <w:r>
                    <w:rPr>
                      <w:rFonts w:hint="eastAsia"/>
                      <w:color w:val="auto"/>
                      <w:sz w:val="20"/>
                      <w:szCs w:val="20"/>
                      <w:highlight w:val="none"/>
                    </w:rPr>
                    <w:t>符合。</w:t>
                  </w:r>
                </w:p>
                <w:p w14:paraId="5DD9BC25">
                  <w:pPr>
                    <w:ind w:left="-25" w:right="-25"/>
                    <w:jc w:val="center"/>
                    <w:rPr>
                      <w:color w:val="auto"/>
                      <w:sz w:val="20"/>
                      <w:szCs w:val="20"/>
                      <w:highlight w:val="none"/>
                    </w:rPr>
                  </w:pPr>
                  <w:r>
                    <w:rPr>
                      <w:rFonts w:hint="eastAsia"/>
                      <w:color w:val="auto"/>
                      <w:sz w:val="20"/>
                      <w:szCs w:val="20"/>
                      <w:highlight w:val="none"/>
                    </w:rPr>
                    <w:t>项目通过选用低噪声设备、厂房隔声、基础减振等措施确保厂界噪声达标。项目周边50m范围内无声环境保护目标。</w:t>
                  </w:r>
                </w:p>
              </w:tc>
            </w:tr>
            <w:tr w14:paraId="6185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8"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6A1573B4">
                  <w:pPr>
                    <w:ind w:left="-25" w:right="-25"/>
                    <w:jc w:val="left"/>
                    <w:rPr>
                      <w:b/>
                      <w:bCs/>
                      <w:color w:val="auto"/>
                      <w:sz w:val="20"/>
                      <w:szCs w:val="20"/>
                      <w:highlight w:val="none"/>
                    </w:rPr>
                  </w:pPr>
                  <w:r>
                    <w:rPr>
                      <w:b/>
                      <w:bCs/>
                      <w:color w:val="auto"/>
                      <w:sz w:val="20"/>
                      <w:szCs w:val="20"/>
                      <w:highlight w:val="none"/>
                    </w:rPr>
                    <w:t>（七）强化环境风险管控。</w:t>
                  </w:r>
                </w:p>
                <w:p w14:paraId="50E2021E">
                  <w:pPr>
                    <w:ind w:left="-25" w:right="-25"/>
                    <w:jc w:val="left"/>
                    <w:rPr>
                      <w:color w:val="auto"/>
                      <w:sz w:val="20"/>
                      <w:szCs w:val="20"/>
                      <w:highlight w:val="none"/>
                    </w:rPr>
                  </w:pPr>
                  <w:r>
                    <w:rPr>
                      <w:color w:val="auto"/>
                      <w:sz w:val="20"/>
                      <w:szCs w:val="20"/>
                      <w:highlight w:val="none"/>
                    </w:rPr>
                    <w:t>相关企业尤其是涉及危化品的企业应严格落实各项环境风险防范措施，防范突发性环境风险事故发生。园区及其他工业片区应建立环境风险应急机制，制定环境风险应急预案，加强对企业环境风险源的监督管理。</w:t>
                  </w:r>
                </w:p>
              </w:tc>
              <w:tc>
                <w:tcPr>
                  <w:tcW w:w="1971" w:type="pct"/>
                  <w:tcBorders>
                    <w:top w:val="single" w:color="auto" w:sz="4" w:space="0"/>
                    <w:left w:val="single" w:color="auto" w:sz="4" w:space="0"/>
                    <w:bottom w:val="single" w:color="auto" w:sz="4" w:space="0"/>
                    <w:right w:val="single" w:color="auto" w:sz="4" w:space="0"/>
                    <w:tl2br w:val="nil"/>
                    <w:tr2bl w:val="nil"/>
                  </w:tcBorders>
                  <w:vAlign w:val="center"/>
                </w:tcPr>
                <w:p w14:paraId="5C04BF57">
                  <w:pPr>
                    <w:ind w:left="-25" w:right="-25"/>
                    <w:jc w:val="center"/>
                    <w:rPr>
                      <w:color w:val="auto"/>
                      <w:sz w:val="20"/>
                      <w:szCs w:val="20"/>
                      <w:highlight w:val="none"/>
                    </w:rPr>
                  </w:pPr>
                  <w:r>
                    <w:rPr>
                      <w:rFonts w:hint="eastAsia"/>
                      <w:color w:val="auto"/>
                      <w:sz w:val="20"/>
                      <w:szCs w:val="20"/>
                      <w:highlight w:val="none"/>
                    </w:rPr>
                    <w:t>符合。</w:t>
                  </w:r>
                </w:p>
                <w:p w14:paraId="27FADC9A">
                  <w:pPr>
                    <w:ind w:left="-25" w:right="-25"/>
                    <w:jc w:val="center"/>
                    <w:rPr>
                      <w:color w:val="auto"/>
                      <w:sz w:val="20"/>
                      <w:szCs w:val="20"/>
                      <w:highlight w:val="none"/>
                    </w:rPr>
                  </w:pPr>
                  <w:r>
                    <w:rPr>
                      <w:rFonts w:hint="eastAsia"/>
                      <w:color w:val="auto"/>
                      <w:sz w:val="20"/>
                      <w:szCs w:val="20"/>
                      <w:highlight w:val="none"/>
                    </w:rPr>
                    <w:t>项目严格按照各项要求落实环境风险防范措施，防范突发性环境风险事故。</w:t>
                  </w:r>
                </w:p>
              </w:tc>
            </w:tr>
          </w:tbl>
          <w:p w14:paraId="1D7B8C40">
            <w:pPr>
              <w:autoSpaceDE w:val="0"/>
              <w:autoSpaceDN w:val="0"/>
              <w:adjustRightInd w:val="0"/>
              <w:snapToGrid w:val="0"/>
              <w:jc w:val="left"/>
              <w:rPr>
                <w:rFonts w:ascii="宋体" w:cs="宋体"/>
                <w:color w:val="auto"/>
                <w:kern w:val="0"/>
                <w:sz w:val="24"/>
                <w:highlight w:val="none"/>
              </w:rPr>
            </w:pPr>
          </w:p>
          <w:p w14:paraId="0C7542BF">
            <w:pPr>
              <w:autoSpaceDE w:val="0"/>
              <w:autoSpaceDN w:val="0"/>
              <w:adjustRightInd w:val="0"/>
              <w:snapToGrid w:val="0"/>
              <w:spacing w:line="480" w:lineRule="exact"/>
              <w:ind w:firstLine="520" w:firstLineChars="200"/>
              <w:rPr>
                <w:rFonts w:ascii="宋体" w:hAnsi="宋体" w:cs="宋体"/>
                <w:color w:val="auto"/>
                <w:kern w:val="0"/>
                <w:sz w:val="26"/>
                <w:szCs w:val="26"/>
                <w:highlight w:val="none"/>
              </w:rPr>
            </w:pPr>
            <w:r>
              <w:rPr>
                <w:rFonts w:hint="eastAsia"/>
                <w:color w:val="auto"/>
                <w:kern w:val="0"/>
                <w:sz w:val="26"/>
                <w:szCs w:val="26"/>
                <w:highlight w:val="none"/>
              </w:rPr>
              <w:t>综上，项目</w:t>
            </w:r>
            <w:r>
              <w:rPr>
                <w:rFonts w:hint="eastAsia"/>
                <w:color w:val="auto"/>
                <w:kern w:val="0"/>
                <w:sz w:val="26"/>
                <w:szCs w:val="26"/>
                <w:highlight w:val="none"/>
                <w:lang w:eastAsia="zh-CN"/>
              </w:rPr>
              <w:t>租赁</w:t>
            </w:r>
            <w:r>
              <w:rPr>
                <w:rFonts w:hint="eastAsia"/>
                <w:color w:val="auto"/>
                <w:kern w:val="0"/>
                <w:sz w:val="26"/>
                <w:szCs w:val="26"/>
                <w:highlight w:val="none"/>
              </w:rPr>
              <w:t>租用重庆友拓汽车零部件有限公司合川厂区工程建设项目</w:t>
            </w:r>
            <w:r>
              <w:rPr>
                <w:rFonts w:hint="eastAsia"/>
                <w:color w:val="auto"/>
                <w:kern w:val="0"/>
                <w:sz w:val="26"/>
                <w:szCs w:val="26"/>
                <w:highlight w:val="none"/>
                <w:lang w:eastAsia="zh-CN"/>
              </w:rPr>
              <w:t>厂房及设备</w:t>
            </w:r>
            <w:r>
              <w:rPr>
                <w:rFonts w:hint="eastAsia"/>
                <w:color w:val="auto"/>
                <w:kern w:val="0"/>
                <w:sz w:val="26"/>
                <w:szCs w:val="26"/>
                <w:highlight w:val="none"/>
              </w:rPr>
              <w:t>进行技术改造，相关环境保护手续一并承接。</w:t>
            </w:r>
            <w:r>
              <w:rPr>
                <w:rFonts w:hint="eastAsia"/>
                <w:color w:val="auto"/>
                <w:kern w:val="0"/>
                <w:sz w:val="26"/>
                <w:szCs w:val="26"/>
                <w:highlight w:val="none"/>
                <w:lang w:eastAsia="zh-CN"/>
              </w:rPr>
              <w:t>所在地块用</w:t>
            </w:r>
            <w:r>
              <w:rPr>
                <w:rFonts w:hint="eastAsia"/>
                <w:color w:val="auto"/>
                <w:kern w:val="0"/>
                <w:sz w:val="26"/>
                <w:szCs w:val="26"/>
                <w:highlight w:val="none"/>
              </w:rPr>
              <w:t>地性质为工业用地，所在区域属于合规的工业园区，符合规划产业定位，符合《重庆市合川区土场镇、清平镇总体规划环境影响报告书》及《重庆市合川区生态环境局关于重庆市合川区土场镇、清平镇总体规划环境影响报告书审查意见的函》（合川环函〔2021〕71号）</w:t>
            </w:r>
            <w:r>
              <w:rPr>
                <w:rFonts w:hint="eastAsia"/>
                <w:color w:val="auto"/>
                <w:kern w:val="0"/>
                <w:sz w:val="26"/>
                <w:szCs w:val="26"/>
                <w:highlight w:val="none"/>
                <w:lang w:eastAsia="zh-CN"/>
              </w:rPr>
              <w:t>。</w:t>
            </w:r>
          </w:p>
        </w:tc>
      </w:tr>
      <w:tr w14:paraId="3D2804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13216" w:hRule="atLeast"/>
          <w:jc w:val="center"/>
        </w:trPr>
        <w:tc>
          <w:tcPr>
            <w:tcW w:w="1295" w:type="dxa"/>
            <w:vAlign w:val="center"/>
          </w:tcPr>
          <w:p w14:paraId="20EDF774">
            <w:pPr>
              <w:autoSpaceDE w:val="0"/>
              <w:autoSpaceDN w:val="0"/>
              <w:adjustRightInd w:val="0"/>
              <w:snapToGrid w:val="0"/>
              <w:jc w:val="center"/>
              <w:rPr>
                <w:rFonts w:ascii="宋体" w:hAnsi="宋体" w:cs="宋体"/>
                <w:color w:val="auto"/>
                <w:kern w:val="0"/>
                <w:sz w:val="26"/>
                <w:szCs w:val="26"/>
                <w:highlight w:val="none"/>
              </w:rPr>
            </w:pPr>
            <w:r>
              <w:rPr>
                <w:rFonts w:hint="eastAsia" w:ascii="宋体" w:hAnsi="宋体" w:cs="宋体"/>
                <w:color w:val="auto"/>
                <w:kern w:val="0"/>
                <w:sz w:val="26"/>
                <w:szCs w:val="26"/>
                <w:highlight w:val="none"/>
              </w:rPr>
              <w:t>其他符合性分析</w:t>
            </w:r>
          </w:p>
        </w:tc>
        <w:tc>
          <w:tcPr>
            <w:tcW w:w="7564" w:type="dxa"/>
            <w:gridSpan w:val="3"/>
            <w:vAlign w:val="center"/>
          </w:tcPr>
          <w:p w14:paraId="3123BADE">
            <w:pPr>
              <w:autoSpaceDE w:val="0"/>
              <w:autoSpaceDN w:val="0"/>
              <w:adjustRightInd w:val="0"/>
              <w:snapToGrid w:val="0"/>
              <w:spacing w:line="480" w:lineRule="exact"/>
              <w:ind w:firstLine="522" w:firstLineChars="200"/>
              <w:rPr>
                <w:b/>
                <w:color w:val="auto"/>
                <w:kern w:val="0"/>
                <w:sz w:val="26"/>
                <w:szCs w:val="26"/>
                <w:highlight w:val="none"/>
              </w:rPr>
            </w:pPr>
            <w:r>
              <w:rPr>
                <w:rFonts w:hint="eastAsia"/>
                <w:b/>
                <w:color w:val="auto"/>
                <w:kern w:val="0"/>
                <w:sz w:val="26"/>
                <w:szCs w:val="26"/>
                <w:highlight w:val="none"/>
              </w:rPr>
              <w:t>1.2 其他符合性分析</w:t>
            </w:r>
          </w:p>
          <w:p w14:paraId="41150985">
            <w:pPr>
              <w:autoSpaceDE w:val="0"/>
              <w:autoSpaceDN w:val="0"/>
              <w:adjustRightInd w:val="0"/>
              <w:snapToGrid w:val="0"/>
              <w:spacing w:line="480" w:lineRule="exact"/>
              <w:ind w:firstLine="522" w:firstLineChars="200"/>
              <w:rPr>
                <w:b/>
                <w:color w:val="auto"/>
                <w:kern w:val="0"/>
                <w:sz w:val="26"/>
                <w:szCs w:val="26"/>
                <w:highlight w:val="none"/>
              </w:rPr>
            </w:pPr>
            <w:r>
              <w:rPr>
                <w:rFonts w:hint="eastAsia"/>
                <w:b/>
                <w:color w:val="auto"/>
                <w:kern w:val="0"/>
                <w:sz w:val="26"/>
                <w:szCs w:val="26"/>
                <w:highlight w:val="none"/>
              </w:rPr>
              <w:t>1.2.1 产业政策符合性分析</w:t>
            </w:r>
          </w:p>
          <w:p w14:paraId="6353C186">
            <w:pPr>
              <w:autoSpaceDE w:val="0"/>
              <w:autoSpaceDN w:val="0"/>
              <w:adjustRightInd w:val="0"/>
              <w:snapToGrid w:val="0"/>
              <w:spacing w:line="480" w:lineRule="exact"/>
              <w:ind w:firstLine="522" w:firstLineChars="200"/>
              <w:rPr>
                <w:b/>
                <w:bCs/>
                <w:color w:val="auto"/>
                <w:kern w:val="0"/>
                <w:sz w:val="26"/>
                <w:szCs w:val="26"/>
                <w:highlight w:val="none"/>
              </w:rPr>
            </w:pPr>
            <w:r>
              <w:rPr>
                <w:rFonts w:hint="eastAsia"/>
                <w:b/>
                <w:bCs/>
                <w:color w:val="auto"/>
                <w:kern w:val="0"/>
                <w:sz w:val="26"/>
                <w:szCs w:val="26"/>
                <w:highlight w:val="none"/>
              </w:rPr>
              <w:t>（1）与《产业结构调整指导目录（2024年本）》符合性分析</w:t>
            </w:r>
          </w:p>
          <w:p w14:paraId="352D9E03">
            <w:pPr>
              <w:autoSpaceDE w:val="0"/>
              <w:autoSpaceDN w:val="0"/>
              <w:adjustRightInd w:val="0"/>
              <w:snapToGrid w:val="0"/>
              <w:spacing w:line="480" w:lineRule="exact"/>
              <w:ind w:firstLine="520" w:firstLineChars="200"/>
              <w:rPr>
                <w:color w:val="auto"/>
                <w:kern w:val="0"/>
                <w:sz w:val="26"/>
                <w:szCs w:val="26"/>
                <w:highlight w:val="none"/>
              </w:rPr>
            </w:pPr>
            <w:r>
              <w:rPr>
                <w:rFonts w:hint="eastAsia"/>
                <w:color w:val="auto"/>
                <w:kern w:val="0"/>
                <w:sz w:val="26"/>
                <w:szCs w:val="26"/>
                <w:highlight w:val="none"/>
              </w:rPr>
              <w:t>根据《国民经济行业分类》（GB/T 4754—2017），本项目所属行业类别为C3670汽车零部件及配件制造，不属于《产业结构调整指导目录（20</w:t>
            </w:r>
            <w:r>
              <w:rPr>
                <w:color w:val="auto"/>
                <w:kern w:val="0"/>
                <w:sz w:val="26"/>
                <w:szCs w:val="26"/>
                <w:highlight w:val="none"/>
              </w:rPr>
              <w:t>24</w:t>
            </w:r>
            <w:r>
              <w:rPr>
                <w:rFonts w:hint="eastAsia"/>
                <w:color w:val="auto"/>
                <w:kern w:val="0"/>
                <w:sz w:val="26"/>
                <w:szCs w:val="26"/>
                <w:highlight w:val="none"/>
              </w:rPr>
              <w:t>年本）》中的“鼓励类、限制类、淘汰类”项目，为允许类。同时，重庆市合川区发展和改革委员会已对项目予以投资备案。因此，项目符合国家、地方产业政策。</w:t>
            </w:r>
          </w:p>
          <w:p w14:paraId="7E02658E">
            <w:pPr>
              <w:autoSpaceDE w:val="0"/>
              <w:autoSpaceDN w:val="0"/>
              <w:adjustRightInd w:val="0"/>
              <w:snapToGrid w:val="0"/>
              <w:spacing w:line="480" w:lineRule="exact"/>
              <w:ind w:firstLine="522" w:firstLineChars="200"/>
              <w:rPr>
                <w:color w:val="auto"/>
                <w:kern w:val="0"/>
                <w:sz w:val="26"/>
                <w:szCs w:val="26"/>
                <w:highlight w:val="none"/>
              </w:rPr>
            </w:pPr>
            <w:r>
              <w:rPr>
                <w:rFonts w:hint="eastAsia"/>
                <w:b/>
                <w:bCs/>
                <w:color w:val="auto"/>
                <w:kern w:val="0"/>
                <w:sz w:val="26"/>
                <w:szCs w:val="26"/>
                <w:highlight w:val="none"/>
              </w:rPr>
              <w:t>（2）与《长江经济带发展负面清单指南（试行，2022年版）》（长江办〔2022〕7号）、《四川省、重庆市长江经济带发展负面清单实施细则（试行，2022年版）》（川长江办〔2022〕17号）符合性分析</w:t>
            </w:r>
          </w:p>
          <w:p w14:paraId="0662F3AB">
            <w:pPr>
              <w:autoSpaceDE w:val="0"/>
              <w:autoSpaceDN w:val="0"/>
              <w:adjustRightInd w:val="0"/>
              <w:snapToGrid w:val="0"/>
              <w:spacing w:line="480" w:lineRule="exact"/>
              <w:ind w:firstLine="520" w:firstLineChars="200"/>
              <w:rPr>
                <w:color w:val="auto"/>
                <w:kern w:val="0"/>
                <w:sz w:val="26"/>
                <w:szCs w:val="26"/>
                <w:highlight w:val="none"/>
              </w:rPr>
            </w:pPr>
            <w:r>
              <w:rPr>
                <w:rFonts w:hint="eastAsia"/>
                <w:color w:val="auto"/>
                <w:kern w:val="0"/>
                <w:sz w:val="26"/>
                <w:szCs w:val="26"/>
                <w:highlight w:val="none"/>
              </w:rPr>
              <w:t>项目为汽车配件制造，选址位于合川工业园区内，不涉及自然保护区、风景名胜区、饮用水源保护区、国家湿地公园、水产种质资源保护区、湖泊保护区及保留区、生态保护红线、永久基本农田；不涉及河湖岸线利用、水域占用；废水预处理后间接排放至园区污水处理厂处理达标后排放，不涉及新设、改设或扩大排污口；不属于钢铁、石化、化工、焦化、建材、有色、纸浆造纸等高污染项目、落后产能项目、过剩产能行业；不属于高耗能项目，不属于《关于加强高耗能、高排放建设项目生态环境源头防控的指导意见》（环环评〔2021〕45号）、《重庆市生态环境局办公室关于贯彻落实坚决遏制高耗能、高排放项目盲目发展相关要求的通知》（渝环办〔2021〕168号）中提出的“两高”类项目；同时项目属于《产业结构调整指导目录（2024年本）》允许类；符合《长江经济带发展负面清单指南（试行，2022年版）》（长江办〔2022〕7号）、《四川省、重庆市长江经济带发展负面清单实施细则（试行，2022年版）》（川长江办〔2022〕17号）相关要求。</w:t>
            </w:r>
          </w:p>
          <w:p w14:paraId="5C5B81D3">
            <w:pPr>
              <w:autoSpaceDE w:val="0"/>
              <w:autoSpaceDN w:val="0"/>
              <w:adjustRightInd w:val="0"/>
              <w:snapToGrid w:val="0"/>
              <w:spacing w:line="480" w:lineRule="exact"/>
              <w:ind w:firstLine="522" w:firstLineChars="200"/>
              <w:rPr>
                <w:b/>
                <w:bCs/>
                <w:color w:val="auto"/>
                <w:kern w:val="0"/>
                <w:sz w:val="26"/>
                <w:szCs w:val="26"/>
                <w:highlight w:val="none"/>
              </w:rPr>
            </w:pPr>
            <w:r>
              <w:rPr>
                <w:rFonts w:hint="eastAsia"/>
                <w:b/>
                <w:bCs/>
                <w:color w:val="auto"/>
                <w:kern w:val="0"/>
                <w:sz w:val="26"/>
                <w:szCs w:val="26"/>
                <w:highlight w:val="none"/>
              </w:rPr>
              <w:t>（3）与《重庆市产业投资准入工作手册》（渝发改投资〔2022〕1436号）符合性分析</w:t>
            </w:r>
          </w:p>
          <w:p w14:paraId="34FDEB4C">
            <w:pPr>
              <w:autoSpaceDE w:val="0"/>
              <w:autoSpaceDN w:val="0"/>
              <w:adjustRightInd w:val="0"/>
              <w:snapToGrid w:val="0"/>
              <w:spacing w:line="480" w:lineRule="exact"/>
              <w:ind w:firstLine="520" w:firstLineChars="200"/>
              <w:rPr>
                <w:color w:val="auto"/>
                <w:kern w:val="0"/>
                <w:sz w:val="26"/>
                <w:szCs w:val="26"/>
                <w:highlight w:val="none"/>
              </w:rPr>
            </w:pPr>
            <w:r>
              <w:rPr>
                <w:rFonts w:hint="eastAsia"/>
                <w:color w:val="auto"/>
                <w:kern w:val="0"/>
                <w:sz w:val="26"/>
                <w:szCs w:val="26"/>
                <w:highlight w:val="none"/>
              </w:rPr>
              <w:t>项目为汽车配件制造，属于《产业结构调整指导目录（2024年本）》允许类；不涉及重金属（铬、镉、汞、砷、铅等五类重金属）、剧毒物质和持久性有机污染物排放；项目选址位于合川工业园区内，不涉及生态敏感区、饮用水源保护区、永久基本农田、河湖岸线及河段；不属于过剩产能行业的，使用清洁能源电能，不属于钢铁、石化、化工、焦化、建材、有色、制浆造纸等高污染项目，不属于《关于加强高耗能、高排放建设项目生态环境源头防控的指导意见》（环环评〔2021〕45号）、《重庆市生态环境局办公室关于贯彻落实坚决遏制高耗能、高排放项目盲目发展相关要求的通知》（渝环办〔2021〕168号）中提出的“两高”类项目；项目建设符合产业政策和布局要求，目前正在依法办理环境保护等相关手续。</w:t>
            </w:r>
          </w:p>
          <w:p w14:paraId="166ACF96">
            <w:pPr>
              <w:autoSpaceDE w:val="0"/>
              <w:autoSpaceDN w:val="0"/>
              <w:adjustRightInd w:val="0"/>
              <w:snapToGrid w:val="0"/>
              <w:spacing w:line="480" w:lineRule="exact"/>
              <w:ind w:firstLine="520" w:firstLineChars="200"/>
              <w:rPr>
                <w:color w:val="auto"/>
                <w:kern w:val="0"/>
                <w:sz w:val="26"/>
                <w:szCs w:val="26"/>
                <w:highlight w:val="none"/>
              </w:rPr>
            </w:pPr>
            <w:r>
              <w:rPr>
                <w:rFonts w:hint="eastAsia"/>
                <w:color w:val="auto"/>
                <w:kern w:val="0"/>
                <w:sz w:val="26"/>
                <w:szCs w:val="26"/>
                <w:highlight w:val="none"/>
              </w:rPr>
              <w:t>综上，项目不属于《重庆市产业投资准入工作手册》（渝发改投资〔2022〕1436号）中规定的不予准入、限制准入项目，项目建设符合重庆市产业投资准入及产业布局准入要求。</w:t>
            </w:r>
          </w:p>
          <w:p w14:paraId="7E2D09B4">
            <w:pPr>
              <w:autoSpaceDE w:val="0"/>
              <w:autoSpaceDN w:val="0"/>
              <w:adjustRightInd w:val="0"/>
              <w:snapToGrid w:val="0"/>
              <w:spacing w:line="480" w:lineRule="exact"/>
              <w:ind w:firstLine="522" w:firstLineChars="200"/>
              <w:rPr>
                <w:b/>
                <w:color w:val="auto"/>
                <w:kern w:val="0"/>
                <w:sz w:val="26"/>
                <w:szCs w:val="26"/>
                <w:highlight w:val="none"/>
              </w:rPr>
            </w:pPr>
            <w:r>
              <w:rPr>
                <w:rFonts w:hint="eastAsia"/>
                <w:b/>
                <w:color w:val="auto"/>
                <w:kern w:val="0"/>
                <w:sz w:val="26"/>
                <w:szCs w:val="26"/>
                <w:highlight w:val="none"/>
              </w:rPr>
              <w:t>1.2.2 与生态环境分区管控符合性分析</w:t>
            </w:r>
          </w:p>
          <w:p w14:paraId="07024C91">
            <w:pPr>
              <w:autoSpaceDE w:val="0"/>
              <w:autoSpaceDN w:val="0"/>
              <w:adjustRightInd w:val="0"/>
              <w:snapToGrid w:val="0"/>
              <w:spacing w:line="480" w:lineRule="exact"/>
              <w:ind w:firstLine="520" w:firstLineChars="200"/>
              <w:rPr>
                <w:color w:val="auto"/>
                <w:kern w:val="0"/>
                <w:sz w:val="26"/>
                <w:szCs w:val="26"/>
                <w:highlight w:val="none"/>
              </w:rPr>
            </w:pPr>
            <w:r>
              <w:rPr>
                <w:rFonts w:hint="eastAsia"/>
                <w:color w:val="auto"/>
                <w:kern w:val="0"/>
                <w:sz w:val="26"/>
                <w:szCs w:val="26"/>
                <w:highlight w:val="none"/>
              </w:rPr>
              <w:t>本项目为污染影响类建设项目。通过重庆市“三线一单”智检服务平台，项目位于“合川区工业城镇重点管控单元—天顶片区”（环境管控单元编号ZH50011720006）。</w:t>
            </w:r>
          </w:p>
          <w:p w14:paraId="2F07D52B">
            <w:pPr>
              <w:autoSpaceDE w:val="0"/>
              <w:autoSpaceDN w:val="0"/>
              <w:adjustRightInd w:val="0"/>
              <w:snapToGrid w:val="0"/>
              <w:spacing w:line="480" w:lineRule="exact"/>
              <w:ind w:firstLine="520" w:firstLineChars="200"/>
              <w:rPr>
                <w:color w:val="auto"/>
                <w:kern w:val="0"/>
                <w:sz w:val="26"/>
                <w:szCs w:val="26"/>
                <w:highlight w:val="none"/>
              </w:rPr>
            </w:pPr>
            <w:r>
              <w:rPr>
                <w:rFonts w:hint="eastAsia"/>
                <w:color w:val="auto"/>
                <w:kern w:val="0"/>
                <w:sz w:val="26"/>
                <w:szCs w:val="26"/>
                <w:highlight w:val="none"/>
              </w:rPr>
              <w:t>根据《建设项目环评“三线一单”符合性分析技术要点（试行）》（重庆市生态环境局，2022年7月），项目与“三线一单”管控要求的符合性分析见下。</w:t>
            </w:r>
          </w:p>
          <w:p w14:paraId="184C2BC6">
            <w:pPr>
              <w:autoSpaceDE w:val="0"/>
              <w:autoSpaceDN w:val="0"/>
              <w:adjustRightInd w:val="0"/>
              <w:snapToGrid w:val="0"/>
              <w:jc w:val="center"/>
              <w:rPr>
                <w:color w:val="auto"/>
                <w:kern w:val="0"/>
                <w:sz w:val="26"/>
                <w:szCs w:val="26"/>
                <w:highlight w:val="none"/>
              </w:rPr>
            </w:pPr>
            <w:r>
              <w:rPr>
                <w:rFonts w:hint="eastAsia"/>
                <w:color w:val="auto"/>
                <w:kern w:val="0"/>
                <w:sz w:val="26"/>
                <w:szCs w:val="26"/>
                <w:highlight w:val="none"/>
              </w:rPr>
              <w:drawing>
                <wp:inline distT="0" distB="0" distL="114300" distR="114300">
                  <wp:extent cx="3474720" cy="2416810"/>
                  <wp:effectExtent l="0" t="0" r="0" b="0"/>
                  <wp:docPr id="1" name="图片 19" descr="111－国周一期三线一单智检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descr="111－国周一期三线一单智检报告"/>
                          <pic:cNvPicPr>
                            <a:picLocks noChangeAspect="1"/>
                          </pic:cNvPicPr>
                        </pic:nvPicPr>
                        <pic:blipFill>
                          <a:blip r:embed="rId12"/>
                          <a:srcRect l="2705" t="2622" r="2124" b="2726"/>
                          <a:stretch>
                            <a:fillRect/>
                          </a:stretch>
                        </pic:blipFill>
                        <pic:spPr>
                          <a:xfrm>
                            <a:off x="0" y="0"/>
                            <a:ext cx="3474720" cy="2416810"/>
                          </a:xfrm>
                          <a:prstGeom prst="rect">
                            <a:avLst/>
                          </a:prstGeom>
                          <a:noFill/>
                          <a:ln>
                            <a:noFill/>
                          </a:ln>
                        </pic:spPr>
                      </pic:pic>
                    </a:graphicData>
                  </a:graphic>
                </wp:inline>
              </w:drawing>
            </w:r>
          </w:p>
          <w:p w14:paraId="0BBFDEFE">
            <w:pPr>
              <w:autoSpaceDE w:val="0"/>
              <w:autoSpaceDN w:val="0"/>
              <w:adjustRightInd w:val="0"/>
              <w:snapToGrid w:val="0"/>
              <w:jc w:val="center"/>
              <w:rPr>
                <w:bCs/>
                <w:color w:val="auto"/>
                <w:kern w:val="0"/>
                <w:sz w:val="26"/>
                <w:szCs w:val="26"/>
                <w:highlight w:val="none"/>
              </w:rPr>
            </w:pPr>
            <w:r>
              <w:rPr>
                <w:rFonts w:hint="eastAsia"/>
                <w:bCs/>
                <w:color w:val="auto"/>
                <w:kern w:val="0"/>
                <w:sz w:val="26"/>
                <w:szCs w:val="26"/>
                <w:highlight w:val="none"/>
              </w:rPr>
              <w:t>图1.2</w:t>
            </w:r>
            <w:r>
              <w:rPr>
                <w:bCs/>
                <w:color w:val="auto"/>
                <w:kern w:val="0"/>
                <w:sz w:val="26"/>
                <w:szCs w:val="26"/>
                <w:highlight w:val="none"/>
              </w:rPr>
              <w:t>-</w:t>
            </w:r>
            <w:r>
              <w:rPr>
                <w:rFonts w:hint="eastAsia"/>
                <w:bCs/>
                <w:color w:val="auto"/>
                <w:kern w:val="0"/>
                <w:sz w:val="26"/>
                <w:szCs w:val="26"/>
                <w:highlight w:val="none"/>
              </w:rPr>
              <w:t xml:space="preserve">1 </w:t>
            </w:r>
            <w:r>
              <w:rPr>
                <w:bCs/>
                <w:color w:val="auto"/>
                <w:kern w:val="0"/>
                <w:sz w:val="26"/>
                <w:szCs w:val="26"/>
                <w:highlight w:val="none"/>
              </w:rPr>
              <w:t xml:space="preserve">  </w:t>
            </w:r>
            <w:r>
              <w:rPr>
                <w:rFonts w:hint="eastAsia"/>
                <w:bCs/>
                <w:color w:val="auto"/>
                <w:kern w:val="0"/>
                <w:sz w:val="26"/>
                <w:szCs w:val="26"/>
                <w:highlight w:val="none"/>
              </w:rPr>
              <w:t>重</w:t>
            </w:r>
            <w:r>
              <w:rPr>
                <w:bCs/>
                <w:color w:val="auto"/>
                <w:kern w:val="0"/>
                <w:sz w:val="26"/>
                <w:szCs w:val="26"/>
                <w:highlight w:val="none"/>
              </w:rPr>
              <w:t>庆市“三线一单”</w:t>
            </w:r>
            <w:r>
              <w:rPr>
                <w:rFonts w:hint="eastAsia"/>
                <w:bCs/>
                <w:color w:val="auto"/>
                <w:kern w:val="0"/>
                <w:sz w:val="26"/>
                <w:szCs w:val="26"/>
                <w:highlight w:val="none"/>
              </w:rPr>
              <w:t>智检</w:t>
            </w:r>
            <w:r>
              <w:rPr>
                <w:bCs/>
                <w:color w:val="auto"/>
                <w:kern w:val="0"/>
                <w:sz w:val="26"/>
                <w:szCs w:val="26"/>
                <w:highlight w:val="none"/>
              </w:rPr>
              <w:t>服务</w:t>
            </w:r>
            <w:bookmarkStart w:id="8" w:name="hmcheck_c6724f35932f4917910d1f7130073553"/>
            <w:r>
              <w:rPr>
                <w:bCs/>
                <w:color w:val="auto"/>
                <w:kern w:val="0"/>
                <w:sz w:val="26"/>
                <w:szCs w:val="26"/>
                <w:highlight w:val="none"/>
                <w:shd w:val="clear" w:fill="FFAFAA"/>
              </w:rPr>
              <w:t>-</w:t>
            </w:r>
            <w:r>
              <w:rPr>
                <w:rFonts w:hint="eastAsia"/>
                <w:bCs/>
                <w:color w:val="auto"/>
                <w:kern w:val="0"/>
                <w:sz w:val="26"/>
                <w:szCs w:val="26"/>
                <w:highlight w:val="none"/>
                <w:shd w:val="clear" w:fill="FFAFAA"/>
              </w:rPr>
              <w:t>点</w:t>
            </w:r>
            <w:bookmarkEnd w:id="8"/>
            <w:r>
              <w:rPr>
                <w:rFonts w:hint="eastAsia"/>
                <w:bCs/>
                <w:color w:val="auto"/>
                <w:kern w:val="0"/>
                <w:sz w:val="26"/>
                <w:szCs w:val="26"/>
                <w:highlight w:val="none"/>
              </w:rPr>
              <w:t>位</w:t>
            </w:r>
            <w:r>
              <w:rPr>
                <w:bCs/>
                <w:color w:val="auto"/>
                <w:kern w:val="0"/>
                <w:sz w:val="26"/>
                <w:szCs w:val="26"/>
                <w:highlight w:val="none"/>
              </w:rPr>
              <w:t>示意图</w:t>
            </w:r>
          </w:p>
          <w:p w14:paraId="456F3BDA">
            <w:pPr>
              <w:pStyle w:val="7"/>
              <w:spacing w:before="0" w:after="0" w:line="240" w:lineRule="auto"/>
              <w:ind w:right="0"/>
              <w:jc w:val="center"/>
              <w:rPr>
                <w:bCs/>
                <w:color w:val="auto"/>
                <w:sz w:val="26"/>
                <w:szCs w:val="26"/>
                <w:highlight w:val="none"/>
              </w:rPr>
            </w:pPr>
          </w:p>
          <w:p w14:paraId="5C9B57DE">
            <w:pPr>
              <w:pStyle w:val="7"/>
              <w:spacing w:before="0" w:after="0" w:line="240" w:lineRule="auto"/>
              <w:ind w:right="0"/>
              <w:jc w:val="center"/>
              <w:rPr>
                <w:bCs/>
                <w:color w:val="auto"/>
                <w:sz w:val="26"/>
                <w:szCs w:val="26"/>
                <w:highlight w:val="none"/>
              </w:rPr>
            </w:pPr>
            <w:r>
              <w:rPr>
                <w:bCs/>
                <w:color w:val="auto"/>
                <w:sz w:val="26"/>
                <w:szCs w:val="26"/>
                <w:highlight w:val="none"/>
              </w:rPr>
              <w:t>表1.</w:t>
            </w:r>
            <w:r>
              <w:rPr>
                <w:rFonts w:hint="eastAsia"/>
                <w:bCs/>
                <w:color w:val="auto"/>
                <w:sz w:val="26"/>
                <w:szCs w:val="26"/>
                <w:highlight w:val="none"/>
              </w:rPr>
              <w:t>2</w:t>
            </w:r>
            <w:r>
              <w:rPr>
                <w:bCs/>
                <w:color w:val="auto"/>
                <w:sz w:val="26"/>
                <w:szCs w:val="26"/>
                <w:highlight w:val="none"/>
              </w:rPr>
              <w:t>-1   建设项目与“三线一单”管控要求的符合性分析</w:t>
            </w:r>
          </w:p>
          <w:tbl>
            <w:tblPr>
              <w:tblStyle w:val="16"/>
              <w:tblW w:w="4954"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29"/>
              <w:gridCol w:w="406"/>
              <w:gridCol w:w="3978"/>
              <w:gridCol w:w="1769"/>
              <w:gridCol w:w="392"/>
            </w:tblGrid>
            <w:tr w14:paraId="3DFDACD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79" w:type="pct"/>
                  <w:gridSpan w:val="2"/>
                  <w:vAlign w:val="center"/>
                </w:tcPr>
                <w:p w14:paraId="00D07C5A">
                  <w:pPr>
                    <w:adjustRightInd w:val="0"/>
                    <w:snapToGrid w:val="0"/>
                    <w:ind w:left="-10" w:leftChars="-5" w:right="-10" w:rightChars="-5"/>
                    <w:jc w:val="center"/>
                    <w:rPr>
                      <w:b/>
                      <w:color w:val="auto"/>
                      <w:sz w:val="20"/>
                      <w:szCs w:val="20"/>
                      <w:highlight w:val="none"/>
                    </w:rPr>
                  </w:pPr>
                  <w:r>
                    <w:rPr>
                      <w:b/>
                      <w:color w:val="auto"/>
                      <w:sz w:val="20"/>
                      <w:szCs w:val="20"/>
                      <w:highlight w:val="none"/>
                    </w:rPr>
                    <w:t>环境管控单元编码</w:t>
                  </w:r>
                </w:p>
              </w:tc>
              <w:tc>
                <w:tcPr>
                  <w:tcW w:w="2735" w:type="pct"/>
                  <w:vAlign w:val="center"/>
                </w:tcPr>
                <w:p w14:paraId="775E667F">
                  <w:pPr>
                    <w:adjustRightInd w:val="0"/>
                    <w:snapToGrid w:val="0"/>
                    <w:ind w:left="-10" w:leftChars="-5" w:right="-10" w:rightChars="-5"/>
                    <w:jc w:val="center"/>
                    <w:rPr>
                      <w:b/>
                      <w:color w:val="auto"/>
                      <w:sz w:val="20"/>
                      <w:szCs w:val="20"/>
                      <w:highlight w:val="none"/>
                    </w:rPr>
                  </w:pPr>
                  <w:r>
                    <w:rPr>
                      <w:b/>
                      <w:color w:val="auto"/>
                      <w:sz w:val="20"/>
                      <w:szCs w:val="20"/>
                      <w:highlight w:val="none"/>
                    </w:rPr>
                    <w:t>环境管控单元名称</w:t>
                  </w:r>
                </w:p>
              </w:tc>
              <w:tc>
                <w:tcPr>
                  <w:tcW w:w="1485" w:type="pct"/>
                  <w:gridSpan w:val="2"/>
                  <w:vAlign w:val="center"/>
                </w:tcPr>
                <w:p w14:paraId="7099DC5B">
                  <w:pPr>
                    <w:adjustRightInd w:val="0"/>
                    <w:snapToGrid w:val="0"/>
                    <w:ind w:left="-10" w:leftChars="-5" w:right="-10" w:rightChars="-5"/>
                    <w:jc w:val="center"/>
                    <w:rPr>
                      <w:b/>
                      <w:color w:val="auto"/>
                      <w:sz w:val="20"/>
                      <w:szCs w:val="20"/>
                      <w:highlight w:val="none"/>
                    </w:rPr>
                  </w:pPr>
                  <w:r>
                    <w:rPr>
                      <w:b/>
                      <w:color w:val="auto"/>
                      <w:sz w:val="20"/>
                      <w:szCs w:val="20"/>
                      <w:highlight w:val="none"/>
                    </w:rPr>
                    <w:t>环境管控单元类型</w:t>
                  </w:r>
                </w:p>
              </w:tc>
            </w:tr>
            <w:tr w14:paraId="295E029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79" w:type="pct"/>
                  <w:gridSpan w:val="2"/>
                  <w:vAlign w:val="center"/>
                </w:tcPr>
                <w:p w14:paraId="47334C15">
                  <w:pPr>
                    <w:autoSpaceDE w:val="0"/>
                    <w:autoSpaceDN w:val="0"/>
                    <w:adjustRightInd w:val="0"/>
                    <w:snapToGrid w:val="0"/>
                    <w:ind w:left="-10" w:leftChars="-5" w:right="-10" w:rightChars="-5"/>
                    <w:jc w:val="center"/>
                    <w:rPr>
                      <w:bCs/>
                      <w:color w:val="auto"/>
                      <w:sz w:val="20"/>
                      <w:szCs w:val="20"/>
                      <w:highlight w:val="none"/>
                    </w:rPr>
                  </w:pPr>
                  <w:r>
                    <w:rPr>
                      <w:bCs/>
                      <w:color w:val="auto"/>
                      <w:sz w:val="20"/>
                      <w:szCs w:val="20"/>
                      <w:highlight w:val="none"/>
                    </w:rPr>
                    <w:t>ZH500</w:t>
                  </w:r>
                  <w:r>
                    <w:rPr>
                      <w:rFonts w:hint="eastAsia"/>
                      <w:bCs/>
                      <w:color w:val="auto"/>
                      <w:sz w:val="20"/>
                      <w:szCs w:val="20"/>
                      <w:highlight w:val="none"/>
                    </w:rPr>
                    <w:t>11</w:t>
                  </w:r>
                </w:p>
                <w:p w14:paraId="4C035EB4">
                  <w:pPr>
                    <w:autoSpaceDE w:val="0"/>
                    <w:autoSpaceDN w:val="0"/>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72</w:t>
                  </w:r>
                  <w:r>
                    <w:rPr>
                      <w:bCs/>
                      <w:color w:val="auto"/>
                      <w:sz w:val="20"/>
                      <w:szCs w:val="20"/>
                      <w:highlight w:val="none"/>
                    </w:rPr>
                    <w:t>000</w:t>
                  </w:r>
                  <w:r>
                    <w:rPr>
                      <w:rFonts w:hint="eastAsia"/>
                      <w:bCs/>
                      <w:color w:val="auto"/>
                      <w:sz w:val="20"/>
                      <w:szCs w:val="20"/>
                      <w:highlight w:val="none"/>
                    </w:rPr>
                    <w:t>6</w:t>
                  </w:r>
                </w:p>
              </w:tc>
              <w:tc>
                <w:tcPr>
                  <w:tcW w:w="2735" w:type="pct"/>
                  <w:vAlign w:val="center"/>
                </w:tcPr>
                <w:p w14:paraId="180D16B6">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合川区工业城镇重点管控单元</w:t>
                  </w:r>
                  <w:bookmarkStart w:id="9" w:name="hmcheck_710983eaec12422f8e2a5d448d9def73"/>
                  <w:r>
                    <w:rPr>
                      <w:rFonts w:hint="eastAsia"/>
                      <w:bCs/>
                      <w:color w:val="auto"/>
                      <w:sz w:val="20"/>
                      <w:szCs w:val="20"/>
                      <w:highlight w:val="none"/>
                      <w:shd w:val="clear" w:fill="FFAFAA"/>
                    </w:rPr>
                    <w:t>-天</w:t>
                  </w:r>
                  <w:bookmarkEnd w:id="9"/>
                  <w:r>
                    <w:rPr>
                      <w:rFonts w:hint="eastAsia"/>
                      <w:bCs/>
                      <w:color w:val="auto"/>
                      <w:sz w:val="20"/>
                      <w:szCs w:val="20"/>
                      <w:highlight w:val="none"/>
                    </w:rPr>
                    <w:t>顶片区</w:t>
                  </w:r>
                </w:p>
              </w:tc>
              <w:tc>
                <w:tcPr>
                  <w:tcW w:w="1485" w:type="pct"/>
                  <w:gridSpan w:val="2"/>
                  <w:vAlign w:val="center"/>
                </w:tcPr>
                <w:p w14:paraId="23632C0E">
                  <w:pPr>
                    <w:adjustRightInd w:val="0"/>
                    <w:snapToGrid w:val="0"/>
                    <w:ind w:left="-10" w:leftChars="-5" w:right="-10" w:rightChars="-5"/>
                    <w:jc w:val="center"/>
                    <w:rPr>
                      <w:bCs/>
                      <w:color w:val="auto"/>
                      <w:sz w:val="20"/>
                      <w:szCs w:val="20"/>
                      <w:highlight w:val="none"/>
                    </w:rPr>
                  </w:pPr>
                  <w:r>
                    <w:rPr>
                      <w:bCs/>
                      <w:color w:val="auto"/>
                      <w:sz w:val="20"/>
                      <w:szCs w:val="20"/>
                      <w:highlight w:val="none"/>
                    </w:rPr>
                    <w:t>重点管控单元</w:t>
                  </w:r>
                </w:p>
              </w:tc>
            </w:tr>
            <w:tr w14:paraId="73EED0F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Align w:val="center"/>
                </w:tcPr>
                <w:p w14:paraId="566E7674">
                  <w:pPr>
                    <w:adjustRightInd w:val="0"/>
                    <w:snapToGrid w:val="0"/>
                    <w:ind w:left="-10" w:leftChars="-5" w:right="-10" w:rightChars="-5"/>
                    <w:jc w:val="center"/>
                    <w:rPr>
                      <w:b/>
                      <w:color w:val="auto"/>
                      <w:sz w:val="20"/>
                      <w:szCs w:val="20"/>
                      <w:highlight w:val="none"/>
                    </w:rPr>
                  </w:pPr>
                  <w:r>
                    <w:rPr>
                      <w:b/>
                      <w:color w:val="auto"/>
                      <w:sz w:val="20"/>
                      <w:szCs w:val="20"/>
                      <w:highlight w:val="none"/>
                    </w:rPr>
                    <w:t>管控要求层级</w:t>
                  </w:r>
                </w:p>
              </w:tc>
              <w:tc>
                <w:tcPr>
                  <w:tcW w:w="278" w:type="pct"/>
                  <w:vAlign w:val="center"/>
                </w:tcPr>
                <w:p w14:paraId="02440D7C">
                  <w:pPr>
                    <w:adjustRightInd w:val="0"/>
                    <w:snapToGrid w:val="0"/>
                    <w:ind w:left="-10" w:leftChars="-5" w:right="-10" w:rightChars="-5"/>
                    <w:jc w:val="center"/>
                    <w:rPr>
                      <w:b/>
                      <w:color w:val="auto"/>
                      <w:sz w:val="20"/>
                      <w:szCs w:val="20"/>
                      <w:highlight w:val="none"/>
                    </w:rPr>
                  </w:pPr>
                  <w:r>
                    <w:rPr>
                      <w:b/>
                      <w:color w:val="auto"/>
                      <w:sz w:val="20"/>
                      <w:szCs w:val="20"/>
                      <w:highlight w:val="none"/>
                    </w:rPr>
                    <w:t>管控类型</w:t>
                  </w:r>
                </w:p>
              </w:tc>
              <w:tc>
                <w:tcPr>
                  <w:tcW w:w="2735" w:type="pct"/>
                  <w:vAlign w:val="center"/>
                </w:tcPr>
                <w:p w14:paraId="00EFCDC3">
                  <w:pPr>
                    <w:adjustRightInd w:val="0"/>
                    <w:snapToGrid w:val="0"/>
                    <w:ind w:left="-10" w:leftChars="-5" w:right="-10" w:rightChars="-5"/>
                    <w:jc w:val="center"/>
                    <w:rPr>
                      <w:b/>
                      <w:color w:val="auto"/>
                      <w:sz w:val="20"/>
                      <w:szCs w:val="20"/>
                      <w:highlight w:val="none"/>
                    </w:rPr>
                  </w:pPr>
                  <w:r>
                    <w:rPr>
                      <w:b/>
                      <w:color w:val="auto"/>
                      <w:sz w:val="20"/>
                      <w:szCs w:val="20"/>
                      <w:highlight w:val="none"/>
                    </w:rPr>
                    <w:t>管控要求</w:t>
                  </w:r>
                </w:p>
              </w:tc>
              <w:tc>
                <w:tcPr>
                  <w:tcW w:w="1215" w:type="pct"/>
                  <w:vAlign w:val="center"/>
                </w:tcPr>
                <w:p w14:paraId="18D37F48">
                  <w:pPr>
                    <w:adjustRightInd w:val="0"/>
                    <w:snapToGrid w:val="0"/>
                    <w:ind w:left="-10" w:leftChars="-5" w:right="-10" w:rightChars="-5"/>
                    <w:jc w:val="center"/>
                    <w:rPr>
                      <w:b/>
                      <w:color w:val="auto"/>
                      <w:sz w:val="20"/>
                      <w:szCs w:val="20"/>
                      <w:highlight w:val="none"/>
                    </w:rPr>
                  </w:pPr>
                  <w:r>
                    <w:rPr>
                      <w:rFonts w:hint="eastAsia"/>
                      <w:b/>
                      <w:color w:val="auto"/>
                      <w:sz w:val="20"/>
                      <w:szCs w:val="20"/>
                      <w:highlight w:val="none"/>
                    </w:rPr>
                    <w:t>项目对应情况介绍</w:t>
                  </w:r>
                </w:p>
              </w:tc>
              <w:tc>
                <w:tcPr>
                  <w:tcW w:w="269" w:type="pct"/>
                  <w:vAlign w:val="center"/>
                </w:tcPr>
                <w:p w14:paraId="71FE8332">
                  <w:pPr>
                    <w:adjustRightInd w:val="0"/>
                    <w:snapToGrid w:val="0"/>
                    <w:ind w:left="-10" w:leftChars="-5" w:right="-10" w:rightChars="-5"/>
                    <w:jc w:val="center"/>
                    <w:rPr>
                      <w:b/>
                      <w:color w:val="auto"/>
                      <w:sz w:val="20"/>
                      <w:szCs w:val="20"/>
                      <w:highlight w:val="none"/>
                    </w:rPr>
                  </w:pPr>
                  <w:r>
                    <w:rPr>
                      <w:b/>
                      <w:color w:val="auto"/>
                      <w:sz w:val="20"/>
                      <w:szCs w:val="20"/>
                      <w:highlight w:val="none"/>
                    </w:rPr>
                    <w:t>符合性</w:t>
                  </w:r>
                </w:p>
              </w:tc>
            </w:tr>
            <w:tr w14:paraId="383B73A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restart"/>
                  <w:vAlign w:val="center"/>
                </w:tcPr>
                <w:p w14:paraId="4875210F">
                  <w:pPr>
                    <w:adjustRightInd w:val="0"/>
                    <w:snapToGrid w:val="0"/>
                    <w:ind w:left="-10" w:leftChars="-5" w:right="-10" w:rightChars="-5"/>
                    <w:jc w:val="center"/>
                    <w:rPr>
                      <w:color w:val="auto"/>
                      <w:sz w:val="20"/>
                      <w:szCs w:val="20"/>
                      <w:highlight w:val="none"/>
                    </w:rPr>
                  </w:pPr>
                  <w:r>
                    <w:rPr>
                      <w:color w:val="auto"/>
                      <w:sz w:val="20"/>
                      <w:szCs w:val="20"/>
                      <w:highlight w:val="none"/>
                    </w:rPr>
                    <w:t>全市总体管控要求</w:t>
                  </w:r>
                </w:p>
              </w:tc>
              <w:tc>
                <w:tcPr>
                  <w:tcW w:w="278" w:type="pct"/>
                  <w:vMerge w:val="restart"/>
                  <w:vAlign w:val="center"/>
                </w:tcPr>
                <w:p w14:paraId="103A9EA7">
                  <w:pPr>
                    <w:adjustRightInd w:val="0"/>
                    <w:snapToGrid w:val="0"/>
                    <w:ind w:left="-10" w:leftChars="-5" w:right="-10" w:rightChars="-5"/>
                    <w:jc w:val="center"/>
                    <w:rPr>
                      <w:bCs/>
                      <w:color w:val="auto"/>
                      <w:sz w:val="20"/>
                      <w:szCs w:val="20"/>
                      <w:highlight w:val="none"/>
                    </w:rPr>
                  </w:pPr>
                  <w:r>
                    <w:rPr>
                      <w:bCs/>
                      <w:color w:val="auto"/>
                      <w:sz w:val="20"/>
                      <w:szCs w:val="20"/>
                      <w:highlight w:val="none"/>
                    </w:rPr>
                    <w:t>空间布局约束</w:t>
                  </w:r>
                </w:p>
              </w:tc>
              <w:tc>
                <w:tcPr>
                  <w:tcW w:w="2735" w:type="pct"/>
                  <w:vAlign w:val="center"/>
                </w:tcPr>
                <w:p w14:paraId="2DD31031">
                  <w:pPr>
                    <w:adjustRightInd w:val="0"/>
                    <w:snapToGrid w:val="0"/>
                    <w:ind w:left="-10" w:leftChars="-5" w:right="-10" w:rightChars="-5"/>
                    <w:rPr>
                      <w:bCs/>
                      <w:color w:val="auto"/>
                      <w:sz w:val="20"/>
                      <w:szCs w:val="20"/>
                      <w:highlight w:val="none"/>
                    </w:rPr>
                  </w:pPr>
                  <w:r>
                    <w:rPr>
                      <w:rFonts w:hint="eastAsia"/>
                      <w:bCs/>
                      <w:color w:val="auto"/>
                      <w:sz w:val="20"/>
                      <w:szCs w:val="20"/>
                      <w:highlight w:val="none"/>
                    </w:rPr>
                    <w:t>第一条 深入贯彻习近平生态文明思想，筑牢长江上游重要生态屏障，推动优势区域重点发展、生态功能区重点保护、城乡融合发展，优化重点区域、流域、产业的空间布局。</w:t>
                  </w:r>
                </w:p>
              </w:tc>
              <w:tc>
                <w:tcPr>
                  <w:tcW w:w="1215" w:type="pct"/>
                  <w:vAlign w:val="center"/>
                </w:tcPr>
                <w:p w14:paraId="6EEEF048">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项目位于合川区工业城镇重点管控单元—天顶片区。</w:t>
                  </w:r>
                </w:p>
              </w:tc>
              <w:tc>
                <w:tcPr>
                  <w:tcW w:w="269" w:type="pct"/>
                  <w:vAlign w:val="center"/>
                </w:tcPr>
                <w:p w14:paraId="343F039C">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符合</w:t>
                  </w:r>
                </w:p>
              </w:tc>
            </w:tr>
            <w:tr w14:paraId="606DA7E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12ED1F77">
                  <w:pPr>
                    <w:adjustRightInd w:val="0"/>
                    <w:snapToGrid w:val="0"/>
                    <w:ind w:left="-10" w:leftChars="-5" w:right="-10" w:rightChars="-5"/>
                    <w:jc w:val="center"/>
                    <w:rPr>
                      <w:color w:val="auto"/>
                      <w:sz w:val="20"/>
                      <w:szCs w:val="20"/>
                      <w:highlight w:val="none"/>
                    </w:rPr>
                  </w:pPr>
                </w:p>
              </w:tc>
              <w:tc>
                <w:tcPr>
                  <w:tcW w:w="278" w:type="pct"/>
                  <w:vMerge w:val="continue"/>
                  <w:vAlign w:val="center"/>
                </w:tcPr>
                <w:p w14:paraId="12B94ACB">
                  <w:pPr>
                    <w:adjustRightInd w:val="0"/>
                    <w:snapToGrid w:val="0"/>
                    <w:ind w:left="-10" w:leftChars="-5" w:right="-10" w:rightChars="-5"/>
                    <w:jc w:val="center"/>
                    <w:rPr>
                      <w:bCs/>
                      <w:color w:val="auto"/>
                      <w:sz w:val="20"/>
                      <w:szCs w:val="20"/>
                      <w:highlight w:val="none"/>
                    </w:rPr>
                  </w:pPr>
                </w:p>
              </w:tc>
              <w:tc>
                <w:tcPr>
                  <w:tcW w:w="2735" w:type="pct"/>
                  <w:vAlign w:val="center"/>
                </w:tcPr>
                <w:p w14:paraId="639AC2E4">
                  <w:pPr>
                    <w:adjustRightInd w:val="0"/>
                    <w:snapToGrid w:val="0"/>
                    <w:ind w:left="-10" w:leftChars="-5" w:right="-10" w:rightChars="-5"/>
                    <w:jc w:val="left"/>
                    <w:rPr>
                      <w:bCs/>
                      <w:color w:val="auto"/>
                      <w:sz w:val="20"/>
                      <w:szCs w:val="20"/>
                      <w:highlight w:val="none"/>
                    </w:rPr>
                  </w:pPr>
                  <w:r>
                    <w:rPr>
                      <w:rFonts w:hint="eastAsia"/>
                      <w:bCs/>
                      <w:color w:val="auto"/>
                      <w:sz w:val="20"/>
                      <w:szCs w:val="20"/>
                      <w:highlight w:val="none"/>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1215" w:type="pct"/>
                  <w:vAlign w:val="center"/>
                </w:tcPr>
                <w:p w14:paraId="713E075E">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项目选址在合规的工业园区内，所属行业类别为汽车零部件及配件制造业，不属于</w:t>
                  </w:r>
                  <w:bookmarkStart w:id="10" w:name="hmcheck_80464359eebf4715b886e082e9d9ae1b"/>
                  <w:r>
                    <w:rPr>
                      <w:rFonts w:hint="eastAsia"/>
                      <w:bCs/>
                      <w:color w:val="auto"/>
                      <w:sz w:val="20"/>
                      <w:szCs w:val="20"/>
                      <w:highlight w:val="none"/>
                      <w:shd w:val="clear" w:fill="FFAFAA"/>
                    </w:rPr>
                    <w:t>左述</w:t>
                  </w:r>
                  <w:bookmarkEnd w:id="10"/>
                  <w:r>
                    <w:rPr>
                      <w:rFonts w:hint="eastAsia"/>
                      <w:bCs/>
                      <w:color w:val="auto"/>
                      <w:sz w:val="20"/>
                      <w:szCs w:val="20"/>
                      <w:highlight w:val="none"/>
                    </w:rPr>
                    <w:t xml:space="preserve">禁止行业。 </w:t>
                  </w:r>
                </w:p>
              </w:tc>
              <w:tc>
                <w:tcPr>
                  <w:tcW w:w="269" w:type="pct"/>
                  <w:vAlign w:val="center"/>
                </w:tcPr>
                <w:p w14:paraId="5F460451">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符合</w:t>
                  </w:r>
                </w:p>
              </w:tc>
            </w:tr>
            <w:tr w14:paraId="03B4A9C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178CCFB9">
                  <w:pPr>
                    <w:adjustRightInd w:val="0"/>
                    <w:snapToGrid w:val="0"/>
                    <w:ind w:left="-10" w:leftChars="-5" w:right="-10" w:rightChars="-5"/>
                    <w:jc w:val="center"/>
                    <w:rPr>
                      <w:color w:val="auto"/>
                      <w:sz w:val="20"/>
                      <w:szCs w:val="20"/>
                      <w:highlight w:val="none"/>
                    </w:rPr>
                  </w:pPr>
                </w:p>
              </w:tc>
              <w:tc>
                <w:tcPr>
                  <w:tcW w:w="278" w:type="pct"/>
                  <w:vMerge w:val="continue"/>
                  <w:vAlign w:val="center"/>
                </w:tcPr>
                <w:p w14:paraId="497A000A">
                  <w:pPr>
                    <w:adjustRightInd w:val="0"/>
                    <w:snapToGrid w:val="0"/>
                    <w:ind w:left="-10" w:leftChars="-5" w:right="-10" w:rightChars="-5"/>
                    <w:jc w:val="center"/>
                    <w:rPr>
                      <w:bCs/>
                      <w:color w:val="auto"/>
                      <w:sz w:val="20"/>
                      <w:szCs w:val="20"/>
                      <w:highlight w:val="none"/>
                    </w:rPr>
                  </w:pPr>
                </w:p>
              </w:tc>
              <w:tc>
                <w:tcPr>
                  <w:tcW w:w="2735" w:type="pct"/>
                  <w:vAlign w:val="center"/>
                </w:tcPr>
                <w:p w14:paraId="6CA2F4FD">
                  <w:pPr>
                    <w:adjustRightInd w:val="0"/>
                    <w:snapToGrid w:val="0"/>
                    <w:ind w:left="-10" w:leftChars="-5" w:right="-10" w:rightChars="-5"/>
                    <w:jc w:val="left"/>
                    <w:rPr>
                      <w:bCs/>
                      <w:color w:val="auto"/>
                      <w:sz w:val="20"/>
                      <w:szCs w:val="20"/>
                      <w:highlight w:val="none"/>
                    </w:rPr>
                  </w:pPr>
                  <w:r>
                    <w:rPr>
                      <w:rFonts w:hint="eastAsia"/>
                      <w:bCs/>
                      <w:color w:val="auto"/>
                      <w:sz w:val="20"/>
                      <w:szCs w:val="20"/>
                      <w:highlight w:val="none"/>
                    </w:rPr>
                    <w:t>第三条 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215" w:type="pct"/>
                  <w:vAlign w:val="center"/>
                </w:tcPr>
                <w:p w14:paraId="061235E9">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本项目选址于合规的工业园区（合川工业园区天顶组团），且不属于“两高”项目。</w:t>
                  </w:r>
                </w:p>
              </w:tc>
              <w:tc>
                <w:tcPr>
                  <w:tcW w:w="269" w:type="pct"/>
                  <w:vAlign w:val="center"/>
                </w:tcPr>
                <w:p w14:paraId="5A08BA3A">
                  <w:pPr>
                    <w:adjustRightInd w:val="0"/>
                    <w:snapToGrid w:val="0"/>
                    <w:ind w:left="-10" w:leftChars="-5" w:right="-10" w:rightChars="-5"/>
                    <w:jc w:val="center"/>
                    <w:rPr>
                      <w:bCs/>
                      <w:color w:val="auto"/>
                      <w:sz w:val="20"/>
                      <w:szCs w:val="20"/>
                      <w:highlight w:val="none"/>
                    </w:rPr>
                  </w:pPr>
                  <w:r>
                    <w:rPr>
                      <w:bCs/>
                      <w:color w:val="auto"/>
                      <w:sz w:val="20"/>
                      <w:szCs w:val="20"/>
                      <w:highlight w:val="none"/>
                    </w:rPr>
                    <w:t>符合</w:t>
                  </w:r>
                </w:p>
              </w:tc>
            </w:tr>
            <w:tr w14:paraId="2905B2A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33D335C3">
                  <w:pPr>
                    <w:adjustRightInd w:val="0"/>
                    <w:snapToGrid w:val="0"/>
                    <w:ind w:left="-10" w:leftChars="-5" w:right="-10" w:rightChars="-5"/>
                    <w:jc w:val="center"/>
                    <w:rPr>
                      <w:color w:val="auto"/>
                      <w:sz w:val="20"/>
                      <w:szCs w:val="20"/>
                      <w:highlight w:val="none"/>
                    </w:rPr>
                  </w:pPr>
                </w:p>
              </w:tc>
              <w:tc>
                <w:tcPr>
                  <w:tcW w:w="278" w:type="pct"/>
                  <w:vMerge w:val="continue"/>
                  <w:vAlign w:val="center"/>
                </w:tcPr>
                <w:p w14:paraId="3F1BC015">
                  <w:pPr>
                    <w:adjustRightInd w:val="0"/>
                    <w:snapToGrid w:val="0"/>
                    <w:ind w:left="-10" w:leftChars="-5" w:right="-10" w:rightChars="-5"/>
                    <w:jc w:val="center"/>
                    <w:rPr>
                      <w:bCs/>
                      <w:color w:val="auto"/>
                      <w:sz w:val="20"/>
                      <w:szCs w:val="20"/>
                      <w:highlight w:val="none"/>
                    </w:rPr>
                  </w:pPr>
                </w:p>
              </w:tc>
              <w:tc>
                <w:tcPr>
                  <w:tcW w:w="2735" w:type="pct"/>
                  <w:vAlign w:val="center"/>
                </w:tcPr>
                <w:p w14:paraId="2A08DAC7">
                  <w:pPr>
                    <w:adjustRightInd w:val="0"/>
                    <w:snapToGrid w:val="0"/>
                    <w:ind w:left="-10" w:leftChars="-5" w:right="-10" w:rightChars="-5"/>
                    <w:rPr>
                      <w:bCs/>
                      <w:color w:val="auto"/>
                      <w:sz w:val="20"/>
                      <w:szCs w:val="20"/>
                      <w:highlight w:val="none"/>
                    </w:rPr>
                  </w:pPr>
                  <w:r>
                    <w:rPr>
                      <w:rFonts w:hint="eastAsia"/>
                      <w:bCs/>
                      <w:color w:val="auto"/>
                      <w:sz w:val="20"/>
                      <w:szCs w:val="20"/>
                      <w:highlight w:val="none"/>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1215" w:type="pct"/>
                  <w:vAlign w:val="center"/>
                </w:tcPr>
                <w:p w14:paraId="5A1A15E8">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项目选址于合规工业园区，符合园区主导产业定位，项目符合重庆市准入规定，不属于“两高一低”项目。</w:t>
                  </w:r>
                </w:p>
              </w:tc>
              <w:tc>
                <w:tcPr>
                  <w:tcW w:w="269" w:type="pct"/>
                  <w:vAlign w:val="center"/>
                </w:tcPr>
                <w:p w14:paraId="419355E4">
                  <w:pPr>
                    <w:adjustRightInd w:val="0"/>
                    <w:snapToGrid w:val="0"/>
                    <w:ind w:left="-10" w:leftChars="-5" w:right="-10" w:rightChars="-5"/>
                    <w:jc w:val="center"/>
                    <w:rPr>
                      <w:bCs/>
                      <w:color w:val="auto"/>
                      <w:sz w:val="20"/>
                      <w:szCs w:val="20"/>
                      <w:highlight w:val="none"/>
                    </w:rPr>
                  </w:pPr>
                  <w:r>
                    <w:rPr>
                      <w:bCs/>
                      <w:color w:val="auto"/>
                      <w:sz w:val="20"/>
                      <w:szCs w:val="20"/>
                      <w:highlight w:val="none"/>
                    </w:rPr>
                    <w:t>符合</w:t>
                  </w:r>
                </w:p>
              </w:tc>
            </w:tr>
            <w:tr w14:paraId="53A6328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0DB0C07D">
                  <w:pPr>
                    <w:adjustRightInd w:val="0"/>
                    <w:snapToGrid w:val="0"/>
                    <w:ind w:left="-10" w:leftChars="-5" w:right="-10" w:rightChars="-5"/>
                    <w:jc w:val="center"/>
                    <w:rPr>
                      <w:color w:val="auto"/>
                      <w:sz w:val="20"/>
                      <w:szCs w:val="20"/>
                      <w:highlight w:val="none"/>
                    </w:rPr>
                  </w:pPr>
                </w:p>
              </w:tc>
              <w:tc>
                <w:tcPr>
                  <w:tcW w:w="278" w:type="pct"/>
                  <w:vMerge w:val="continue"/>
                  <w:vAlign w:val="center"/>
                </w:tcPr>
                <w:p w14:paraId="577174B1">
                  <w:pPr>
                    <w:adjustRightInd w:val="0"/>
                    <w:snapToGrid w:val="0"/>
                    <w:ind w:left="-10" w:leftChars="-5" w:right="-10" w:rightChars="-5"/>
                    <w:jc w:val="center"/>
                    <w:rPr>
                      <w:bCs/>
                      <w:color w:val="auto"/>
                      <w:sz w:val="20"/>
                      <w:szCs w:val="20"/>
                      <w:highlight w:val="none"/>
                    </w:rPr>
                  </w:pPr>
                </w:p>
              </w:tc>
              <w:tc>
                <w:tcPr>
                  <w:tcW w:w="2735" w:type="pct"/>
                  <w:vAlign w:val="center"/>
                </w:tcPr>
                <w:p w14:paraId="3EA0667B">
                  <w:pPr>
                    <w:adjustRightInd w:val="0"/>
                    <w:snapToGrid w:val="0"/>
                    <w:ind w:left="-10" w:leftChars="-5" w:right="-10" w:rightChars="-5"/>
                    <w:rPr>
                      <w:bCs/>
                      <w:color w:val="auto"/>
                      <w:sz w:val="20"/>
                      <w:szCs w:val="20"/>
                      <w:highlight w:val="none"/>
                    </w:rPr>
                  </w:pPr>
                  <w:r>
                    <w:rPr>
                      <w:rFonts w:hint="eastAsia"/>
                      <w:bCs/>
                      <w:color w:val="auto"/>
                      <w:sz w:val="20"/>
                      <w:szCs w:val="20"/>
                      <w:highlight w:val="none"/>
                    </w:rPr>
                    <w:t>第五条 新建、扩建有色金属冶炼、电镀、铅蓄电池等企业应布设在依法合规设立并经过规划环评的产业园区。</w:t>
                  </w:r>
                </w:p>
              </w:tc>
              <w:tc>
                <w:tcPr>
                  <w:tcW w:w="1215" w:type="pct"/>
                  <w:vAlign w:val="center"/>
                </w:tcPr>
                <w:p w14:paraId="20F95D09">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不涉及</w:t>
                  </w:r>
                </w:p>
              </w:tc>
              <w:tc>
                <w:tcPr>
                  <w:tcW w:w="269" w:type="pct"/>
                  <w:vAlign w:val="center"/>
                </w:tcPr>
                <w:p w14:paraId="7EC958A4">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w:t>
                  </w:r>
                </w:p>
              </w:tc>
            </w:tr>
            <w:tr w14:paraId="472861A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63305B32">
                  <w:pPr>
                    <w:adjustRightInd w:val="0"/>
                    <w:snapToGrid w:val="0"/>
                    <w:ind w:left="-10" w:leftChars="-5" w:right="-10" w:rightChars="-5"/>
                    <w:jc w:val="center"/>
                    <w:rPr>
                      <w:color w:val="auto"/>
                      <w:sz w:val="20"/>
                      <w:szCs w:val="20"/>
                      <w:highlight w:val="none"/>
                    </w:rPr>
                  </w:pPr>
                </w:p>
              </w:tc>
              <w:tc>
                <w:tcPr>
                  <w:tcW w:w="278" w:type="pct"/>
                  <w:vMerge w:val="continue"/>
                  <w:vAlign w:val="center"/>
                </w:tcPr>
                <w:p w14:paraId="3D61FB21">
                  <w:pPr>
                    <w:adjustRightInd w:val="0"/>
                    <w:snapToGrid w:val="0"/>
                    <w:ind w:left="-10" w:leftChars="-5" w:right="-10" w:rightChars="-5"/>
                    <w:jc w:val="center"/>
                    <w:rPr>
                      <w:bCs/>
                      <w:color w:val="auto"/>
                      <w:sz w:val="20"/>
                      <w:szCs w:val="20"/>
                      <w:highlight w:val="none"/>
                    </w:rPr>
                  </w:pPr>
                </w:p>
              </w:tc>
              <w:tc>
                <w:tcPr>
                  <w:tcW w:w="2735" w:type="pct"/>
                  <w:vAlign w:val="center"/>
                </w:tcPr>
                <w:p w14:paraId="032D1C47">
                  <w:pPr>
                    <w:adjustRightInd w:val="0"/>
                    <w:snapToGrid w:val="0"/>
                    <w:ind w:left="-10" w:leftChars="-5" w:right="-10" w:rightChars="-5"/>
                    <w:rPr>
                      <w:bCs/>
                      <w:color w:val="auto"/>
                      <w:sz w:val="20"/>
                      <w:szCs w:val="20"/>
                      <w:highlight w:val="none"/>
                    </w:rPr>
                  </w:pPr>
                  <w:r>
                    <w:rPr>
                      <w:rFonts w:hint="eastAsia"/>
                      <w:bCs/>
                      <w:color w:val="auto"/>
                      <w:sz w:val="20"/>
                      <w:szCs w:val="20"/>
                      <w:highlight w:val="none"/>
                    </w:rPr>
                    <w:t>第六条 涉及环境防护距离的工业企业或项目应通过选址或调整布局原则上将环境防护距离控制在园区边界或用地红线内，提前合理规划项目地块布置、预防环境风险。</w:t>
                  </w:r>
                </w:p>
              </w:tc>
              <w:tc>
                <w:tcPr>
                  <w:tcW w:w="1215" w:type="pct"/>
                  <w:vAlign w:val="center"/>
                </w:tcPr>
                <w:p w14:paraId="305A1448">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项目无须设置环境防护距离。</w:t>
                  </w:r>
                </w:p>
              </w:tc>
              <w:tc>
                <w:tcPr>
                  <w:tcW w:w="269" w:type="pct"/>
                  <w:vAlign w:val="center"/>
                </w:tcPr>
                <w:p w14:paraId="2DF5B6C3">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符合</w:t>
                  </w:r>
                </w:p>
              </w:tc>
            </w:tr>
            <w:tr w14:paraId="57E04ED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4BA1341E">
                  <w:pPr>
                    <w:adjustRightInd w:val="0"/>
                    <w:snapToGrid w:val="0"/>
                    <w:ind w:left="-10" w:leftChars="-5" w:right="-10" w:rightChars="-5"/>
                    <w:jc w:val="center"/>
                    <w:rPr>
                      <w:color w:val="auto"/>
                      <w:sz w:val="20"/>
                      <w:szCs w:val="20"/>
                      <w:highlight w:val="none"/>
                    </w:rPr>
                  </w:pPr>
                </w:p>
              </w:tc>
              <w:tc>
                <w:tcPr>
                  <w:tcW w:w="278" w:type="pct"/>
                  <w:vMerge w:val="continue"/>
                  <w:vAlign w:val="center"/>
                </w:tcPr>
                <w:p w14:paraId="55487997">
                  <w:pPr>
                    <w:adjustRightInd w:val="0"/>
                    <w:snapToGrid w:val="0"/>
                    <w:ind w:left="-10" w:leftChars="-5" w:right="-10" w:rightChars="-5"/>
                    <w:jc w:val="center"/>
                    <w:rPr>
                      <w:bCs/>
                      <w:color w:val="auto"/>
                      <w:sz w:val="20"/>
                      <w:szCs w:val="20"/>
                      <w:highlight w:val="none"/>
                    </w:rPr>
                  </w:pPr>
                </w:p>
              </w:tc>
              <w:tc>
                <w:tcPr>
                  <w:tcW w:w="2735" w:type="pct"/>
                  <w:vAlign w:val="center"/>
                </w:tcPr>
                <w:p w14:paraId="685749AD">
                  <w:pPr>
                    <w:adjustRightInd w:val="0"/>
                    <w:snapToGrid w:val="0"/>
                    <w:ind w:left="-10" w:leftChars="-5" w:right="-10" w:rightChars="-5"/>
                    <w:rPr>
                      <w:bCs/>
                      <w:color w:val="auto"/>
                      <w:sz w:val="20"/>
                      <w:szCs w:val="20"/>
                      <w:highlight w:val="none"/>
                    </w:rPr>
                  </w:pPr>
                  <w:r>
                    <w:rPr>
                      <w:rFonts w:hint="eastAsia"/>
                      <w:bCs/>
                      <w:color w:val="auto"/>
                      <w:sz w:val="20"/>
                      <w:szCs w:val="20"/>
                      <w:highlight w:val="none"/>
                    </w:rPr>
                    <w:t>第七条 有效规范空间开发秩序，合理控制空间开发强度，切实将各类开发活动限制在资源环境承载能力之内，为构建高效协调可持续的国土空间开发格局奠定坚实基础。</w:t>
                  </w:r>
                </w:p>
              </w:tc>
              <w:tc>
                <w:tcPr>
                  <w:tcW w:w="1215" w:type="pct"/>
                  <w:vAlign w:val="center"/>
                </w:tcPr>
                <w:p w14:paraId="3486A398">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项目排放污染物未突破园区资源环境承载能力。</w:t>
                  </w:r>
                </w:p>
              </w:tc>
              <w:tc>
                <w:tcPr>
                  <w:tcW w:w="269" w:type="pct"/>
                  <w:vAlign w:val="center"/>
                </w:tcPr>
                <w:p w14:paraId="51562605">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符合</w:t>
                  </w:r>
                </w:p>
              </w:tc>
            </w:tr>
            <w:tr w14:paraId="2C6D4DF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1C77CEA1">
                  <w:pPr>
                    <w:adjustRightInd w:val="0"/>
                    <w:snapToGrid w:val="0"/>
                    <w:ind w:left="-10" w:leftChars="-5" w:right="-10" w:rightChars="-5"/>
                    <w:jc w:val="center"/>
                    <w:rPr>
                      <w:color w:val="auto"/>
                      <w:sz w:val="20"/>
                      <w:szCs w:val="20"/>
                      <w:highlight w:val="none"/>
                    </w:rPr>
                  </w:pPr>
                </w:p>
              </w:tc>
              <w:tc>
                <w:tcPr>
                  <w:tcW w:w="278" w:type="pct"/>
                  <w:vMerge w:val="restart"/>
                  <w:vAlign w:val="center"/>
                </w:tcPr>
                <w:p w14:paraId="1AF1AC04">
                  <w:pPr>
                    <w:adjustRightInd w:val="0"/>
                    <w:snapToGrid w:val="0"/>
                    <w:ind w:left="-10" w:leftChars="-5" w:right="-10" w:rightChars="-5"/>
                    <w:jc w:val="center"/>
                    <w:rPr>
                      <w:bCs/>
                      <w:color w:val="auto"/>
                      <w:sz w:val="20"/>
                      <w:szCs w:val="20"/>
                      <w:highlight w:val="none"/>
                    </w:rPr>
                  </w:pPr>
                  <w:r>
                    <w:rPr>
                      <w:bCs/>
                      <w:color w:val="auto"/>
                      <w:sz w:val="20"/>
                      <w:szCs w:val="20"/>
                      <w:highlight w:val="none"/>
                    </w:rPr>
                    <w:t>污染物排放管控</w:t>
                  </w:r>
                </w:p>
              </w:tc>
              <w:tc>
                <w:tcPr>
                  <w:tcW w:w="2735" w:type="pct"/>
                  <w:vAlign w:val="center"/>
                </w:tcPr>
                <w:p w14:paraId="04A714C3">
                  <w:pPr>
                    <w:adjustRightInd w:val="0"/>
                    <w:snapToGrid w:val="0"/>
                    <w:ind w:left="-10" w:leftChars="-5" w:right="-10" w:rightChars="-5"/>
                    <w:rPr>
                      <w:bCs/>
                      <w:color w:val="auto"/>
                      <w:sz w:val="20"/>
                      <w:szCs w:val="20"/>
                      <w:highlight w:val="none"/>
                    </w:rPr>
                  </w:pPr>
                  <w:r>
                    <w:rPr>
                      <w:rFonts w:hint="eastAsia"/>
                      <w:bCs/>
                      <w:color w:val="auto"/>
                      <w:sz w:val="20"/>
                      <w:szCs w:val="20"/>
                      <w:highlight w:val="none"/>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tc>
              <w:tc>
                <w:tcPr>
                  <w:tcW w:w="1215" w:type="pct"/>
                  <w:vAlign w:val="center"/>
                </w:tcPr>
                <w:p w14:paraId="1BABE624">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项目不属于“两高”项目。</w:t>
                  </w:r>
                </w:p>
              </w:tc>
              <w:tc>
                <w:tcPr>
                  <w:tcW w:w="269" w:type="pct"/>
                  <w:vAlign w:val="center"/>
                </w:tcPr>
                <w:p w14:paraId="416C3607">
                  <w:pPr>
                    <w:adjustRightInd w:val="0"/>
                    <w:snapToGrid w:val="0"/>
                    <w:ind w:left="-10" w:leftChars="-5" w:right="-10" w:rightChars="-5"/>
                    <w:jc w:val="center"/>
                    <w:rPr>
                      <w:bCs/>
                      <w:color w:val="auto"/>
                      <w:sz w:val="20"/>
                      <w:szCs w:val="20"/>
                      <w:highlight w:val="none"/>
                    </w:rPr>
                  </w:pPr>
                  <w:r>
                    <w:rPr>
                      <w:bCs/>
                      <w:color w:val="auto"/>
                      <w:sz w:val="20"/>
                      <w:szCs w:val="20"/>
                      <w:highlight w:val="none"/>
                    </w:rPr>
                    <w:t>符合</w:t>
                  </w:r>
                </w:p>
              </w:tc>
            </w:tr>
            <w:tr w14:paraId="42AFB85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72597B16">
                  <w:pPr>
                    <w:adjustRightInd w:val="0"/>
                    <w:snapToGrid w:val="0"/>
                    <w:ind w:left="-10" w:leftChars="-5" w:right="-10" w:rightChars="-5"/>
                    <w:jc w:val="center"/>
                    <w:rPr>
                      <w:color w:val="auto"/>
                      <w:sz w:val="20"/>
                      <w:szCs w:val="20"/>
                      <w:highlight w:val="none"/>
                    </w:rPr>
                  </w:pPr>
                </w:p>
              </w:tc>
              <w:tc>
                <w:tcPr>
                  <w:tcW w:w="278" w:type="pct"/>
                  <w:vMerge w:val="continue"/>
                  <w:vAlign w:val="center"/>
                </w:tcPr>
                <w:p w14:paraId="25356B19">
                  <w:pPr>
                    <w:adjustRightInd w:val="0"/>
                    <w:snapToGrid w:val="0"/>
                    <w:ind w:left="-10" w:leftChars="-5" w:right="-10" w:rightChars="-5"/>
                    <w:jc w:val="center"/>
                    <w:rPr>
                      <w:bCs/>
                      <w:color w:val="auto"/>
                      <w:sz w:val="20"/>
                      <w:szCs w:val="20"/>
                      <w:highlight w:val="none"/>
                    </w:rPr>
                  </w:pPr>
                </w:p>
              </w:tc>
              <w:tc>
                <w:tcPr>
                  <w:tcW w:w="2735" w:type="pct"/>
                  <w:vAlign w:val="center"/>
                </w:tcPr>
                <w:p w14:paraId="64CFAECC">
                  <w:pPr>
                    <w:adjustRightInd w:val="0"/>
                    <w:snapToGrid w:val="0"/>
                    <w:ind w:left="-10" w:leftChars="-5" w:right="-10" w:rightChars="-5"/>
                    <w:rPr>
                      <w:bCs/>
                      <w:color w:val="auto"/>
                      <w:sz w:val="20"/>
                      <w:szCs w:val="20"/>
                      <w:highlight w:val="none"/>
                    </w:rPr>
                  </w:pPr>
                  <w:r>
                    <w:rPr>
                      <w:rFonts w:hint="eastAsia"/>
                      <w:bCs/>
                      <w:color w:val="auto"/>
                      <w:sz w:val="20"/>
                      <w:szCs w:val="20"/>
                      <w:highlight w:val="none"/>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215" w:type="pct"/>
                  <w:vAlign w:val="center"/>
                </w:tcPr>
                <w:p w14:paraId="24748446">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lang w:eastAsia="zh-CN"/>
                    </w:rPr>
                    <w:t>本</w:t>
                  </w:r>
                  <w:r>
                    <w:rPr>
                      <w:rFonts w:hint="eastAsia"/>
                      <w:bCs/>
                      <w:color w:val="auto"/>
                      <w:sz w:val="20"/>
                      <w:szCs w:val="20"/>
                      <w:highlight w:val="none"/>
                    </w:rPr>
                    <w:t>项目</w:t>
                  </w:r>
                  <w:r>
                    <w:rPr>
                      <w:rFonts w:hint="eastAsia"/>
                      <w:bCs/>
                      <w:color w:val="auto"/>
                      <w:sz w:val="20"/>
                      <w:szCs w:val="20"/>
                      <w:highlight w:val="none"/>
                      <w:lang w:eastAsia="zh-CN"/>
                    </w:rPr>
                    <w:t>污染物排放</w:t>
                  </w:r>
                  <w:r>
                    <w:rPr>
                      <w:rFonts w:hint="eastAsia"/>
                      <w:bCs/>
                      <w:color w:val="auto"/>
                      <w:sz w:val="20"/>
                      <w:szCs w:val="20"/>
                      <w:highlight w:val="none"/>
                    </w:rPr>
                    <w:t>满足总量管控要求。</w:t>
                  </w:r>
                </w:p>
              </w:tc>
              <w:tc>
                <w:tcPr>
                  <w:tcW w:w="269" w:type="pct"/>
                  <w:vAlign w:val="center"/>
                </w:tcPr>
                <w:p w14:paraId="4FF2DC0F">
                  <w:pPr>
                    <w:adjustRightInd w:val="0"/>
                    <w:snapToGrid w:val="0"/>
                    <w:ind w:left="-10" w:leftChars="-5" w:right="-10" w:rightChars="-5"/>
                    <w:jc w:val="center"/>
                    <w:rPr>
                      <w:bCs/>
                      <w:color w:val="auto"/>
                      <w:sz w:val="20"/>
                      <w:szCs w:val="20"/>
                      <w:highlight w:val="none"/>
                    </w:rPr>
                  </w:pPr>
                  <w:r>
                    <w:rPr>
                      <w:bCs/>
                      <w:color w:val="auto"/>
                      <w:sz w:val="20"/>
                      <w:szCs w:val="20"/>
                      <w:highlight w:val="none"/>
                    </w:rPr>
                    <w:t>符合</w:t>
                  </w:r>
                </w:p>
              </w:tc>
            </w:tr>
            <w:tr w14:paraId="72C742F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7465B74C">
                  <w:pPr>
                    <w:adjustRightInd w:val="0"/>
                    <w:snapToGrid w:val="0"/>
                    <w:ind w:left="-10" w:leftChars="-5" w:right="-10" w:rightChars="-5"/>
                    <w:jc w:val="center"/>
                    <w:rPr>
                      <w:color w:val="auto"/>
                      <w:sz w:val="20"/>
                      <w:szCs w:val="20"/>
                      <w:highlight w:val="none"/>
                    </w:rPr>
                  </w:pPr>
                </w:p>
              </w:tc>
              <w:tc>
                <w:tcPr>
                  <w:tcW w:w="278" w:type="pct"/>
                  <w:vMerge w:val="continue"/>
                  <w:vAlign w:val="center"/>
                </w:tcPr>
                <w:p w14:paraId="0B071091">
                  <w:pPr>
                    <w:adjustRightInd w:val="0"/>
                    <w:snapToGrid w:val="0"/>
                    <w:ind w:left="-10" w:leftChars="-5" w:right="-10" w:rightChars="-5"/>
                    <w:jc w:val="center"/>
                    <w:rPr>
                      <w:bCs/>
                      <w:color w:val="auto"/>
                      <w:sz w:val="20"/>
                      <w:szCs w:val="20"/>
                      <w:highlight w:val="none"/>
                    </w:rPr>
                  </w:pPr>
                </w:p>
              </w:tc>
              <w:tc>
                <w:tcPr>
                  <w:tcW w:w="2735" w:type="pct"/>
                  <w:vAlign w:val="center"/>
                </w:tcPr>
                <w:p w14:paraId="7F5139EF">
                  <w:pPr>
                    <w:adjustRightInd w:val="0"/>
                    <w:snapToGrid w:val="0"/>
                    <w:ind w:left="-10" w:leftChars="-5" w:right="-10" w:rightChars="-5"/>
                    <w:rPr>
                      <w:bCs/>
                      <w:color w:val="auto"/>
                      <w:sz w:val="20"/>
                      <w:szCs w:val="20"/>
                      <w:highlight w:val="none"/>
                    </w:rPr>
                  </w:pPr>
                  <w:r>
                    <w:rPr>
                      <w:rFonts w:hint="eastAsia"/>
                      <w:bCs/>
                      <w:color w:val="auto"/>
                      <w:sz w:val="20"/>
                      <w:szCs w:val="20"/>
                      <w:highlight w:val="none"/>
                    </w:rPr>
                    <w:t xml:space="preserve">第十条 </w:t>
                  </w:r>
                  <w:r>
                    <w:rPr>
                      <w:bCs/>
                      <w:color w:val="auto"/>
                      <w:sz w:val="20"/>
                      <w:szCs w:val="20"/>
                      <w:highlight w:val="none"/>
                    </w:rPr>
                    <w:t xml:space="preserve"> </w:t>
                  </w:r>
                  <w:r>
                    <w:rPr>
                      <w:rFonts w:hint="eastAsia"/>
                      <w:bCs/>
                      <w:color w:val="auto"/>
                      <w:sz w:val="20"/>
                      <w:szCs w:val="20"/>
                      <w:highlight w:val="none"/>
                    </w:rPr>
                    <w:t>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215" w:type="pct"/>
                  <w:vAlign w:val="center"/>
                </w:tcPr>
                <w:p w14:paraId="02523CEB">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本项目不属于</w:t>
                  </w:r>
                  <w:bookmarkStart w:id="11" w:name="hmcheck_219083c794264b9f840ddf8f1389ba06"/>
                  <w:r>
                    <w:rPr>
                      <w:rFonts w:hint="eastAsia"/>
                      <w:bCs/>
                      <w:color w:val="auto"/>
                      <w:sz w:val="20"/>
                      <w:szCs w:val="20"/>
                      <w:highlight w:val="none"/>
                      <w:shd w:val="clear" w:fill="FFAFAA"/>
                    </w:rPr>
                    <w:t>左述</w:t>
                  </w:r>
                  <w:bookmarkEnd w:id="11"/>
                  <w:r>
                    <w:rPr>
                      <w:rFonts w:hint="eastAsia"/>
                      <w:bCs/>
                      <w:color w:val="auto"/>
                      <w:sz w:val="20"/>
                      <w:szCs w:val="20"/>
                      <w:highlight w:val="none"/>
                    </w:rPr>
                    <w:t>重点行业，且不涉及喷涂、喷粉、印刷等工艺环节。所用折边胶为低挥发性有机物产品。</w:t>
                  </w:r>
                </w:p>
              </w:tc>
              <w:tc>
                <w:tcPr>
                  <w:tcW w:w="269" w:type="pct"/>
                  <w:vAlign w:val="center"/>
                </w:tcPr>
                <w:p w14:paraId="2FA1EC70">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符合</w:t>
                  </w:r>
                </w:p>
              </w:tc>
            </w:tr>
            <w:tr w14:paraId="0560BA5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608AAEAB">
                  <w:pPr>
                    <w:adjustRightInd w:val="0"/>
                    <w:snapToGrid w:val="0"/>
                    <w:ind w:left="-10" w:leftChars="-5" w:right="-10" w:rightChars="-5"/>
                    <w:jc w:val="center"/>
                    <w:rPr>
                      <w:color w:val="auto"/>
                      <w:sz w:val="20"/>
                      <w:szCs w:val="20"/>
                      <w:highlight w:val="none"/>
                    </w:rPr>
                  </w:pPr>
                </w:p>
              </w:tc>
              <w:tc>
                <w:tcPr>
                  <w:tcW w:w="278" w:type="pct"/>
                  <w:vMerge w:val="continue"/>
                  <w:vAlign w:val="center"/>
                </w:tcPr>
                <w:p w14:paraId="4754D949">
                  <w:pPr>
                    <w:adjustRightInd w:val="0"/>
                    <w:snapToGrid w:val="0"/>
                    <w:ind w:left="-10" w:leftChars="-5" w:right="-10" w:rightChars="-5"/>
                    <w:jc w:val="center"/>
                    <w:rPr>
                      <w:bCs/>
                      <w:color w:val="auto"/>
                      <w:sz w:val="20"/>
                      <w:szCs w:val="20"/>
                      <w:highlight w:val="none"/>
                    </w:rPr>
                  </w:pPr>
                </w:p>
              </w:tc>
              <w:tc>
                <w:tcPr>
                  <w:tcW w:w="2735" w:type="pct"/>
                  <w:vAlign w:val="center"/>
                </w:tcPr>
                <w:p w14:paraId="77E60A6D">
                  <w:pPr>
                    <w:adjustRightInd w:val="0"/>
                    <w:snapToGrid w:val="0"/>
                    <w:ind w:left="-10" w:leftChars="-5" w:right="-10" w:rightChars="-5"/>
                    <w:rPr>
                      <w:bCs/>
                      <w:color w:val="auto"/>
                      <w:sz w:val="20"/>
                      <w:szCs w:val="20"/>
                      <w:highlight w:val="none"/>
                    </w:rPr>
                  </w:pPr>
                  <w:r>
                    <w:rPr>
                      <w:bCs/>
                      <w:color w:val="auto"/>
                      <w:sz w:val="20"/>
                      <w:szCs w:val="20"/>
                      <w:highlight w:val="none"/>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215" w:type="pct"/>
                  <w:vAlign w:val="center"/>
                </w:tcPr>
                <w:p w14:paraId="392511CE">
                  <w:pPr>
                    <w:adjustRightInd w:val="0"/>
                    <w:snapToGrid w:val="0"/>
                    <w:ind w:left="-10" w:leftChars="-5" w:right="-10" w:rightChars="-5"/>
                    <w:jc w:val="center"/>
                    <w:rPr>
                      <w:bCs/>
                      <w:color w:val="auto"/>
                      <w:sz w:val="20"/>
                      <w:szCs w:val="20"/>
                      <w:highlight w:val="none"/>
                    </w:rPr>
                  </w:pPr>
                  <w:r>
                    <w:rPr>
                      <w:bCs/>
                      <w:color w:val="auto"/>
                      <w:sz w:val="20"/>
                      <w:szCs w:val="20"/>
                      <w:highlight w:val="none"/>
                    </w:rPr>
                    <w:t>项目</w:t>
                  </w:r>
                  <w:r>
                    <w:rPr>
                      <w:color w:val="auto"/>
                      <w:sz w:val="20"/>
                      <w:szCs w:val="20"/>
                      <w:highlight w:val="none"/>
                    </w:rPr>
                    <w:t>污废水经厂区预处理达标后排入银翔新城污水处理厂</w:t>
                  </w:r>
                  <w:r>
                    <w:rPr>
                      <w:rFonts w:hint="eastAsia"/>
                      <w:color w:val="auto"/>
                      <w:sz w:val="20"/>
                      <w:szCs w:val="20"/>
                      <w:highlight w:val="none"/>
                    </w:rPr>
                    <w:t>。</w:t>
                  </w:r>
                </w:p>
              </w:tc>
              <w:tc>
                <w:tcPr>
                  <w:tcW w:w="269" w:type="pct"/>
                  <w:vAlign w:val="center"/>
                </w:tcPr>
                <w:p w14:paraId="348F724E">
                  <w:pPr>
                    <w:adjustRightInd w:val="0"/>
                    <w:snapToGrid w:val="0"/>
                    <w:ind w:left="-10" w:leftChars="-5" w:right="-10" w:rightChars="-5"/>
                    <w:jc w:val="center"/>
                    <w:rPr>
                      <w:bCs/>
                      <w:color w:val="auto"/>
                      <w:sz w:val="20"/>
                      <w:szCs w:val="20"/>
                      <w:highlight w:val="none"/>
                    </w:rPr>
                  </w:pPr>
                  <w:r>
                    <w:rPr>
                      <w:bCs/>
                      <w:color w:val="auto"/>
                      <w:sz w:val="20"/>
                      <w:szCs w:val="20"/>
                      <w:highlight w:val="none"/>
                    </w:rPr>
                    <w:t>符合</w:t>
                  </w:r>
                </w:p>
              </w:tc>
            </w:tr>
            <w:tr w14:paraId="46BD572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67738A83">
                  <w:pPr>
                    <w:adjustRightInd w:val="0"/>
                    <w:snapToGrid w:val="0"/>
                    <w:ind w:left="-10" w:leftChars="-5" w:right="-10" w:rightChars="-5"/>
                    <w:jc w:val="center"/>
                    <w:rPr>
                      <w:color w:val="auto"/>
                      <w:sz w:val="20"/>
                      <w:szCs w:val="20"/>
                      <w:highlight w:val="none"/>
                    </w:rPr>
                  </w:pPr>
                </w:p>
              </w:tc>
              <w:tc>
                <w:tcPr>
                  <w:tcW w:w="278" w:type="pct"/>
                  <w:vMerge w:val="continue"/>
                  <w:vAlign w:val="center"/>
                </w:tcPr>
                <w:p w14:paraId="21C1B95D">
                  <w:pPr>
                    <w:adjustRightInd w:val="0"/>
                    <w:snapToGrid w:val="0"/>
                    <w:ind w:left="-10" w:leftChars="-5" w:right="-10" w:rightChars="-5"/>
                    <w:jc w:val="center"/>
                    <w:rPr>
                      <w:bCs/>
                      <w:color w:val="auto"/>
                      <w:sz w:val="20"/>
                      <w:szCs w:val="20"/>
                      <w:highlight w:val="none"/>
                    </w:rPr>
                  </w:pPr>
                </w:p>
              </w:tc>
              <w:tc>
                <w:tcPr>
                  <w:tcW w:w="2735" w:type="pct"/>
                  <w:vAlign w:val="center"/>
                </w:tcPr>
                <w:p w14:paraId="3925F2BA">
                  <w:pPr>
                    <w:adjustRightInd w:val="0"/>
                    <w:snapToGrid w:val="0"/>
                    <w:ind w:left="-10" w:leftChars="-5" w:right="-10" w:rightChars="-5"/>
                    <w:rPr>
                      <w:bCs/>
                      <w:color w:val="auto"/>
                      <w:sz w:val="20"/>
                      <w:szCs w:val="20"/>
                      <w:highlight w:val="none"/>
                    </w:rPr>
                  </w:pPr>
                  <w:r>
                    <w:rPr>
                      <w:rFonts w:hint="eastAsia"/>
                      <w:bCs/>
                      <w:color w:val="auto"/>
                      <w:sz w:val="20"/>
                      <w:szCs w:val="20"/>
                      <w:highlight w:val="none"/>
                    </w:rPr>
                    <w:t>第十二条 推进乡镇生活污水处理设施达标改造。新建城市生活污水处理厂全部按照一级A标及以上排放标准设计、施工、验收，建制乡镇生活污水处理设施出水水质不得低于一级B标排放标准；对现有</w:t>
                  </w:r>
                  <w:bookmarkStart w:id="12" w:name="hmcheck_520748d9d9a04dec94a9d7189e7679d2"/>
                  <w:r>
                    <w:rPr>
                      <w:rFonts w:hint="eastAsia"/>
                      <w:bCs/>
                      <w:color w:val="auto"/>
                      <w:sz w:val="20"/>
                      <w:szCs w:val="20"/>
                      <w:highlight w:val="none"/>
                      <w:shd w:val="clear" w:fill="FFAFAA"/>
                    </w:rPr>
                    <w:t>截留</w:t>
                  </w:r>
                  <w:bookmarkEnd w:id="12"/>
                  <w:r>
                    <w:rPr>
                      <w:rFonts w:hint="eastAsia"/>
                      <w:bCs/>
                      <w:color w:val="auto"/>
                      <w:sz w:val="20"/>
                      <w:szCs w:val="20"/>
                      <w:highlight w:val="none"/>
                    </w:rPr>
                    <w:t>制排水管网实施雨污分流改造，针对无法彻底雨污分流的老城区，尊重现实合理保留截留制区域，合理提高截留倍数；对新建的排水管网，全部按照雨污分流模式实施建设。</w:t>
                  </w:r>
                </w:p>
              </w:tc>
              <w:tc>
                <w:tcPr>
                  <w:tcW w:w="1215" w:type="pct"/>
                  <w:vAlign w:val="center"/>
                </w:tcPr>
                <w:p w14:paraId="37DBD8A2">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不涉及</w:t>
                  </w:r>
                </w:p>
              </w:tc>
              <w:tc>
                <w:tcPr>
                  <w:tcW w:w="269" w:type="pct"/>
                  <w:vAlign w:val="center"/>
                </w:tcPr>
                <w:p w14:paraId="189F87DD">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w:t>
                  </w:r>
                </w:p>
              </w:tc>
            </w:tr>
            <w:tr w14:paraId="2E6A1E7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3EBF9CBE">
                  <w:pPr>
                    <w:adjustRightInd w:val="0"/>
                    <w:snapToGrid w:val="0"/>
                    <w:ind w:left="-10" w:leftChars="-5" w:right="-10" w:rightChars="-5"/>
                    <w:jc w:val="center"/>
                    <w:rPr>
                      <w:color w:val="auto"/>
                      <w:sz w:val="20"/>
                      <w:szCs w:val="20"/>
                      <w:highlight w:val="none"/>
                    </w:rPr>
                  </w:pPr>
                </w:p>
              </w:tc>
              <w:tc>
                <w:tcPr>
                  <w:tcW w:w="278" w:type="pct"/>
                  <w:vMerge w:val="continue"/>
                  <w:vAlign w:val="center"/>
                </w:tcPr>
                <w:p w14:paraId="63B3CDBE">
                  <w:pPr>
                    <w:adjustRightInd w:val="0"/>
                    <w:snapToGrid w:val="0"/>
                    <w:ind w:left="-10" w:leftChars="-5" w:right="-10" w:rightChars="-5"/>
                    <w:jc w:val="center"/>
                    <w:rPr>
                      <w:bCs/>
                      <w:color w:val="auto"/>
                      <w:sz w:val="20"/>
                      <w:szCs w:val="20"/>
                      <w:highlight w:val="none"/>
                    </w:rPr>
                  </w:pPr>
                </w:p>
              </w:tc>
              <w:tc>
                <w:tcPr>
                  <w:tcW w:w="2735" w:type="pct"/>
                  <w:vAlign w:val="center"/>
                </w:tcPr>
                <w:p w14:paraId="21866EA7">
                  <w:pPr>
                    <w:adjustRightInd w:val="0"/>
                    <w:snapToGrid w:val="0"/>
                    <w:ind w:left="-10" w:leftChars="-5" w:right="-10" w:rightChars="-5"/>
                    <w:rPr>
                      <w:bCs/>
                      <w:color w:val="auto"/>
                      <w:sz w:val="20"/>
                      <w:szCs w:val="20"/>
                      <w:highlight w:val="none"/>
                    </w:rPr>
                  </w:pPr>
                  <w:r>
                    <w:rPr>
                      <w:rFonts w:hint="eastAsia"/>
                      <w:bCs/>
                      <w:color w:val="auto"/>
                      <w:sz w:val="20"/>
                      <w:szCs w:val="20"/>
                      <w:highlight w:val="none"/>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1215" w:type="pct"/>
                  <w:vAlign w:val="center"/>
                </w:tcPr>
                <w:p w14:paraId="0C211847">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项目不涉及重点重金属污染物排放。</w:t>
                  </w:r>
                </w:p>
              </w:tc>
              <w:tc>
                <w:tcPr>
                  <w:tcW w:w="269" w:type="pct"/>
                  <w:vAlign w:val="center"/>
                </w:tcPr>
                <w:p w14:paraId="5687DB4A">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符合</w:t>
                  </w:r>
                </w:p>
              </w:tc>
            </w:tr>
            <w:tr w14:paraId="3211F52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06A03387">
                  <w:pPr>
                    <w:adjustRightInd w:val="0"/>
                    <w:snapToGrid w:val="0"/>
                    <w:ind w:left="-10" w:leftChars="-5" w:right="-10" w:rightChars="-5"/>
                    <w:jc w:val="center"/>
                    <w:rPr>
                      <w:color w:val="auto"/>
                      <w:sz w:val="20"/>
                      <w:szCs w:val="20"/>
                      <w:highlight w:val="none"/>
                    </w:rPr>
                  </w:pPr>
                </w:p>
              </w:tc>
              <w:tc>
                <w:tcPr>
                  <w:tcW w:w="278" w:type="pct"/>
                  <w:vMerge w:val="continue"/>
                  <w:vAlign w:val="center"/>
                </w:tcPr>
                <w:p w14:paraId="4D0188ED">
                  <w:pPr>
                    <w:adjustRightInd w:val="0"/>
                    <w:snapToGrid w:val="0"/>
                    <w:ind w:left="-10" w:leftChars="-5" w:right="-10" w:rightChars="-5"/>
                    <w:jc w:val="center"/>
                    <w:rPr>
                      <w:bCs/>
                      <w:color w:val="auto"/>
                      <w:sz w:val="20"/>
                      <w:szCs w:val="20"/>
                      <w:highlight w:val="none"/>
                    </w:rPr>
                  </w:pPr>
                </w:p>
              </w:tc>
              <w:tc>
                <w:tcPr>
                  <w:tcW w:w="2735" w:type="pct"/>
                  <w:vAlign w:val="center"/>
                </w:tcPr>
                <w:p w14:paraId="23A2F98E">
                  <w:pPr>
                    <w:adjustRightInd w:val="0"/>
                    <w:snapToGrid w:val="0"/>
                    <w:ind w:left="-10" w:leftChars="-5" w:right="-10" w:rightChars="-5"/>
                    <w:rPr>
                      <w:bCs/>
                      <w:color w:val="auto"/>
                      <w:sz w:val="20"/>
                      <w:szCs w:val="20"/>
                      <w:highlight w:val="none"/>
                    </w:rPr>
                  </w:pPr>
                  <w:r>
                    <w:rPr>
                      <w:rFonts w:hint="eastAsia"/>
                      <w:bCs/>
                      <w:color w:val="auto"/>
                      <w:sz w:val="20"/>
                      <w:szCs w:val="20"/>
                      <w:highlight w:val="none"/>
                    </w:rPr>
                    <w:t xml:space="preserve">第十四条 </w:t>
                  </w:r>
                  <w:r>
                    <w:rPr>
                      <w:bCs/>
                      <w:color w:val="auto"/>
                      <w:sz w:val="20"/>
                      <w:szCs w:val="20"/>
                      <w:highlight w:val="none"/>
                    </w:rPr>
                    <w:t xml:space="preserve"> </w:t>
                  </w:r>
                  <w:r>
                    <w:rPr>
                      <w:rFonts w:hint="eastAsia"/>
                      <w:bCs/>
                      <w:color w:val="auto"/>
                      <w:sz w:val="20"/>
                      <w:szCs w:val="20"/>
                      <w:highlight w:val="none"/>
                    </w:rPr>
                    <w:t>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215" w:type="pct"/>
                  <w:vAlign w:val="center"/>
                </w:tcPr>
                <w:p w14:paraId="52EF9C8A">
                  <w:pPr>
                    <w:adjustRightInd w:val="0"/>
                    <w:snapToGrid w:val="0"/>
                    <w:ind w:left="-10" w:leftChars="-5" w:right="-10" w:rightChars="-5"/>
                    <w:rPr>
                      <w:bCs/>
                      <w:color w:val="auto"/>
                      <w:sz w:val="20"/>
                      <w:szCs w:val="20"/>
                      <w:highlight w:val="none"/>
                    </w:rPr>
                  </w:pPr>
                  <w:r>
                    <w:rPr>
                      <w:rFonts w:hint="eastAsia"/>
                      <w:bCs/>
                      <w:color w:val="auto"/>
                      <w:sz w:val="20"/>
                      <w:szCs w:val="20"/>
                      <w:highlight w:val="none"/>
                    </w:rPr>
                    <w:t>项目针对各类工业固体废物建立从产生、收集、贮存、运输、利用、处置全过程的污染环境防治责任制度，以及工业固体废物管理台账。</w:t>
                  </w:r>
                </w:p>
              </w:tc>
              <w:tc>
                <w:tcPr>
                  <w:tcW w:w="269" w:type="pct"/>
                  <w:vAlign w:val="center"/>
                </w:tcPr>
                <w:p w14:paraId="7388F744">
                  <w:pPr>
                    <w:adjustRightInd w:val="0"/>
                    <w:snapToGrid w:val="0"/>
                    <w:ind w:left="-10" w:leftChars="-5" w:right="-10" w:rightChars="-5"/>
                    <w:jc w:val="center"/>
                    <w:rPr>
                      <w:bCs/>
                      <w:color w:val="auto"/>
                      <w:sz w:val="20"/>
                      <w:szCs w:val="20"/>
                      <w:highlight w:val="none"/>
                    </w:rPr>
                  </w:pPr>
                  <w:r>
                    <w:rPr>
                      <w:bCs/>
                      <w:color w:val="auto"/>
                      <w:sz w:val="20"/>
                      <w:szCs w:val="20"/>
                      <w:highlight w:val="none"/>
                    </w:rPr>
                    <w:t>符合</w:t>
                  </w:r>
                </w:p>
              </w:tc>
            </w:tr>
            <w:tr w14:paraId="6780CC2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747BA897">
                  <w:pPr>
                    <w:adjustRightInd w:val="0"/>
                    <w:snapToGrid w:val="0"/>
                    <w:ind w:left="-10" w:leftChars="-5" w:right="-10" w:rightChars="-5"/>
                    <w:jc w:val="center"/>
                    <w:rPr>
                      <w:color w:val="auto"/>
                      <w:sz w:val="20"/>
                      <w:szCs w:val="20"/>
                      <w:highlight w:val="none"/>
                    </w:rPr>
                  </w:pPr>
                </w:p>
              </w:tc>
              <w:tc>
                <w:tcPr>
                  <w:tcW w:w="278" w:type="pct"/>
                  <w:vMerge w:val="continue"/>
                  <w:vAlign w:val="center"/>
                </w:tcPr>
                <w:p w14:paraId="0A744CA0">
                  <w:pPr>
                    <w:adjustRightInd w:val="0"/>
                    <w:snapToGrid w:val="0"/>
                    <w:ind w:left="-10" w:leftChars="-5" w:right="-10" w:rightChars="-5"/>
                    <w:jc w:val="center"/>
                    <w:rPr>
                      <w:bCs/>
                      <w:color w:val="auto"/>
                      <w:sz w:val="20"/>
                      <w:szCs w:val="20"/>
                      <w:highlight w:val="none"/>
                    </w:rPr>
                  </w:pPr>
                </w:p>
              </w:tc>
              <w:tc>
                <w:tcPr>
                  <w:tcW w:w="2735" w:type="pct"/>
                  <w:vAlign w:val="center"/>
                </w:tcPr>
                <w:p w14:paraId="3C2FFF0C">
                  <w:pPr>
                    <w:adjustRightInd w:val="0"/>
                    <w:snapToGrid w:val="0"/>
                    <w:ind w:left="-10" w:leftChars="-5" w:right="-10" w:rightChars="-5"/>
                    <w:rPr>
                      <w:bCs/>
                      <w:color w:val="auto"/>
                      <w:sz w:val="20"/>
                      <w:szCs w:val="20"/>
                      <w:highlight w:val="none"/>
                    </w:rPr>
                  </w:pPr>
                  <w:r>
                    <w:rPr>
                      <w:rFonts w:hint="eastAsia"/>
                      <w:bCs/>
                      <w:color w:val="auto"/>
                      <w:sz w:val="20"/>
                      <w:szCs w:val="20"/>
                      <w:highlight w:val="none"/>
                    </w:rPr>
                    <w:t>第十五条 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1215" w:type="pct"/>
                  <w:vAlign w:val="center"/>
                </w:tcPr>
                <w:p w14:paraId="794EE6C3">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项目生活垃圾实行分类收集、分类处理的要求建设。</w:t>
                  </w:r>
                </w:p>
              </w:tc>
              <w:tc>
                <w:tcPr>
                  <w:tcW w:w="269" w:type="pct"/>
                  <w:vAlign w:val="center"/>
                </w:tcPr>
                <w:p w14:paraId="4461DA8B">
                  <w:pPr>
                    <w:adjustRightInd w:val="0"/>
                    <w:snapToGrid w:val="0"/>
                    <w:ind w:left="-10" w:leftChars="-5" w:right="-10" w:rightChars="-5"/>
                    <w:jc w:val="center"/>
                    <w:rPr>
                      <w:bCs/>
                      <w:color w:val="auto"/>
                      <w:sz w:val="20"/>
                      <w:szCs w:val="20"/>
                      <w:highlight w:val="none"/>
                    </w:rPr>
                  </w:pPr>
                  <w:r>
                    <w:rPr>
                      <w:bCs/>
                      <w:color w:val="auto"/>
                      <w:sz w:val="20"/>
                      <w:szCs w:val="20"/>
                      <w:highlight w:val="none"/>
                    </w:rPr>
                    <w:t>符合</w:t>
                  </w:r>
                </w:p>
              </w:tc>
            </w:tr>
            <w:tr w14:paraId="40A32F2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3F7F64AF">
                  <w:pPr>
                    <w:adjustRightInd w:val="0"/>
                    <w:snapToGrid w:val="0"/>
                    <w:ind w:left="-10" w:leftChars="-5" w:right="-10" w:rightChars="-5"/>
                    <w:jc w:val="center"/>
                    <w:rPr>
                      <w:color w:val="auto"/>
                      <w:sz w:val="20"/>
                      <w:szCs w:val="20"/>
                      <w:highlight w:val="none"/>
                    </w:rPr>
                  </w:pPr>
                </w:p>
              </w:tc>
              <w:tc>
                <w:tcPr>
                  <w:tcW w:w="278" w:type="pct"/>
                  <w:vMerge w:val="restart"/>
                  <w:vAlign w:val="center"/>
                </w:tcPr>
                <w:p w14:paraId="1A6CB4E7">
                  <w:pPr>
                    <w:adjustRightInd w:val="0"/>
                    <w:snapToGrid w:val="0"/>
                    <w:ind w:left="-10" w:leftChars="-5" w:right="-10" w:rightChars="-5"/>
                    <w:jc w:val="center"/>
                    <w:rPr>
                      <w:bCs/>
                      <w:color w:val="auto"/>
                      <w:sz w:val="20"/>
                      <w:szCs w:val="20"/>
                      <w:highlight w:val="none"/>
                    </w:rPr>
                  </w:pPr>
                  <w:r>
                    <w:rPr>
                      <w:bCs/>
                      <w:color w:val="auto"/>
                      <w:sz w:val="20"/>
                      <w:szCs w:val="20"/>
                      <w:highlight w:val="none"/>
                    </w:rPr>
                    <w:t>环境风险防控</w:t>
                  </w:r>
                </w:p>
              </w:tc>
              <w:tc>
                <w:tcPr>
                  <w:tcW w:w="2735" w:type="pct"/>
                  <w:vAlign w:val="center"/>
                </w:tcPr>
                <w:p w14:paraId="0F5EDD44">
                  <w:pPr>
                    <w:adjustRightInd w:val="0"/>
                    <w:snapToGrid w:val="0"/>
                    <w:ind w:left="-10" w:leftChars="-5" w:right="-10" w:rightChars="-5"/>
                    <w:jc w:val="left"/>
                    <w:rPr>
                      <w:bCs/>
                      <w:color w:val="auto"/>
                      <w:sz w:val="20"/>
                      <w:szCs w:val="20"/>
                      <w:highlight w:val="none"/>
                    </w:rPr>
                  </w:pPr>
                  <w:r>
                    <w:rPr>
                      <w:rFonts w:hint="eastAsia"/>
                      <w:bCs/>
                      <w:color w:val="auto"/>
                      <w:sz w:val="20"/>
                      <w:szCs w:val="20"/>
                      <w:highlight w:val="none"/>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1215" w:type="pct"/>
                  <w:vAlign w:val="center"/>
                </w:tcPr>
                <w:p w14:paraId="4D3E1008">
                  <w:pPr>
                    <w:adjustRightInd w:val="0"/>
                    <w:snapToGrid w:val="0"/>
                    <w:ind w:left="-10" w:leftChars="-5" w:right="-10" w:rightChars="-5"/>
                    <w:jc w:val="center"/>
                    <w:rPr>
                      <w:bCs/>
                      <w:color w:val="auto"/>
                      <w:sz w:val="20"/>
                      <w:szCs w:val="20"/>
                      <w:highlight w:val="none"/>
                    </w:rPr>
                  </w:pPr>
                  <w:r>
                    <w:rPr>
                      <w:rFonts w:hint="eastAsia"/>
                      <w:color w:val="auto"/>
                      <w:sz w:val="20"/>
                      <w:szCs w:val="20"/>
                      <w:highlight w:val="none"/>
                    </w:rPr>
                    <w:t>项目所在园区已建立环境风险防范体系。项目建成后将严格落实</w:t>
                  </w:r>
                  <w:r>
                    <w:rPr>
                      <w:rFonts w:hint="eastAsia"/>
                      <w:color w:val="auto"/>
                      <w:sz w:val="20"/>
                      <w:szCs w:val="20"/>
                      <w:highlight w:val="none"/>
                      <w:lang w:eastAsia="zh-CN"/>
                    </w:rPr>
                    <w:t>环境风险防范措施，并与园区环境风险防范体系衔接</w:t>
                  </w:r>
                  <w:r>
                    <w:rPr>
                      <w:rFonts w:hint="eastAsia"/>
                      <w:color w:val="auto"/>
                      <w:sz w:val="20"/>
                      <w:szCs w:val="20"/>
                      <w:highlight w:val="none"/>
                    </w:rPr>
                    <w:t>。</w:t>
                  </w:r>
                </w:p>
              </w:tc>
              <w:tc>
                <w:tcPr>
                  <w:tcW w:w="269" w:type="pct"/>
                  <w:vAlign w:val="center"/>
                </w:tcPr>
                <w:p w14:paraId="63D1D208">
                  <w:pPr>
                    <w:adjustRightInd w:val="0"/>
                    <w:snapToGrid w:val="0"/>
                    <w:ind w:left="-10" w:leftChars="-5" w:right="-10" w:rightChars="-5"/>
                    <w:jc w:val="center"/>
                    <w:rPr>
                      <w:bCs/>
                      <w:color w:val="auto"/>
                      <w:sz w:val="20"/>
                      <w:szCs w:val="20"/>
                      <w:highlight w:val="none"/>
                    </w:rPr>
                  </w:pPr>
                  <w:r>
                    <w:rPr>
                      <w:bCs/>
                      <w:color w:val="auto"/>
                      <w:sz w:val="20"/>
                      <w:szCs w:val="20"/>
                      <w:highlight w:val="none"/>
                    </w:rPr>
                    <w:t>符合</w:t>
                  </w:r>
                </w:p>
              </w:tc>
            </w:tr>
            <w:tr w14:paraId="0F56DC2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6B363C6F">
                  <w:pPr>
                    <w:adjustRightInd w:val="0"/>
                    <w:snapToGrid w:val="0"/>
                    <w:ind w:left="-10" w:leftChars="-5" w:right="-10" w:rightChars="-5"/>
                    <w:jc w:val="center"/>
                    <w:rPr>
                      <w:color w:val="auto"/>
                      <w:sz w:val="20"/>
                      <w:szCs w:val="20"/>
                      <w:highlight w:val="none"/>
                    </w:rPr>
                  </w:pPr>
                </w:p>
              </w:tc>
              <w:tc>
                <w:tcPr>
                  <w:tcW w:w="278" w:type="pct"/>
                  <w:vMerge w:val="continue"/>
                  <w:vAlign w:val="center"/>
                </w:tcPr>
                <w:p w14:paraId="17BA7925">
                  <w:pPr>
                    <w:adjustRightInd w:val="0"/>
                    <w:snapToGrid w:val="0"/>
                    <w:ind w:left="-10" w:leftChars="-5" w:right="-10" w:rightChars="-5"/>
                    <w:jc w:val="center"/>
                    <w:rPr>
                      <w:bCs/>
                      <w:color w:val="auto"/>
                      <w:sz w:val="20"/>
                      <w:szCs w:val="20"/>
                      <w:highlight w:val="none"/>
                    </w:rPr>
                  </w:pPr>
                </w:p>
              </w:tc>
              <w:tc>
                <w:tcPr>
                  <w:tcW w:w="2735" w:type="pct"/>
                  <w:vAlign w:val="center"/>
                </w:tcPr>
                <w:p w14:paraId="2B0F6BA9">
                  <w:pPr>
                    <w:adjustRightInd w:val="0"/>
                    <w:snapToGrid w:val="0"/>
                    <w:ind w:left="-10" w:leftChars="-5" w:right="-10" w:rightChars="-5"/>
                    <w:jc w:val="left"/>
                    <w:rPr>
                      <w:bCs/>
                      <w:color w:val="auto"/>
                      <w:sz w:val="20"/>
                      <w:szCs w:val="20"/>
                      <w:highlight w:val="none"/>
                    </w:rPr>
                  </w:pPr>
                  <w:r>
                    <w:rPr>
                      <w:rFonts w:hint="eastAsia"/>
                      <w:bCs/>
                      <w:color w:val="auto"/>
                      <w:sz w:val="20"/>
                      <w:szCs w:val="20"/>
                      <w:highlight w:val="none"/>
                    </w:rPr>
                    <w:t>第十七条 强化化工园区涉水突发环境事件四级环境风险防范体系建设。持续推进重点化工园区（化工集中区）建设有毒有害气体监测预警体系和水质生物毒性预警体系。</w:t>
                  </w:r>
                </w:p>
              </w:tc>
              <w:tc>
                <w:tcPr>
                  <w:tcW w:w="1215" w:type="pct"/>
                  <w:vAlign w:val="center"/>
                </w:tcPr>
                <w:p w14:paraId="3BC0A603">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不涉及</w:t>
                  </w:r>
                </w:p>
              </w:tc>
              <w:tc>
                <w:tcPr>
                  <w:tcW w:w="269" w:type="pct"/>
                  <w:vAlign w:val="center"/>
                </w:tcPr>
                <w:p w14:paraId="72D8C195">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w:t>
                  </w:r>
                </w:p>
              </w:tc>
            </w:tr>
            <w:tr w14:paraId="0785775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6EC35EFD">
                  <w:pPr>
                    <w:adjustRightInd w:val="0"/>
                    <w:snapToGrid w:val="0"/>
                    <w:ind w:left="-10" w:leftChars="-5" w:right="-10" w:rightChars="-5"/>
                    <w:jc w:val="center"/>
                    <w:rPr>
                      <w:color w:val="auto"/>
                      <w:sz w:val="20"/>
                      <w:szCs w:val="20"/>
                      <w:highlight w:val="none"/>
                    </w:rPr>
                  </w:pPr>
                </w:p>
              </w:tc>
              <w:tc>
                <w:tcPr>
                  <w:tcW w:w="278" w:type="pct"/>
                  <w:vMerge w:val="restart"/>
                  <w:vAlign w:val="center"/>
                </w:tcPr>
                <w:p w14:paraId="25411D33">
                  <w:pPr>
                    <w:adjustRightInd w:val="0"/>
                    <w:snapToGrid w:val="0"/>
                    <w:ind w:left="-10" w:leftChars="-5" w:right="-10" w:rightChars="-5"/>
                    <w:jc w:val="center"/>
                    <w:rPr>
                      <w:bCs/>
                      <w:color w:val="auto"/>
                      <w:sz w:val="20"/>
                      <w:szCs w:val="20"/>
                      <w:highlight w:val="none"/>
                    </w:rPr>
                  </w:pPr>
                  <w:r>
                    <w:rPr>
                      <w:bCs/>
                      <w:color w:val="auto"/>
                      <w:sz w:val="20"/>
                      <w:szCs w:val="20"/>
                      <w:highlight w:val="none"/>
                    </w:rPr>
                    <w:t>资源开发效率要求</w:t>
                  </w:r>
                </w:p>
              </w:tc>
              <w:tc>
                <w:tcPr>
                  <w:tcW w:w="2735" w:type="pct"/>
                  <w:vAlign w:val="center"/>
                </w:tcPr>
                <w:p w14:paraId="00D9D0B1">
                  <w:pPr>
                    <w:adjustRightInd w:val="0"/>
                    <w:snapToGrid w:val="0"/>
                    <w:ind w:left="-10" w:leftChars="-5" w:right="-10" w:rightChars="-5"/>
                    <w:jc w:val="left"/>
                    <w:rPr>
                      <w:bCs/>
                      <w:color w:val="auto"/>
                      <w:sz w:val="20"/>
                      <w:szCs w:val="20"/>
                      <w:highlight w:val="none"/>
                    </w:rPr>
                  </w:pPr>
                  <w:r>
                    <w:rPr>
                      <w:rFonts w:hint="eastAsia"/>
                      <w:bCs/>
                      <w:color w:val="auto"/>
                      <w:sz w:val="20"/>
                      <w:szCs w:val="20"/>
                      <w:highlight w:val="none"/>
                    </w:rPr>
                    <w:t>第十八条 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1215" w:type="pct"/>
                  <w:vAlign w:val="center"/>
                </w:tcPr>
                <w:p w14:paraId="64521C0B">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项目使用清洁能源，不属于“两高”项目。</w:t>
                  </w:r>
                </w:p>
              </w:tc>
              <w:tc>
                <w:tcPr>
                  <w:tcW w:w="269" w:type="pct"/>
                  <w:vAlign w:val="center"/>
                </w:tcPr>
                <w:p w14:paraId="5C0720FA">
                  <w:pPr>
                    <w:adjustRightInd w:val="0"/>
                    <w:snapToGrid w:val="0"/>
                    <w:ind w:left="-10" w:leftChars="-5" w:right="-10" w:rightChars="-5"/>
                    <w:jc w:val="center"/>
                    <w:rPr>
                      <w:bCs/>
                      <w:color w:val="auto"/>
                      <w:sz w:val="20"/>
                      <w:szCs w:val="20"/>
                      <w:highlight w:val="none"/>
                    </w:rPr>
                  </w:pPr>
                  <w:r>
                    <w:rPr>
                      <w:bCs/>
                      <w:color w:val="auto"/>
                      <w:sz w:val="20"/>
                      <w:szCs w:val="20"/>
                      <w:highlight w:val="none"/>
                    </w:rPr>
                    <w:t>符合</w:t>
                  </w:r>
                </w:p>
              </w:tc>
            </w:tr>
            <w:tr w14:paraId="1444BEA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74ADEA52">
                  <w:pPr>
                    <w:adjustRightInd w:val="0"/>
                    <w:snapToGrid w:val="0"/>
                    <w:ind w:left="-10" w:leftChars="-5" w:right="-10" w:rightChars="-5"/>
                    <w:jc w:val="center"/>
                    <w:rPr>
                      <w:color w:val="auto"/>
                      <w:sz w:val="20"/>
                      <w:szCs w:val="20"/>
                      <w:highlight w:val="none"/>
                    </w:rPr>
                  </w:pPr>
                </w:p>
              </w:tc>
              <w:tc>
                <w:tcPr>
                  <w:tcW w:w="278" w:type="pct"/>
                  <w:vMerge w:val="continue"/>
                  <w:vAlign w:val="center"/>
                </w:tcPr>
                <w:p w14:paraId="082AFF1B">
                  <w:pPr>
                    <w:adjustRightInd w:val="0"/>
                    <w:snapToGrid w:val="0"/>
                    <w:ind w:left="-10" w:leftChars="-5" w:right="-10" w:rightChars="-5"/>
                    <w:jc w:val="center"/>
                    <w:rPr>
                      <w:bCs/>
                      <w:color w:val="auto"/>
                      <w:sz w:val="20"/>
                      <w:szCs w:val="20"/>
                      <w:highlight w:val="none"/>
                    </w:rPr>
                  </w:pPr>
                </w:p>
              </w:tc>
              <w:tc>
                <w:tcPr>
                  <w:tcW w:w="2735" w:type="pct"/>
                  <w:vAlign w:val="center"/>
                </w:tcPr>
                <w:p w14:paraId="4FC5556D">
                  <w:pPr>
                    <w:adjustRightInd w:val="0"/>
                    <w:snapToGrid w:val="0"/>
                    <w:ind w:left="-10" w:leftChars="-5" w:right="-10" w:rightChars="-5"/>
                    <w:jc w:val="left"/>
                    <w:rPr>
                      <w:bCs/>
                      <w:color w:val="auto"/>
                      <w:sz w:val="20"/>
                      <w:szCs w:val="20"/>
                      <w:highlight w:val="none"/>
                    </w:rPr>
                  </w:pPr>
                  <w:r>
                    <w:rPr>
                      <w:rFonts w:hint="eastAsia"/>
                      <w:bCs/>
                      <w:color w:val="auto"/>
                      <w:sz w:val="20"/>
                      <w:szCs w:val="20"/>
                      <w:highlight w:val="none"/>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215" w:type="pct"/>
                  <w:vAlign w:val="center"/>
                </w:tcPr>
                <w:p w14:paraId="6CE761E2">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项目使用清洁能源，不属于“两高”项目。</w:t>
                  </w:r>
                </w:p>
              </w:tc>
              <w:tc>
                <w:tcPr>
                  <w:tcW w:w="269" w:type="pct"/>
                  <w:vAlign w:val="center"/>
                </w:tcPr>
                <w:p w14:paraId="2B3CB6F7">
                  <w:pPr>
                    <w:adjustRightInd w:val="0"/>
                    <w:snapToGrid w:val="0"/>
                    <w:ind w:left="-10" w:leftChars="-5" w:right="-10" w:rightChars="-5"/>
                    <w:jc w:val="center"/>
                    <w:rPr>
                      <w:bCs/>
                      <w:color w:val="auto"/>
                      <w:sz w:val="20"/>
                      <w:szCs w:val="20"/>
                      <w:highlight w:val="none"/>
                    </w:rPr>
                  </w:pPr>
                  <w:r>
                    <w:rPr>
                      <w:bCs/>
                      <w:color w:val="auto"/>
                      <w:sz w:val="20"/>
                      <w:szCs w:val="20"/>
                      <w:highlight w:val="none"/>
                    </w:rPr>
                    <w:t>符合</w:t>
                  </w:r>
                </w:p>
              </w:tc>
            </w:tr>
            <w:tr w14:paraId="7659776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5DDC1ABE">
                  <w:pPr>
                    <w:adjustRightInd w:val="0"/>
                    <w:snapToGrid w:val="0"/>
                    <w:ind w:left="-10" w:leftChars="-5" w:right="-10" w:rightChars="-5"/>
                    <w:jc w:val="center"/>
                    <w:rPr>
                      <w:color w:val="auto"/>
                      <w:sz w:val="20"/>
                      <w:szCs w:val="20"/>
                      <w:highlight w:val="none"/>
                    </w:rPr>
                  </w:pPr>
                </w:p>
              </w:tc>
              <w:tc>
                <w:tcPr>
                  <w:tcW w:w="278" w:type="pct"/>
                  <w:vMerge w:val="continue"/>
                  <w:vAlign w:val="center"/>
                </w:tcPr>
                <w:p w14:paraId="4F57D6FC">
                  <w:pPr>
                    <w:adjustRightInd w:val="0"/>
                    <w:snapToGrid w:val="0"/>
                    <w:ind w:left="-10" w:leftChars="-5" w:right="-10" w:rightChars="-5"/>
                    <w:jc w:val="center"/>
                    <w:rPr>
                      <w:bCs/>
                      <w:color w:val="auto"/>
                      <w:sz w:val="20"/>
                      <w:szCs w:val="20"/>
                      <w:highlight w:val="none"/>
                    </w:rPr>
                  </w:pPr>
                </w:p>
              </w:tc>
              <w:tc>
                <w:tcPr>
                  <w:tcW w:w="2735" w:type="pct"/>
                  <w:vAlign w:val="center"/>
                </w:tcPr>
                <w:p w14:paraId="333CDBD3">
                  <w:pPr>
                    <w:adjustRightInd w:val="0"/>
                    <w:snapToGrid w:val="0"/>
                    <w:ind w:left="-10" w:leftChars="-5" w:right="-10" w:rightChars="-5"/>
                    <w:jc w:val="left"/>
                    <w:rPr>
                      <w:bCs/>
                      <w:color w:val="auto"/>
                      <w:sz w:val="20"/>
                      <w:szCs w:val="20"/>
                      <w:highlight w:val="none"/>
                    </w:rPr>
                  </w:pPr>
                  <w:r>
                    <w:rPr>
                      <w:rFonts w:hint="eastAsia"/>
                      <w:bCs/>
                      <w:color w:val="auto"/>
                      <w:sz w:val="20"/>
                      <w:szCs w:val="20"/>
                      <w:highlight w:val="none"/>
                    </w:rPr>
                    <w:t>第二十条 新建、扩建“两高”项目应采用先进适用的工艺技术和装备，单位产品物耗、能耗、水耗等达到清洁生产先进水平。</w:t>
                  </w:r>
                </w:p>
              </w:tc>
              <w:tc>
                <w:tcPr>
                  <w:tcW w:w="1215" w:type="pct"/>
                  <w:vAlign w:val="center"/>
                </w:tcPr>
                <w:p w14:paraId="1E948D68">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项目不属于“两高”项目。</w:t>
                  </w:r>
                </w:p>
              </w:tc>
              <w:tc>
                <w:tcPr>
                  <w:tcW w:w="269" w:type="pct"/>
                  <w:vAlign w:val="center"/>
                </w:tcPr>
                <w:p w14:paraId="5247FB23">
                  <w:pPr>
                    <w:adjustRightInd w:val="0"/>
                    <w:snapToGrid w:val="0"/>
                    <w:ind w:left="-10" w:leftChars="-5" w:right="-10" w:rightChars="-5"/>
                    <w:jc w:val="center"/>
                    <w:rPr>
                      <w:bCs/>
                      <w:color w:val="auto"/>
                      <w:sz w:val="20"/>
                      <w:szCs w:val="20"/>
                      <w:highlight w:val="none"/>
                    </w:rPr>
                  </w:pPr>
                  <w:r>
                    <w:rPr>
                      <w:bCs/>
                      <w:color w:val="auto"/>
                      <w:sz w:val="20"/>
                      <w:szCs w:val="20"/>
                      <w:highlight w:val="none"/>
                    </w:rPr>
                    <w:t>符合</w:t>
                  </w:r>
                </w:p>
              </w:tc>
            </w:tr>
            <w:tr w14:paraId="094AE5D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592AB426">
                  <w:pPr>
                    <w:adjustRightInd w:val="0"/>
                    <w:snapToGrid w:val="0"/>
                    <w:ind w:left="-10" w:leftChars="-5" w:right="-10" w:rightChars="-5"/>
                    <w:jc w:val="center"/>
                    <w:rPr>
                      <w:color w:val="auto"/>
                      <w:sz w:val="20"/>
                      <w:szCs w:val="20"/>
                      <w:highlight w:val="none"/>
                    </w:rPr>
                  </w:pPr>
                </w:p>
              </w:tc>
              <w:tc>
                <w:tcPr>
                  <w:tcW w:w="278" w:type="pct"/>
                  <w:vMerge w:val="continue"/>
                  <w:vAlign w:val="center"/>
                </w:tcPr>
                <w:p w14:paraId="192DB7E4">
                  <w:pPr>
                    <w:adjustRightInd w:val="0"/>
                    <w:snapToGrid w:val="0"/>
                    <w:ind w:left="-10" w:leftChars="-5" w:right="-10" w:rightChars="-5"/>
                    <w:jc w:val="center"/>
                    <w:rPr>
                      <w:bCs/>
                      <w:color w:val="auto"/>
                      <w:sz w:val="20"/>
                      <w:szCs w:val="20"/>
                      <w:highlight w:val="none"/>
                    </w:rPr>
                  </w:pPr>
                </w:p>
              </w:tc>
              <w:tc>
                <w:tcPr>
                  <w:tcW w:w="2735" w:type="pct"/>
                  <w:vAlign w:val="center"/>
                </w:tcPr>
                <w:p w14:paraId="759DF6DD">
                  <w:pPr>
                    <w:adjustRightInd w:val="0"/>
                    <w:snapToGrid w:val="0"/>
                    <w:ind w:left="-10" w:leftChars="-5" w:right="-10" w:rightChars="-5"/>
                    <w:jc w:val="left"/>
                    <w:rPr>
                      <w:bCs/>
                      <w:color w:val="auto"/>
                      <w:sz w:val="20"/>
                      <w:szCs w:val="20"/>
                      <w:highlight w:val="none"/>
                    </w:rPr>
                  </w:pPr>
                  <w:r>
                    <w:rPr>
                      <w:rFonts w:hint="eastAsia"/>
                      <w:bCs/>
                      <w:color w:val="auto"/>
                      <w:sz w:val="20"/>
                      <w:szCs w:val="20"/>
                      <w:highlight w:val="none"/>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1215" w:type="pct"/>
                  <w:vAlign w:val="center"/>
                </w:tcPr>
                <w:p w14:paraId="77729E28">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项目冷却水循环利用。</w:t>
                  </w:r>
                </w:p>
              </w:tc>
              <w:tc>
                <w:tcPr>
                  <w:tcW w:w="269" w:type="pct"/>
                  <w:vAlign w:val="center"/>
                </w:tcPr>
                <w:p w14:paraId="63916689">
                  <w:pPr>
                    <w:adjustRightInd w:val="0"/>
                    <w:snapToGrid w:val="0"/>
                    <w:ind w:left="-10" w:leftChars="-5" w:right="-10" w:rightChars="-5"/>
                    <w:jc w:val="center"/>
                    <w:rPr>
                      <w:bCs/>
                      <w:color w:val="auto"/>
                      <w:sz w:val="20"/>
                      <w:szCs w:val="20"/>
                      <w:highlight w:val="none"/>
                    </w:rPr>
                  </w:pPr>
                  <w:r>
                    <w:rPr>
                      <w:bCs/>
                      <w:color w:val="auto"/>
                      <w:sz w:val="20"/>
                      <w:szCs w:val="20"/>
                      <w:highlight w:val="none"/>
                    </w:rPr>
                    <w:t>符合</w:t>
                  </w:r>
                </w:p>
              </w:tc>
            </w:tr>
            <w:tr w14:paraId="62E91A2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36974AE1">
                  <w:pPr>
                    <w:adjustRightInd w:val="0"/>
                    <w:snapToGrid w:val="0"/>
                    <w:ind w:left="-10" w:leftChars="-5" w:right="-10" w:rightChars="-5"/>
                    <w:jc w:val="center"/>
                    <w:rPr>
                      <w:color w:val="auto"/>
                      <w:sz w:val="20"/>
                      <w:szCs w:val="20"/>
                      <w:highlight w:val="none"/>
                    </w:rPr>
                  </w:pPr>
                </w:p>
              </w:tc>
              <w:tc>
                <w:tcPr>
                  <w:tcW w:w="278" w:type="pct"/>
                  <w:vMerge w:val="continue"/>
                  <w:vAlign w:val="center"/>
                </w:tcPr>
                <w:p w14:paraId="6BCE5E91">
                  <w:pPr>
                    <w:adjustRightInd w:val="0"/>
                    <w:snapToGrid w:val="0"/>
                    <w:ind w:left="-10" w:leftChars="-5" w:right="-10" w:rightChars="-5"/>
                    <w:jc w:val="center"/>
                    <w:rPr>
                      <w:bCs/>
                      <w:color w:val="auto"/>
                      <w:sz w:val="20"/>
                      <w:szCs w:val="20"/>
                      <w:highlight w:val="none"/>
                    </w:rPr>
                  </w:pPr>
                </w:p>
              </w:tc>
              <w:tc>
                <w:tcPr>
                  <w:tcW w:w="2735" w:type="pct"/>
                  <w:vAlign w:val="center"/>
                </w:tcPr>
                <w:p w14:paraId="15FF81C8">
                  <w:pPr>
                    <w:adjustRightInd w:val="0"/>
                    <w:snapToGrid w:val="0"/>
                    <w:ind w:left="-10" w:leftChars="-5" w:right="-10" w:rightChars="-5"/>
                    <w:jc w:val="left"/>
                    <w:rPr>
                      <w:bCs/>
                      <w:color w:val="auto"/>
                      <w:sz w:val="20"/>
                      <w:szCs w:val="20"/>
                      <w:highlight w:val="none"/>
                    </w:rPr>
                  </w:pPr>
                  <w:r>
                    <w:rPr>
                      <w:rFonts w:hint="eastAsia"/>
                      <w:bCs/>
                      <w:color w:val="auto"/>
                      <w:sz w:val="20"/>
                      <w:szCs w:val="20"/>
                      <w:highlight w:val="none"/>
                    </w:rP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1215" w:type="pct"/>
                  <w:vAlign w:val="center"/>
                </w:tcPr>
                <w:p w14:paraId="0E47774E">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不涉及</w:t>
                  </w:r>
                </w:p>
              </w:tc>
              <w:tc>
                <w:tcPr>
                  <w:tcW w:w="269" w:type="pct"/>
                  <w:vAlign w:val="center"/>
                </w:tcPr>
                <w:p w14:paraId="73925E21">
                  <w:pPr>
                    <w:adjustRightInd w:val="0"/>
                    <w:snapToGrid w:val="0"/>
                    <w:ind w:left="-10" w:leftChars="-5" w:right="-10" w:rightChars="-5"/>
                    <w:jc w:val="center"/>
                    <w:rPr>
                      <w:bCs/>
                      <w:color w:val="auto"/>
                      <w:sz w:val="20"/>
                      <w:szCs w:val="20"/>
                      <w:highlight w:val="none"/>
                    </w:rPr>
                  </w:pPr>
                  <w:r>
                    <w:rPr>
                      <w:rFonts w:hint="eastAsia"/>
                      <w:bCs/>
                      <w:color w:val="auto"/>
                      <w:sz w:val="20"/>
                      <w:szCs w:val="20"/>
                      <w:highlight w:val="none"/>
                    </w:rPr>
                    <w:t>/</w:t>
                  </w:r>
                </w:p>
              </w:tc>
            </w:tr>
            <w:tr w14:paraId="62D965A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restart"/>
                  <w:vAlign w:val="center"/>
                </w:tcPr>
                <w:p w14:paraId="4F008344">
                  <w:pPr>
                    <w:adjustRightInd w:val="0"/>
                    <w:snapToGrid w:val="0"/>
                    <w:ind w:left="-10" w:leftChars="-5" w:right="-10" w:rightChars="-5"/>
                    <w:jc w:val="center"/>
                    <w:rPr>
                      <w:color w:val="auto"/>
                      <w:sz w:val="20"/>
                      <w:szCs w:val="20"/>
                      <w:highlight w:val="none"/>
                    </w:rPr>
                  </w:pPr>
                  <w:r>
                    <w:rPr>
                      <w:rFonts w:hint="eastAsia"/>
                      <w:color w:val="auto"/>
                      <w:sz w:val="20"/>
                      <w:szCs w:val="20"/>
                      <w:highlight w:val="none"/>
                    </w:rPr>
                    <w:t>合川</w:t>
                  </w:r>
                  <w:r>
                    <w:rPr>
                      <w:color w:val="auto"/>
                      <w:sz w:val="20"/>
                      <w:szCs w:val="20"/>
                      <w:highlight w:val="none"/>
                    </w:rPr>
                    <w:t>区总体管控要求</w:t>
                  </w:r>
                </w:p>
              </w:tc>
              <w:tc>
                <w:tcPr>
                  <w:tcW w:w="278" w:type="pct"/>
                  <w:vMerge w:val="restart"/>
                  <w:vAlign w:val="center"/>
                </w:tcPr>
                <w:p w14:paraId="5C035450">
                  <w:pPr>
                    <w:adjustRightInd w:val="0"/>
                    <w:snapToGrid w:val="0"/>
                    <w:ind w:left="-10" w:leftChars="-5" w:right="-10" w:rightChars="-5"/>
                    <w:jc w:val="center"/>
                    <w:rPr>
                      <w:color w:val="auto"/>
                      <w:sz w:val="20"/>
                      <w:szCs w:val="20"/>
                      <w:highlight w:val="none"/>
                    </w:rPr>
                  </w:pPr>
                  <w:r>
                    <w:rPr>
                      <w:color w:val="auto"/>
                      <w:sz w:val="20"/>
                      <w:szCs w:val="20"/>
                      <w:highlight w:val="none"/>
                    </w:rPr>
                    <w:t>空间布局约束</w:t>
                  </w:r>
                </w:p>
              </w:tc>
              <w:tc>
                <w:tcPr>
                  <w:tcW w:w="2735" w:type="pct"/>
                  <w:vAlign w:val="center"/>
                </w:tcPr>
                <w:p w14:paraId="77DCDCFE">
                  <w:pPr>
                    <w:adjustRightInd w:val="0"/>
                    <w:snapToGrid w:val="0"/>
                    <w:ind w:left="-10" w:leftChars="-5" w:right="-10" w:rightChars="-5"/>
                    <w:rPr>
                      <w:color w:val="auto"/>
                      <w:sz w:val="20"/>
                      <w:szCs w:val="20"/>
                      <w:highlight w:val="none"/>
                    </w:rPr>
                  </w:pPr>
                  <w:r>
                    <w:rPr>
                      <w:color w:val="auto"/>
                      <w:sz w:val="20"/>
                      <w:szCs w:val="20"/>
                      <w:highlight w:val="none"/>
                    </w:rPr>
                    <w:t>第一条 执行重点管控单元市级总体要求第一条、第二条、第三条、第四条、第五条、第六条和第七条</w:t>
                  </w:r>
                </w:p>
              </w:tc>
              <w:tc>
                <w:tcPr>
                  <w:tcW w:w="1215" w:type="pct"/>
                  <w:vAlign w:val="center"/>
                </w:tcPr>
                <w:p w14:paraId="3290ADD3">
                  <w:pPr>
                    <w:adjustRightInd w:val="0"/>
                    <w:snapToGrid w:val="0"/>
                    <w:jc w:val="center"/>
                    <w:rPr>
                      <w:color w:val="auto"/>
                      <w:sz w:val="20"/>
                      <w:szCs w:val="20"/>
                      <w:highlight w:val="none"/>
                    </w:rPr>
                  </w:pPr>
                  <w:r>
                    <w:rPr>
                      <w:rFonts w:hint="eastAsia"/>
                      <w:color w:val="auto"/>
                      <w:sz w:val="20"/>
                      <w:szCs w:val="20"/>
                      <w:highlight w:val="none"/>
                    </w:rPr>
                    <w:t>项目</w:t>
                  </w:r>
                  <w:r>
                    <w:rPr>
                      <w:color w:val="auto"/>
                      <w:sz w:val="20"/>
                      <w:szCs w:val="20"/>
                      <w:highlight w:val="none"/>
                    </w:rPr>
                    <w:t>符合市级空间布局约束要求</w:t>
                  </w:r>
                  <w:r>
                    <w:rPr>
                      <w:rFonts w:hint="eastAsia"/>
                      <w:color w:val="auto"/>
                      <w:sz w:val="20"/>
                      <w:szCs w:val="20"/>
                      <w:highlight w:val="none"/>
                    </w:rPr>
                    <w:t>。</w:t>
                  </w:r>
                </w:p>
              </w:tc>
              <w:tc>
                <w:tcPr>
                  <w:tcW w:w="269" w:type="pct"/>
                  <w:vAlign w:val="center"/>
                </w:tcPr>
                <w:p w14:paraId="2DFA8020">
                  <w:pPr>
                    <w:autoSpaceDE w:val="0"/>
                    <w:autoSpaceDN w:val="0"/>
                    <w:adjustRightInd w:val="0"/>
                    <w:snapToGrid w:val="0"/>
                    <w:ind w:left="-10" w:leftChars="-5" w:right="-10" w:rightChars="-5"/>
                    <w:jc w:val="center"/>
                    <w:rPr>
                      <w:color w:val="auto"/>
                      <w:sz w:val="20"/>
                      <w:szCs w:val="20"/>
                      <w:highlight w:val="none"/>
                    </w:rPr>
                  </w:pPr>
                  <w:r>
                    <w:rPr>
                      <w:color w:val="auto"/>
                      <w:sz w:val="20"/>
                      <w:szCs w:val="20"/>
                      <w:highlight w:val="none"/>
                    </w:rPr>
                    <w:t>符合</w:t>
                  </w:r>
                </w:p>
              </w:tc>
            </w:tr>
            <w:tr w14:paraId="763A296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54A72A07">
                  <w:pPr>
                    <w:adjustRightInd w:val="0"/>
                    <w:snapToGrid w:val="0"/>
                    <w:ind w:left="-10" w:leftChars="-5" w:right="-10" w:rightChars="-5"/>
                    <w:jc w:val="center"/>
                    <w:rPr>
                      <w:color w:val="auto"/>
                      <w:sz w:val="20"/>
                      <w:szCs w:val="20"/>
                      <w:highlight w:val="none"/>
                    </w:rPr>
                  </w:pPr>
                </w:p>
              </w:tc>
              <w:tc>
                <w:tcPr>
                  <w:tcW w:w="278" w:type="pct"/>
                  <w:vMerge w:val="continue"/>
                  <w:vAlign w:val="center"/>
                </w:tcPr>
                <w:p w14:paraId="3D1C00FB">
                  <w:pPr>
                    <w:adjustRightInd w:val="0"/>
                    <w:snapToGrid w:val="0"/>
                    <w:ind w:left="-10" w:leftChars="-5" w:right="-10" w:rightChars="-5"/>
                    <w:jc w:val="center"/>
                    <w:rPr>
                      <w:color w:val="auto"/>
                      <w:sz w:val="20"/>
                      <w:szCs w:val="20"/>
                      <w:highlight w:val="none"/>
                    </w:rPr>
                  </w:pPr>
                </w:p>
              </w:tc>
              <w:tc>
                <w:tcPr>
                  <w:tcW w:w="2735" w:type="pct"/>
                  <w:vAlign w:val="center"/>
                </w:tcPr>
                <w:p w14:paraId="0A45191F">
                  <w:pPr>
                    <w:adjustRightInd w:val="0"/>
                    <w:snapToGrid w:val="0"/>
                    <w:ind w:left="-10" w:leftChars="-5" w:right="-10" w:rightChars="-5"/>
                    <w:rPr>
                      <w:color w:val="auto"/>
                      <w:sz w:val="20"/>
                      <w:szCs w:val="20"/>
                      <w:highlight w:val="none"/>
                    </w:rPr>
                  </w:pPr>
                  <w:r>
                    <w:rPr>
                      <w:color w:val="auto"/>
                      <w:sz w:val="20"/>
                      <w:szCs w:val="20"/>
                      <w:highlight w:val="none"/>
                    </w:rPr>
                    <w:t>第二条 嘉陵江岸线1公里范围内限制布局新建纸浆制造、印染等存在环境风险的项目。</w:t>
                  </w:r>
                </w:p>
              </w:tc>
              <w:tc>
                <w:tcPr>
                  <w:tcW w:w="1215" w:type="pct"/>
                  <w:vAlign w:val="center"/>
                </w:tcPr>
                <w:p w14:paraId="5B8C869E">
                  <w:pPr>
                    <w:adjustRightInd w:val="0"/>
                    <w:snapToGrid w:val="0"/>
                    <w:ind w:left="-10" w:leftChars="-5" w:right="-10" w:rightChars="-5"/>
                    <w:jc w:val="center"/>
                    <w:rPr>
                      <w:color w:val="auto"/>
                      <w:sz w:val="20"/>
                      <w:szCs w:val="20"/>
                      <w:highlight w:val="none"/>
                    </w:rPr>
                  </w:pPr>
                  <w:r>
                    <w:rPr>
                      <w:color w:val="auto"/>
                      <w:sz w:val="20"/>
                      <w:szCs w:val="20"/>
                      <w:highlight w:val="none"/>
                    </w:rPr>
                    <w:t>项目距离嘉陵江</w:t>
                  </w:r>
                  <w:r>
                    <w:rPr>
                      <w:rFonts w:hint="eastAsia"/>
                      <w:color w:val="auto"/>
                      <w:sz w:val="20"/>
                      <w:szCs w:val="20"/>
                      <w:highlight w:val="none"/>
                    </w:rPr>
                    <w:t>约6</w:t>
                  </w:r>
                  <w:r>
                    <w:rPr>
                      <w:color w:val="auto"/>
                      <w:sz w:val="20"/>
                      <w:szCs w:val="20"/>
                      <w:highlight w:val="none"/>
                    </w:rPr>
                    <w:t>公里</w:t>
                  </w:r>
                  <w:r>
                    <w:rPr>
                      <w:rFonts w:hint="eastAsia"/>
                      <w:color w:val="auto"/>
                      <w:sz w:val="20"/>
                      <w:szCs w:val="20"/>
                      <w:highlight w:val="none"/>
                    </w:rPr>
                    <w:t>，且不属于左述限制行业。</w:t>
                  </w:r>
                </w:p>
              </w:tc>
              <w:tc>
                <w:tcPr>
                  <w:tcW w:w="269" w:type="pct"/>
                  <w:vAlign w:val="center"/>
                </w:tcPr>
                <w:p w14:paraId="45CE5A26">
                  <w:pPr>
                    <w:autoSpaceDE w:val="0"/>
                    <w:autoSpaceDN w:val="0"/>
                    <w:adjustRightInd w:val="0"/>
                    <w:snapToGrid w:val="0"/>
                    <w:ind w:left="-10" w:leftChars="-5" w:right="-10" w:rightChars="-5"/>
                    <w:jc w:val="center"/>
                    <w:rPr>
                      <w:color w:val="auto"/>
                      <w:sz w:val="20"/>
                      <w:szCs w:val="20"/>
                      <w:highlight w:val="none"/>
                    </w:rPr>
                  </w:pPr>
                  <w:r>
                    <w:rPr>
                      <w:rFonts w:hint="eastAsia"/>
                      <w:color w:val="auto"/>
                      <w:sz w:val="20"/>
                      <w:szCs w:val="20"/>
                      <w:highlight w:val="none"/>
                    </w:rPr>
                    <w:t>符合</w:t>
                  </w:r>
                </w:p>
              </w:tc>
            </w:tr>
            <w:tr w14:paraId="2F9CD5E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21942034">
                  <w:pPr>
                    <w:adjustRightInd w:val="0"/>
                    <w:snapToGrid w:val="0"/>
                    <w:ind w:left="-10" w:leftChars="-5" w:right="-10" w:rightChars="-5"/>
                    <w:jc w:val="center"/>
                    <w:rPr>
                      <w:color w:val="auto"/>
                      <w:sz w:val="20"/>
                      <w:szCs w:val="20"/>
                      <w:highlight w:val="none"/>
                    </w:rPr>
                  </w:pPr>
                </w:p>
              </w:tc>
              <w:tc>
                <w:tcPr>
                  <w:tcW w:w="278" w:type="pct"/>
                  <w:vMerge w:val="restart"/>
                  <w:vAlign w:val="center"/>
                </w:tcPr>
                <w:p w14:paraId="585233FA">
                  <w:pPr>
                    <w:adjustRightInd w:val="0"/>
                    <w:snapToGrid w:val="0"/>
                    <w:ind w:left="-10" w:leftChars="-5" w:right="-10" w:rightChars="-5"/>
                    <w:jc w:val="center"/>
                    <w:rPr>
                      <w:color w:val="auto"/>
                      <w:sz w:val="20"/>
                      <w:szCs w:val="20"/>
                      <w:highlight w:val="none"/>
                    </w:rPr>
                  </w:pPr>
                  <w:r>
                    <w:rPr>
                      <w:rFonts w:hint="eastAsia"/>
                      <w:color w:val="auto"/>
                      <w:sz w:val="20"/>
                      <w:szCs w:val="20"/>
                      <w:highlight w:val="none"/>
                      <w:shd w:val="clear" w:fill="FFFFFF"/>
                    </w:rPr>
                    <w:t>污染物排放控制</w:t>
                  </w:r>
                </w:p>
              </w:tc>
              <w:tc>
                <w:tcPr>
                  <w:tcW w:w="2735" w:type="pct"/>
                  <w:vAlign w:val="center"/>
                </w:tcPr>
                <w:p w14:paraId="6D608F74">
                  <w:pPr>
                    <w:adjustRightInd w:val="0"/>
                    <w:snapToGrid w:val="0"/>
                    <w:ind w:left="-10" w:leftChars="-5" w:right="-10" w:rightChars="-5"/>
                    <w:rPr>
                      <w:color w:val="auto"/>
                      <w:sz w:val="20"/>
                      <w:szCs w:val="20"/>
                      <w:highlight w:val="none"/>
                    </w:rPr>
                  </w:pPr>
                  <w:r>
                    <w:rPr>
                      <w:color w:val="auto"/>
                      <w:sz w:val="20"/>
                      <w:szCs w:val="20"/>
                      <w:highlight w:val="none"/>
                    </w:rPr>
                    <w:t>第三条 执行重点管控单元市级总体要求第八条、第九条、第十条、第十一条、第十二条、第十三条、第十四条和第十五条</w:t>
                  </w:r>
                </w:p>
              </w:tc>
              <w:tc>
                <w:tcPr>
                  <w:tcW w:w="1215" w:type="pct"/>
                  <w:vAlign w:val="center"/>
                </w:tcPr>
                <w:p w14:paraId="19D9DAA6">
                  <w:pPr>
                    <w:adjustRightInd w:val="0"/>
                    <w:snapToGrid w:val="0"/>
                    <w:ind w:left="-10" w:leftChars="-5" w:right="-10" w:rightChars="-5"/>
                    <w:jc w:val="center"/>
                    <w:rPr>
                      <w:color w:val="auto"/>
                      <w:sz w:val="20"/>
                      <w:szCs w:val="20"/>
                      <w:highlight w:val="none"/>
                    </w:rPr>
                  </w:pPr>
                  <w:r>
                    <w:rPr>
                      <w:color w:val="auto"/>
                      <w:sz w:val="20"/>
                      <w:szCs w:val="20"/>
                      <w:highlight w:val="none"/>
                    </w:rPr>
                    <w:t>符合市级</w:t>
                  </w:r>
                  <w:r>
                    <w:rPr>
                      <w:color w:val="auto"/>
                      <w:sz w:val="20"/>
                      <w:szCs w:val="20"/>
                      <w:highlight w:val="none"/>
                      <w:shd w:val="clear" w:fill="FFFFFF"/>
                    </w:rPr>
                    <w:t>污染物排放控制</w:t>
                  </w:r>
                  <w:r>
                    <w:rPr>
                      <w:color w:val="auto"/>
                      <w:sz w:val="20"/>
                      <w:szCs w:val="20"/>
                      <w:highlight w:val="none"/>
                    </w:rPr>
                    <w:t>要求</w:t>
                  </w:r>
                </w:p>
              </w:tc>
              <w:tc>
                <w:tcPr>
                  <w:tcW w:w="269" w:type="pct"/>
                  <w:vAlign w:val="center"/>
                </w:tcPr>
                <w:p w14:paraId="2FC92957">
                  <w:pPr>
                    <w:autoSpaceDE w:val="0"/>
                    <w:autoSpaceDN w:val="0"/>
                    <w:adjustRightInd w:val="0"/>
                    <w:snapToGrid w:val="0"/>
                    <w:ind w:left="-10" w:leftChars="-5" w:right="-10" w:rightChars="-5"/>
                    <w:jc w:val="center"/>
                    <w:rPr>
                      <w:color w:val="auto"/>
                      <w:sz w:val="20"/>
                      <w:szCs w:val="20"/>
                      <w:highlight w:val="none"/>
                    </w:rPr>
                  </w:pPr>
                  <w:r>
                    <w:rPr>
                      <w:rFonts w:hint="eastAsia"/>
                      <w:color w:val="auto"/>
                      <w:sz w:val="20"/>
                      <w:szCs w:val="20"/>
                      <w:highlight w:val="none"/>
                    </w:rPr>
                    <w:t>符合</w:t>
                  </w:r>
                </w:p>
              </w:tc>
            </w:tr>
            <w:tr w14:paraId="44AD197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0DE9ACC5">
                  <w:pPr>
                    <w:adjustRightInd w:val="0"/>
                    <w:snapToGrid w:val="0"/>
                    <w:ind w:left="-10" w:leftChars="-5" w:right="-10" w:rightChars="-5"/>
                    <w:jc w:val="center"/>
                    <w:rPr>
                      <w:color w:val="auto"/>
                      <w:sz w:val="20"/>
                      <w:szCs w:val="20"/>
                      <w:highlight w:val="none"/>
                    </w:rPr>
                  </w:pPr>
                </w:p>
              </w:tc>
              <w:tc>
                <w:tcPr>
                  <w:tcW w:w="278" w:type="pct"/>
                  <w:vMerge w:val="continue"/>
                  <w:vAlign w:val="center"/>
                </w:tcPr>
                <w:p w14:paraId="3F808373">
                  <w:pPr>
                    <w:adjustRightInd w:val="0"/>
                    <w:snapToGrid w:val="0"/>
                    <w:ind w:left="-10" w:leftChars="-5" w:right="-10" w:rightChars="-5"/>
                    <w:jc w:val="center"/>
                    <w:rPr>
                      <w:color w:val="auto"/>
                      <w:sz w:val="20"/>
                      <w:szCs w:val="20"/>
                      <w:highlight w:val="none"/>
                    </w:rPr>
                  </w:pPr>
                </w:p>
              </w:tc>
              <w:tc>
                <w:tcPr>
                  <w:tcW w:w="2735" w:type="pct"/>
                  <w:vAlign w:val="center"/>
                </w:tcPr>
                <w:p w14:paraId="3B9580F4">
                  <w:pPr>
                    <w:adjustRightInd w:val="0"/>
                    <w:snapToGrid w:val="0"/>
                    <w:ind w:left="-10" w:leftChars="-5" w:right="-10" w:rightChars="-5"/>
                    <w:rPr>
                      <w:color w:val="auto"/>
                      <w:sz w:val="20"/>
                      <w:szCs w:val="20"/>
                      <w:highlight w:val="none"/>
                    </w:rPr>
                  </w:pPr>
                  <w:r>
                    <w:rPr>
                      <w:color w:val="auto"/>
                      <w:sz w:val="20"/>
                      <w:szCs w:val="20"/>
                      <w:highlight w:val="none"/>
                    </w:rPr>
                    <w:t>第四条 持续推进农村人居环境整治，巩固拓展农村厕所革命成果，引导农村新建住房配套建设卫生厕所，推进</w:t>
                  </w:r>
                  <w:bookmarkStart w:id="13" w:name="hmcheck_904f484c2b8b4a77a9b89e2e7717619f"/>
                  <w:r>
                    <w:rPr>
                      <w:color w:val="auto"/>
                      <w:sz w:val="20"/>
                      <w:szCs w:val="20"/>
                      <w:highlight w:val="none"/>
                      <w:shd w:val="clear" w:fill="FFAFAA"/>
                    </w:rPr>
                    <w:t>人口规模较大</w:t>
                  </w:r>
                  <w:bookmarkEnd w:id="13"/>
                  <w:r>
                    <w:rPr>
                      <w:color w:val="auto"/>
                      <w:sz w:val="20"/>
                      <w:szCs w:val="20"/>
                      <w:highlight w:val="none"/>
                    </w:rPr>
                    <w:t>村庄配套建设公共厕所；强化畜禽粪污资源化利用，加强散养畜禽管理；推进农药化肥减量增效；加强水产养殖污染专项治理，在养殖区内新建、改扩建水产专用养殖场（池）应配套建设养殖尾水治理设施，实现养殖尾水达标排放、循环使用或资源化利用</w:t>
                  </w:r>
                </w:p>
              </w:tc>
              <w:tc>
                <w:tcPr>
                  <w:tcW w:w="1215" w:type="pct"/>
                  <w:vAlign w:val="center"/>
                </w:tcPr>
                <w:p w14:paraId="0391A309">
                  <w:pPr>
                    <w:adjustRightInd w:val="0"/>
                    <w:snapToGrid w:val="0"/>
                    <w:ind w:left="-10" w:leftChars="-5" w:right="-10" w:rightChars="-5"/>
                    <w:jc w:val="center"/>
                    <w:rPr>
                      <w:color w:val="auto"/>
                      <w:sz w:val="20"/>
                      <w:szCs w:val="20"/>
                      <w:highlight w:val="none"/>
                    </w:rPr>
                  </w:pPr>
                  <w:r>
                    <w:rPr>
                      <w:rFonts w:hint="eastAsia"/>
                      <w:color w:val="auto"/>
                      <w:sz w:val="20"/>
                      <w:szCs w:val="20"/>
                      <w:highlight w:val="none"/>
                    </w:rPr>
                    <w:t>不涉及</w:t>
                  </w:r>
                </w:p>
              </w:tc>
              <w:tc>
                <w:tcPr>
                  <w:tcW w:w="269" w:type="pct"/>
                  <w:vAlign w:val="center"/>
                </w:tcPr>
                <w:p w14:paraId="15758B40">
                  <w:pPr>
                    <w:autoSpaceDE w:val="0"/>
                    <w:autoSpaceDN w:val="0"/>
                    <w:adjustRightInd w:val="0"/>
                    <w:snapToGrid w:val="0"/>
                    <w:ind w:left="-10" w:leftChars="-5" w:right="-10" w:rightChars="-5"/>
                    <w:jc w:val="center"/>
                    <w:rPr>
                      <w:color w:val="auto"/>
                      <w:sz w:val="20"/>
                      <w:szCs w:val="20"/>
                      <w:highlight w:val="none"/>
                    </w:rPr>
                  </w:pPr>
                  <w:r>
                    <w:rPr>
                      <w:rFonts w:hint="eastAsia"/>
                      <w:color w:val="auto"/>
                      <w:sz w:val="20"/>
                      <w:szCs w:val="20"/>
                      <w:highlight w:val="none"/>
                    </w:rPr>
                    <w:t>/</w:t>
                  </w:r>
                </w:p>
              </w:tc>
            </w:tr>
            <w:tr w14:paraId="228A865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6936289B">
                  <w:pPr>
                    <w:adjustRightInd w:val="0"/>
                    <w:snapToGrid w:val="0"/>
                    <w:ind w:left="-10" w:leftChars="-5" w:right="-10" w:rightChars="-5"/>
                    <w:jc w:val="center"/>
                    <w:rPr>
                      <w:color w:val="auto"/>
                      <w:sz w:val="20"/>
                      <w:szCs w:val="20"/>
                      <w:highlight w:val="none"/>
                    </w:rPr>
                  </w:pPr>
                </w:p>
              </w:tc>
              <w:tc>
                <w:tcPr>
                  <w:tcW w:w="278" w:type="pct"/>
                  <w:vMerge w:val="continue"/>
                  <w:vAlign w:val="center"/>
                </w:tcPr>
                <w:p w14:paraId="2A377B1B">
                  <w:pPr>
                    <w:adjustRightInd w:val="0"/>
                    <w:snapToGrid w:val="0"/>
                    <w:ind w:left="-10" w:leftChars="-5" w:right="-10" w:rightChars="-5"/>
                    <w:jc w:val="center"/>
                    <w:rPr>
                      <w:color w:val="auto"/>
                      <w:sz w:val="20"/>
                      <w:szCs w:val="20"/>
                      <w:highlight w:val="none"/>
                    </w:rPr>
                  </w:pPr>
                </w:p>
              </w:tc>
              <w:tc>
                <w:tcPr>
                  <w:tcW w:w="2735" w:type="pct"/>
                  <w:vAlign w:val="center"/>
                </w:tcPr>
                <w:p w14:paraId="02EA058E">
                  <w:pPr>
                    <w:adjustRightInd w:val="0"/>
                    <w:snapToGrid w:val="0"/>
                    <w:ind w:left="-10" w:leftChars="-5" w:right="-10" w:rightChars="-5"/>
                    <w:rPr>
                      <w:color w:val="auto"/>
                      <w:sz w:val="20"/>
                      <w:szCs w:val="20"/>
                      <w:highlight w:val="none"/>
                    </w:rPr>
                  </w:pPr>
                  <w:r>
                    <w:rPr>
                      <w:color w:val="auto"/>
                      <w:sz w:val="20"/>
                      <w:szCs w:val="20"/>
                      <w:highlight w:val="none"/>
                    </w:rPr>
                    <w:t>第五条 持续推进水泥等高排放重点管控企业超低排放改造；加大新型干法水泥窑、玻璃行业废气深度治理力度， 深化烧结砖瓦窑生产企业深度治理，推进烧结砖瓦窑脱硫脱硝除尘改造；新建燃煤机组实施超低排放；燃气锅炉实施低氮改造。</w:t>
                  </w:r>
                </w:p>
              </w:tc>
              <w:tc>
                <w:tcPr>
                  <w:tcW w:w="1215" w:type="pct"/>
                  <w:vAlign w:val="center"/>
                </w:tcPr>
                <w:p w14:paraId="6D760A47">
                  <w:pPr>
                    <w:adjustRightInd w:val="0"/>
                    <w:snapToGrid w:val="0"/>
                    <w:ind w:left="-10" w:leftChars="-5" w:right="-10" w:rightChars="-5"/>
                    <w:jc w:val="center"/>
                    <w:rPr>
                      <w:color w:val="auto"/>
                      <w:sz w:val="20"/>
                      <w:szCs w:val="20"/>
                      <w:highlight w:val="none"/>
                    </w:rPr>
                  </w:pPr>
                  <w:r>
                    <w:rPr>
                      <w:rFonts w:hint="eastAsia"/>
                      <w:color w:val="auto"/>
                      <w:sz w:val="20"/>
                      <w:szCs w:val="20"/>
                      <w:highlight w:val="none"/>
                    </w:rPr>
                    <w:t>不涉及</w:t>
                  </w:r>
                </w:p>
              </w:tc>
              <w:tc>
                <w:tcPr>
                  <w:tcW w:w="269" w:type="pct"/>
                  <w:vAlign w:val="center"/>
                </w:tcPr>
                <w:p w14:paraId="60989050">
                  <w:pPr>
                    <w:autoSpaceDE w:val="0"/>
                    <w:autoSpaceDN w:val="0"/>
                    <w:adjustRightInd w:val="0"/>
                    <w:snapToGrid w:val="0"/>
                    <w:ind w:left="-10" w:leftChars="-5" w:right="-10" w:rightChars="-5"/>
                    <w:jc w:val="center"/>
                    <w:rPr>
                      <w:color w:val="auto"/>
                      <w:sz w:val="20"/>
                      <w:szCs w:val="20"/>
                      <w:highlight w:val="none"/>
                    </w:rPr>
                  </w:pPr>
                  <w:r>
                    <w:rPr>
                      <w:rFonts w:hint="eastAsia"/>
                      <w:color w:val="auto"/>
                      <w:sz w:val="20"/>
                      <w:szCs w:val="20"/>
                      <w:highlight w:val="none"/>
                    </w:rPr>
                    <w:t>/</w:t>
                  </w:r>
                </w:p>
              </w:tc>
            </w:tr>
            <w:tr w14:paraId="789BF84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692763B1">
                  <w:pPr>
                    <w:adjustRightInd w:val="0"/>
                    <w:snapToGrid w:val="0"/>
                    <w:ind w:left="-10" w:leftChars="-5" w:right="-10" w:rightChars="-5"/>
                    <w:jc w:val="center"/>
                    <w:rPr>
                      <w:color w:val="auto"/>
                      <w:sz w:val="20"/>
                      <w:szCs w:val="20"/>
                      <w:highlight w:val="none"/>
                    </w:rPr>
                  </w:pPr>
                </w:p>
              </w:tc>
              <w:tc>
                <w:tcPr>
                  <w:tcW w:w="278" w:type="pct"/>
                  <w:vMerge w:val="continue"/>
                  <w:vAlign w:val="center"/>
                </w:tcPr>
                <w:p w14:paraId="7829C4EA">
                  <w:pPr>
                    <w:adjustRightInd w:val="0"/>
                    <w:snapToGrid w:val="0"/>
                    <w:ind w:left="-10" w:leftChars="-5" w:right="-10" w:rightChars="-5"/>
                    <w:jc w:val="center"/>
                    <w:rPr>
                      <w:color w:val="auto"/>
                      <w:sz w:val="20"/>
                      <w:szCs w:val="20"/>
                      <w:highlight w:val="none"/>
                    </w:rPr>
                  </w:pPr>
                </w:p>
              </w:tc>
              <w:tc>
                <w:tcPr>
                  <w:tcW w:w="2735" w:type="pct"/>
                  <w:vAlign w:val="center"/>
                </w:tcPr>
                <w:p w14:paraId="1FC41B78">
                  <w:pPr>
                    <w:adjustRightInd w:val="0"/>
                    <w:snapToGrid w:val="0"/>
                    <w:ind w:left="-10" w:leftChars="-5" w:right="-10" w:rightChars="-5"/>
                    <w:rPr>
                      <w:color w:val="auto"/>
                      <w:sz w:val="20"/>
                      <w:szCs w:val="20"/>
                      <w:highlight w:val="none"/>
                    </w:rPr>
                  </w:pPr>
                  <w:r>
                    <w:rPr>
                      <w:color w:val="auto"/>
                      <w:sz w:val="20"/>
                      <w:szCs w:val="20"/>
                      <w:highlight w:val="none"/>
                    </w:rPr>
                    <w:t>第六条 严格施工扬尘管理，建筑面积8万平方米以上工地全部安装扬尘在线监测系统并联网。加强道路扬尘控制，强化运渣车辆冒装撒漏监管。推进混凝土搅拌站和非煤矿山物料储运系统密闭化改造。</w:t>
                  </w:r>
                </w:p>
              </w:tc>
              <w:tc>
                <w:tcPr>
                  <w:tcW w:w="1215" w:type="pct"/>
                  <w:vAlign w:val="center"/>
                </w:tcPr>
                <w:p w14:paraId="54D3CD44">
                  <w:pPr>
                    <w:adjustRightInd w:val="0"/>
                    <w:snapToGrid w:val="0"/>
                    <w:ind w:left="-10" w:leftChars="-5" w:right="-10" w:rightChars="-5"/>
                    <w:rPr>
                      <w:color w:val="auto"/>
                      <w:sz w:val="20"/>
                      <w:szCs w:val="20"/>
                      <w:highlight w:val="none"/>
                    </w:rPr>
                  </w:pPr>
                  <w:r>
                    <w:rPr>
                      <w:color w:val="auto"/>
                      <w:sz w:val="20"/>
                      <w:szCs w:val="20"/>
                      <w:highlight w:val="none"/>
                    </w:rPr>
                    <w:t>项目</w:t>
                  </w:r>
                  <w:r>
                    <w:rPr>
                      <w:rFonts w:hint="eastAsia"/>
                      <w:color w:val="auto"/>
                      <w:sz w:val="20"/>
                      <w:szCs w:val="20"/>
                      <w:highlight w:val="none"/>
                    </w:rPr>
                    <w:t>租用友拓合川厂区工程建设项目</w:t>
                  </w:r>
                  <w:r>
                    <w:rPr>
                      <w:rFonts w:hint="eastAsia"/>
                      <w:color w:val="auto"/>
                      <w:sz w:val="20"/>
                      <w:szCs w:val="20"/>
                      <w:highlight w:val="none"/>
                      <w:lang w:eastAsia="zh-CN"/>
                    </w:rPr>
                    <w:t>厂房及设备</w:t>
                  </w:r>
                  <w:r>
                    <w:rPr>
                      <w:rFonts w:hint="eastAsia"/>
                      <w:color w:val="auto"/>
                      <w:sz w:val="20"/>
                      <w:szCs w:val="20"/>
                      <w:highlight w:val="none"/>
                    </w:rPr>
                    <w:t>并进行技术改造，</w:t>
                  </w:r>
                  <w:r>
                    <w:rPr>
                      <w:color w:val="auto"/>
                      <w:sz w:val="20"/>
                      <w:szCs w:val="20"/>
                      <w:highlight w:val="none"/>
                    </w:rPr>
                    <w:t>施工</w:t>
                  </w:r>
                  <w:r>
                    <w:rPr>
                      <w:rFonts w:hint="eastAsia"/>
                      <w:color w:val="auto"/>
                      <w:sz w:val="20"/>
                      <w:szCs w:val="20"/>
                      <w:highlight w:val="none"/>
                    </w:rPr>
                    <w:t>均在厂房内开展，</w:t>
                  </w:r>
                  <w:r>
                    <w:rPr>
                      <w:color w:val="auto"/>
                      <w:sz w:val="20"/>
                      <w:szCs w:val="20"/>
                      <w:highlight w:val="none"/>
                    </w:rPr>
                    <w:t>扬尘量较小，采取建筑材料临时遮盖、运输车辆密闭等措施后，对周边空气环境影响较小</w:t>
                  </w:r>
                  <w:r>
                    <w:rPr>
                      <w:rFonts w:hint="eastAsia"/>
                      <w:color w:val="auto"/>
                      <w:sz w:val="20"/>
                      <w:szCs w:val="20"/>
                      <w:highlight w:val="none"/>
                    </w:rPr>
                    <w:t>。</w:t>
                  </w:r>
                </w:p>
              </w:tc>
              <w:tc>
                <w:tcPr>
                  <w:tcW w:w="269" w:type="pct"/>
                  <w:vAlign w:val="center"/>
                </w:tcPr>
                <w:p w14:paraId="726FA33B">
                  <w:pPr>
                    <w:autoSpaceDE w:val="0"/>
                    <w:autoSpaceDN w:val="0"/>
                    <w:adjustRightInd w:val="0"/>
                    <w:snapToGrid w:val="0"/>
                    <w:ind w:left="-10" w:leftChars="-5" w:right="-10" w:rightChars="-5"/>
                    <w:jc w:val="center"/>
                    <w:rPr>
                      <w:color w:val="auto"/>
                      <w:sz w:val="20"/>
                      <w:szCs w:val="20"/>
                      <w:highlight w:val="none"/>
                    </w:rPr>
                  </w:pPr>
                  <w:r>
                    <w:rPr>
                      <w:rFonts w:hint="eastAsia"/>
                      <w:color w:val="auto"/>
                      <w:sz w:val="20"/>
                      <w:szCs w:val="20"/>
                      <w:highlight w:val="none"/>
                    </w:rPr>
                    <w:t>符合</w:t>
                  </w:r>
                </w:p>
              </w:tc>
            </w:tr>
            <w:tr w14:paraId="092042D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19172FC7">
                  <w:pPr>
                    <w:adjustRightInd w:val="0"/>
                    <w:snapToGrid w:val="0"/>
                    <w:ind w:left="-10" w:leftChars="-5" w:right="-10" w:rightChars="-5"/>
                    <w:jc w:val="center"/>
                    <w:rPr>
                      <w:color w:val="auto"/>
                      <w:sz w:val="20"/>
                      <w:szCs w:val="20"/>
                      <w:highlight w:val="none"/>
                    </w:rPr>
                  </w:pPr>
                </w:p>
              </w:tc>
              <w:tc>
                <w:tcPr>
                  <w:tcW w:w="278" w:type="pct"/>
                  <w:vMerge w:val="continue"/>
                  <w:vAlign w:val="center"/>
                </w:tcPr>
                <w:p w14:paraId="2C92717F">
                  <w:pPr>
                    <w:adjustRightInd w:val="0"/>
                    <w:snapToGrid w:val="0"/>
                    <w:ind w:left="-10" w:leftChars="-5" w:right="-10" w:rightChars="-5"/>
                    <w:jc w:val="center"/>
                    <w:rPr>
                      <w:color w:val="auto"/>
                      <w:sz w:val="20"/>
                      <w:szCs w:val="20"/>
                      <w:highlight w:val="none"/>
                    </w:rPr>
                  </w:pPr>
                </w:p>
              </w:tc>
              <w:tc>
                <w:tcPr>
                  <w:tcW w:w="2735" w:type="pct"/>
                  <w:vAlign w:val="center"/>
                </w:tcPr>
                <w:p w14:paraId="4BD28336">
                  <w:pPr>
                    <w:adjustRightInd w:val="0"/>
                    <w:snapToGrid w:val="0"/>
                    <w:ind w:left="-10" w:leftChars="-5" w:right="-10" w:rightChars="-5"/>
                    <w:rPr>
                      <w:color w:val="auto"/>
                      <w:sz w:val="20"/>
                      <w:szCs w:val="20"/>
                      <w:highlight w:val="none"/>
                    </w:rPr>
                  </w:pPr>
                  <w:r>
                    <w:rPr>
                      <w:color w:val="auto"/>
                      <w:sz w:val="20"/>
                      <w:szCs w:val="20"/>
                      <w:highlight w:val="none"/>
                    </w:rPr>
                    <w:t>第七条 加快大宗货物和中长途货物运输“公转铁、公转水”，大力发展铁水、公铁、公水等多式联运，大宗物料优先采用铁路、管道或水路运输，短途接驳优先使用新能源车辆运输；加强船舶和非道路移动机械排气污染防治，提高燃油车船能效标准，健全交通运输装备能效标识制度，加快淘汰高耗能高排放老旧车船。全面实施汽车国六排放标准和非道路移动柴油机械国四排放标准。</w:t>
                  </w:r>
                </w:p>
              </w:tc>
              <w:tc>
                <w:tcPr>
                  <w:tcW w:w="1215" w:type="pct"/>
                  <w:vAlign w:val="center"/>
                </w:tcPr>
                <w:p w14:paraId="5A789A74">
                  <w:pPr>
                    <w:adjustRightInd w:val="0"/>
                    <w:snapToGrid w:val="0"/>
                    <w:ind w:left="-10" w:leftChars="-5" w:right="-10" w:rightChars="-5"/>
                    <w:jc w:val="center"/>
                    <w:rPr>
                      <w:color w:val="auto"/>
                      <w:sz w:val="20"/>
                      <w:szCs w:val="20"/>
                      <w:highlight w:val="none"/>
                    </w:rPr>
                  </w:pPr>
                  <w:r>
                    <w:rPr>
                      <w:rFonts w:hint="eastAsia"/>
                      <w:color w:val="auto"/>
                      <w:sz w:val="20"/>
                      <w:szCs w:val="20"/>
                      <w:highlight w:val="none"/>
                    </w:rPr>
                    <w:t>项目运输车辆需</w:t>
                  </w:r>
                  <w:r>
                    <w:rPr>
                      <w:color w:val="auto"/>
                      <w:sz w:val="20"/>
                      <w:szCs w:val="20"/>
                      <w:highlight w:val="none"/>
                    </w:rPr>
                    <w:t>符合国家排放标准</w:t>
                  </w:r>
                  <w:r>
                    <w:rPr>
                      <w:rFonts w:hint="eastAsia"/>
                      <w:color w:val="auto"/>
                      <w:sz w:val="20"/>
                      <w:szCs w:val="20"/>
                      <w:highlight w:val="none"/>
                    </w:rPr>
                    <w:t>。</w:t>
                  </w:r>
                </w:p>
              </w:tc>
              <w:tc>
                <w:tcPr>
                  <w:tcW w:w="269" w:type="pct"/>
                  <w:vAlign w:val="center"/>
                </w:tcPr>
                <w:p w14:paraId="2B85A717">
                  <w:pPr>
                    <w:autoSpaceDE w:val="0"/>
                    <w:autoSpaceDN w:val="0"/>
                    <w:adjustRightInd w:val="0"/>
                    <w:snapToGrid w:val="0"/>
                    <w:ind w:left="-10" w:leftChars="-5" w:right="-10" w:rightChars="-5"/>
                    <w:jc w:val="center"/>
                    <w:rPr>
                      <w:color w:val="auto"/>
                      <w:sz w:val="20"/>
                      <w:szCs w:val="20"/>
                      <w:highlight w:val="none"/>
                    </w:rPr>
                  </w:pPr>
                  <w:r>
                    <w:rPr>
                      <w:rFonts w:hint="eastAsia"/>
                      <w:color w:val="auto"/>
                      <w:sz w:val="20"/>
                      <w:szCs w:val="20"/>
                      <w:highlight w:val="none"/>
                    </w:rPr>
                    <w:t>符合</w:t>
                  </w:r>
                </w:p>
              </w:tc>
            </w:tr>
            <w:tr w14:paraId="549D786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14FDCB7B">
                  <w:pPr>
                    <w:adjustRightInd w:val="0"/>
                    <w:snapToGrid w:val="0"/>
                    <w:ind w:left="-10" w:leftChars="-5" w:right="-10" w:rightChars="-5"/>
                    <w:jc w:val="center"/>
                    <w:rPr>
                      <w:color w:val="auto"/>
                      <w:sz w:val="20"/>
                      <w:szCs w:val="20"/>
                      <w:highlight w:val="none"/>
                    </w:rPr>
                  </w:pPr>
                </w:p>
              </w:tc>
              <w:tc>
                <w:tcPr>
                  <w:tcW w:w="278" w:type="pct"/>
                  <w:vMerge w:val="continue"/>
                  <w:vAlign w:val="center"/>
                </w:tcPr>
                <w:p w14:paraId="373EDEFC">
                  <w:pPr>
                    <w:adjustRightInd w:val="0"/>
                    <w:snapToGrid w:val="0"/>
                    <w:ind w:left="-10" w:leftChars="-5" w:right="-10" w:rightChars="-5"/>
                    <w:jc w:val="center"/>
                    <w:rPr>
                      <w:color w:val="auto"/>
                      <w:sz w:val="20"/>
                      <w:szCs w:val="20"/>
                      <w:highlight w:val="none"/>
                    </w:rPr>
                  </w:pPr>
                </w:p>
              </w:tc>
              <w:tc>
                <w:tcPr>
                  <w:tcW w:w="2735" w:type="pct"/>
                  <w:vAlign w:val="center"/>
                </w:tcPr>
                <w:p w14:paraId="6F33BE7D">
                  <w:pPr>
                    <w:adjustRightInd w:val="0"/>
                    <w:snapToGrid w:val="0"/>
                    <w:ind w:left="-10" w:leftChars="-5" w:right="-10" w:rightChars="-5"/>
                    <w:rPr>
                      <w:color w:val="auto"/>
                      <w:sz w:val="20"/>
                      <w:szCs w:val="20"/>
                      <w:highlight w:val="none"/>
                    </w:rPr>
                  </w:pPr>
                  <w:r>
                    <w:rPr>
                      <w:color w:val="auto"/>
                      <w:sz w:val="20"/>
                      <w:szCs w:val="20"/>
                      <w:highlight w:val="none"/>
                    </w:rPr>
                    <w:t>第八条 推动新建小区公共烟道建设油烟集中处置设施，实现居民生活油烟达标排放，减少生活有机溶剂使用，针对建筑装修、汽修喷涂作业、干洗等行业，严格执行有机溶剂VOCs含量限值标准，鼓励使用低毒、低挥发性溶剂。</w:t>
                  </w:r>
                </w:p>
              </w:tc>
              <w:tc>
                <w:tcPr>
                  <w:tcW w:w="1215" w:type="pct"/>
                  <w:vAlign w:val="center"/>
                </w:tcPr>
                <w:p w14:paraId="0C4E71BB">
                  <w:pPr>
                    <w:adjustRightInd w:val="0"/>
                    <w:snapToGrid w:val="0"/>
                    <w:ind w:left="-10" w:leftChars="-5" w:right="-10" w:rightChars="-5"/>
                    <w:jc w:val="center"/>
                    <w:rPr>
                      <w:color w:val="auto"/>
                      <w:sz w:val="20"/>
                      <w:szCs w:val="20"/>
                      <w:highlight w:val="none"/>
                    </w:rPr>
                  </w:pPr>
                  <w:r>
                    <w:rPr>
                      <w:rFonts w:hint="eastAsia"/>
                      <w:color w:val="auto"/>
                      <w:sz w:val="20"/>
                      <w:szCs w:val="20"/>
                      <w:highlight w:val="none"/>
                    </w:rPr>
                    <w:t>不涉及</w:t>
                  </w:r>
                </w:p>
              </w:tc>
              <w:tc>
                <w:tcPr>
                  <w:tcW w:w="269" w:type="pct"/>
                  <w:vAlign w:val="center"/>
                </w:tcPr>
                <w:p w14:paraId="1E913EC6">
                  <w:pPr>
                    <w:autoSpaceDE w:val="0"/>
                    <w:autoSpaceDN w:val="0"/>
                    <w:adjustRightInd w:val="0"/>
                    <w:snapToGrid w:val="0"/>
                    <w:ind w:left="-10" w:leftChars="-5" w:right="-10" w:rightChars="-5"/>
                    <w:jc w:val="center"/>
                    <w:rPr>
                      <w:color w:val="auto"/>
                      <w:sz w:val="20"/>
                      <w:szCs w:val="20"/>
                      <w:highlight w:val="none"/>
                    </w:rPr>
                  </w:pPr>
                  <w:r>
                    <w:rPr>
                      <w:rFonts w:hint="eastAsia"/>
                      <w:color w:val="auto"/>
                      <w:sz w:val="20"/>
                      <w:szCs w:val="20"/>
                      <w:highlight w:val="none"/>
                    </w:rPr>
                    <w:t>/</w:t>
                  </w:r>
                </w:p>
              </w:tc>
            </w:tr>
            <w:tr w14:paraId="0AA4A56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31F514FE">
                  <w:pPr>
                    <w:adjustRightInd w:val="0"/>
                    <w:snapToGrid w:val="0"/>
                    <w:ind w:left="-10" w:leftChars="-5" w:right="-10" w:rightChars="-5"/>
                    <w:jc w:val="center"/>
                    <w:rPr>
                      <w:color w:val="auto"/>
                      <w:sz w:val="20"/>
                      <w:szCs w:val="20"/>
                      <w:highlight w:val="none"/>
                    </w:rPr>
                  </w:pPr>
                </w:p>
              </w:tc>
              <w:tc>
                <w:tcPr>
                  <w:tcW w:w="278" w:type="pct"/>
                  <w:vMerge w:val="restart"/>
                  <w:vAlign w:val="center"/>
                </w:tcPr>
                <w:p w14:paraId="22AC306B">
                  <w:pPr>
                    <w:adjustRightInd w:val="0"/>
                    <w:snapToGrid w:val="0"/>
                    <w:ind w:left="-10" w:leftChars="-5" w:right="-10" w:rightChars="-5"/>
                    <w:jc w:val="center"/>
                    <w:rPr>
                      <w:color w:val="auto"/>
                      <w:sz w:val="20"/>
                      <w:szCs w:val="20"/>
                      <w:highlight w:val="none"/>
                    </w:rPr>
                  </w:pPr>
                  <w:r>
                    <w:rPr>
                      <w:rFonts w:hint="eastAsia"/>
                      <w:color w:val="auto"/>
                      <w:sz w:val="20"/>
                      <w:szCs w:val="20"/>
                      <w:highlight w:val="none"/>
                    </w:rPr>
                    <w:t>环境风险防控</w:t>
                  </w:r>
                </w:p>
              </w:tc>
              <w:tc>
                <w:tcPr>
                  <w:tcW w:w="2735" w:type="pct"/>
                  <w:vAlign w:val="center"/>
                </w:tcPr>
                <w:p w14:paraId="583F97C3">
                  <w:pPr>
                    <w:adjustRightInd w:val="0"/>
                    <w:snapToGrid w:val="0"/>
                    <w:jc w:val="center"/>
                    <w:rPr>
                      <w:color w:val="auto"/>
                      <w:sz w:val="20"/>
                      <w:szCs w:val="20"/>
                      <w:highlight w:val="none"/>
                    </w:rPr>
                  </w:pPr>
                  <w:r>
                    <w:rPr>
                      <w:color w:val="auto"/>
                      <w:sz w:val="20"/>
                      <w:szCs w:val="20"/>
                      <w:highlight w:val="none"/>
                    </w:rPr>
                    <w:t>第九条 执行重点管控单元市级总体要求第十六条</w:t>
                  </w:r>
                </w:p>
              </w:tc>
              <w:tc>
                <w:tcPr>
                  <w:tcW w:w="1215" w:type="pct"/>
                  <w:vAlign w:val="center"/>
                </w:tcPr>
                <w:p w14:paraId="681D7551">
                  <w:pPr>
                    <w:adjustRightInd w:val="0"/>
                    <w:snapToGrid w:val="0"/>
                    <w:ind w:left="-10" w:leftChars="-5" w:right="-10" w:rightChars="-5"/>
                    <w:jc w:val="center"/>
                    <w:rPr>
                      <w:color w:val="auto"/>
                      <w:sz w:val="20"/>
                      <w:szCs w:val="20"/>
                      <w:highlight w:val="none"/>
                    </w:rPr>
                  </w:pPr>
                  <w:r>
                    <w:rPr>
                      <w:rFonts w:hint="eastAsia"/>
                      <w:color w:val="auto"/>
                      <w:sz w:val="20"/>
                      <w:szCs w:val="20"/>
                      <w:highlight w:val="none"/>
                    </w:rPr>
                    <w:t>项目</w:t>
                  </w:r>
                  <w:r>
                    <w:rPr>
                      <w:color w:val="auto"/>
                      <w:sz w:val="20"/>
                      <w:szCs w:val="20"/>
                      <w:highlight w:val="none"/>
                    </w:rPr>
                    <w:t>符合市级环境风险防控</w:t>
                  </w:r>
                  <w:r>
                    <w:rPr>
                      <w:rFonts w:hint="eastAsia"/>
                      <w:color w:val="auto"/>
                      <w:sz w:val="20"/>
                      <w:szCs w:val="20"/>
                      <w:highlight w:val="none"/>
                    </w:rPr>
                    <w:t>要求。</w:t>
                  </w:r>
                </w:p>
              </w:tc>
              <w:tc>
                <w:tcPr>
                  <w:tcW w:w="269" w:type="pct"/>
                  <w:vAlign w:val="center"/>
                </w:tcPr>
                <w:p w14:paraId="6AE50220">
                  <w:pPr>
                    <w:autoSpaceDE w:val="0"/>
                    <w:autoSpaceDN w:val="0"/>
                    <w:adjustRightInd w:val="0"/>
                    <w:snapToGrid w:val="0"/>
                    <w:ind w:left="-10" w:leftChars="-5" w:right="-10" w:rightChars="-5"/>
                    <w:jc w:val="center"/>
                    <w:rPr>
                      <w:color w:val="auto"/>
                      <w:sz w:val="20"/>
                      <w:szCs w:val="20"/>
                      <w:highlight w:val="none"/>
                    </w:rPr>
                  </w:pPr>
                  <w:r>
                    <w:rPr>
                      <w:rFonts w:hint="eastAsia"/>
                      <w:color w:val="auto"/>
                      <w:sz w:val="20"/>
                      <w:szCs w:val="20"/>
                      <w:highlight w:val="none"/>
                    </w:rPr>
                    <w:t>符合</w:t>
                  </w:r>
                </w:p>
              </w:tc>
            </w:tr>
            <w:tr w14:paraId="58B4141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1213F064">
                  <w:pPr>
                    <w:adjustRightInd w:val="0"/>
                    <w:snapToGrid w:val="0"/>
                    <w:ind w:left="-10" w:leftChars="-5" w:right="-10" w:rightChars="-5"/>
                    <w:jc w:val="center"/>
                    <w:rPr>
                      <w:color w:val="auto"/>
                      <w:sz w:val="20"/>
                      <w:szCs w:val="20"/>
                      <w:highlight w:val="none"/>
                    </w:rPr>
                  </w:pPr>
                </w:p>
              </w:tc>
              <w:tc>
                <w:tcPr>
                  <w:tcW w:w="278" w:type="pct"/>
                  <w:vMerge w:val="continue"/>
                  <w:vAlign w:val="center"/>
                </w:tcPr>
                <w:p w14:paraId="1BC4442A">
                  <w:pPr>
                    <w:adjustRightInd w:val="0"/>
                    <w:snapToGrid w:val="0"/>
                    <w:ind w:left="-10" w:leftChars="-5" w:right="-10" w:rightChars="-5"/>
                    <w:jc w:val="center"/>
                    <w:rPr>
                      <w:color w:val="auto"/>
                      <w:sz w:val="20"/>
                      <w:szCs w:val="20"/>
                      <w:highlight w:val="none"/>
                    </w:rPr>
                  </w:pPr>
                </w:p>
              </w:tc>
              <w:tc>
                <w:tcPr>
                  <w:tcW w:w="2735" w:type="pct"/>
                  <w:vAlign w:val="center"/>
                </w:tcPr>
                <w:p w14:paraId="07DB9827">
                  <w:pPr>
                    <w:adjustRightInd w:val="0"/>
                    <w:snapToGrid w:val="0"/>
                    <w:jc w:val="center"/>
                    <w:rPr>
                      <w:color w:val="auto"/>
                      <w:sz w:val="20"/>
                      <w:szCs w:val="20"/>
                      <w:highlight w:val="none"/>
                    </w:rPr>
                  </w:pPr>
                  <w:r>
                    <w:rPr>
                      <w:color w:val="auto"/>
                      <w:sz w:val="20"/>
                      <w:szCs w:val="20"/>
                      <w:highlight w:val="none"/>
                    </w:rPr>
                    <w:t>第十条 强化工业园区环境风险管控。完善工业园区现有重大风险源的风险防范体系和应急预案，定期开展应急事故演练，并加强监管；实施技术、工艺、设备等生态化、循环化改造，加快布局分散的企业向园区集中，按要求设置生态隔离带，建设相应的防护工程。强化环境应急队伍建设和物资储备。</w:t>
                  </w:r>
                </w:p>
              </w:tc>
              <w:tc>
                <w:tcPr>
                  <w:tcW w:w="1215" w:type="pct"/>
                  <w:vAlign w:val="center"/>
                </w:tcPr>
                <w:p w14:paraId="0EDC313F">
                  <w:pPr>
                    <w:adjustRightInd w:val="0"/>
                    <w:snapToGrid w:val="0"/>
                    <w:ind w:left="-10" w:leftChars="-5" w:right="-10" w:rightChars="-5"/>
                    <w:jc w:val="center"/>
                    <w:rPr>
                      <w:rFonts w:hint="eastAsia" w:eastAsia="宋体"/>
                      <w:color w:val="auto"/>
                      <w:sz w:val="20"/>
                      <w:szCs w:val="20"/>
                      <w:highlight w:val="none"/>
                      <w:lang w:eastAsia="zh-CN"/>
                    </w:rPr>
                  </w:pPr>
                  <w:r>
                    <w:rPr>
                      <w:color w:val="auto"/>
                      <w:sz w:val="20"/>
                      <w:szCs w:val="20"/>
                      <w:highlight w:val="none"/>
                    </w:rPr>
                    <w:t>项目</w:t>
                  </w:r>
                  <w:r>
                    <w:rPr>
                      <w:rFonts w:hint="eastAsia"/>
                      <w:color w:val="auto"/>
                      <w:sz w:val="20"/>
                      <w:szCs w:val="20"/>
                      <w:highlight w:val="none"/>
                      <w:lang w:eastAsia="zh-CN"/>
                    </w:rPr>
                    <w:t>所在</w:t>
                  </w:r>
                  <w:r>
                    <w:rPr>
                      <w:rFonts w:hint="eastAsia"/>
                      <w:color w:val="auto"/>
                      <w:sz w:val="20"/>
                      <w:szCs w:val="20"/>
                      <w:highlight w:val="none"/>
                    </w:rPr>
                    <w:t>园区已建立环境风险防范体系</w:t>
                  </w:r>
                  <w:r>
                    <w:rPr>
                      <w:rFonts w:hint="eastAsia"/>
                      <w:color w:val="auto"/>
                      <w:sz w:val="20"/>
                      <w:szCs w:val="20"/>
                      <w:highlight w:val="none"/>
                      <w:lang w:eastAsia="zh-CN"/>
                    </w:rPr>
                    <w:t>，属于园区内的建设项目，项目有毒有害和易燃易爆危险物质存储量未超过HJ169附录B中的临界量</w:t>
                  </w:r>
                  <w:r>
                    <w:rPr>
                      <w:rStyle w:val="22"/>
                      <w:rFonts w:hint="eastAsia"/>
                      <w:color w:val="auto"/>
                      <w:kern w:val="0"/>
                      <w:szCs w:val="20"/>
                      <w:highlight w:val="none"/>
                      <w:lang w:eastAsia="zh-CN"/>
                    </w:rPr>
                    <w:t>。</w:t>
                  </w:r>
                </w:p>
              </w:tc>
              <w:tc>
                <w:tcPr>
                  <w:tcW w:w="269" w:type="pct"/>
                  <w:vAlign w:val="center"/>
                </w:tcPr>
                <w:p w14:paraId="5C85D869">
                  <w:pPr>
                    <w:autoSpaceDE w:val="0"/>
                    <w:autoSpaceDN w:val="0"/>
                    <w:adjustRightInd w:val="0"/>
                    <w:snapToGrid w:val="0"/>
                    <w:ind w:left="-10" w:leftChars="-5" w:right="-10" w:rightChars="-5"/>
                    <w:jc w:val="center"/>
                    <w:rPr>
                      <w:color w:val="auto"/>
                      <w:sz w:val="20"/>
                      <w:szCs w:val="20"/>
                      <w:highlight w:val="none"/>
                    </w:rPr>
                  </w:pPr>
                  <w:r>
                    <w:rPr>
                      <w:rFonts w:hint="eastAsia"/>
                      <w:color w:val="auto"/>
                      <w:sz w:val="20"/>
                      <w:szCs w:val="20"/>
                      <w:highlight w:val="none"/>
                    </w:rPr>
                    <w:t>符合</w:t>
                  </w:r>
                </w:p>
              </w:tc>
            </w:tr>
            <w:tr w14:paraId="575F394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4F24D3E3">
                  <w:pPr>
                    <w:adjustRightInd w:val="0"/>
                    <w:snapToGrid w:val="0"/>
                    <w:ind w:left="-10" w:leftChars="-5" w:right="-10" w:rightChars="-5"/>
                    <w:jc w:val="center"/>
                    <w:rPr>
                      <w:color w:val="auto"/>
                      <w:sz w:val="20"/>
                      <w:szCs w:val="20"/>
                      <w:highlight w:val="none"/>
                    </w:rPr>
                  </w:pPr>
                </w:p>
              </w:tc>
              <w:tc>
                <w:tcPr>
                  <w:tcW w:w="278" w:type="pct"/>
                  <w:vMerge w:val="continue"/>
                  <w:vAlign w:val="center"/>
                </w:tcPr>
                <w:p w14:paraId="58A6F9A6">
                  <w:pPr>
                    <w:adjustRightInd w:val="0"/>
                    <w:snapToGrid w:val="0"/>
                    <w:ind w:left="-10" w:leftChars="-5" w:right="-10" w:rightChars="-5"/>
                    <w:jc w:val="center"/>
                    <w:rPr>
                      <w:color w:val="auto"/>
                      <w:sz w:val="20"/>
                      <w:szCs w:val="20"/>
                      <w:highlight w:val="none"/>
                    </w:rPr>
                  </w:pPr>
                </w:p>
              </w:tc>
              <w:tc>
                <w:tcPr>
                  <w:tcW w:w="2735" w:type="pct"/>
                  <w:vAlign w:val="center"/>
                </w:tcPr>
                <w:p w14:paraId="52C16853">
                  <w:pPr>
                    <w:adjustRightInd w:val="0"/>
                    <w:snapToGrid w:val="0"/>
                    <w:jc w:val="center"/>
                    <w:rPr>
                      <w:color w:val="auto"/>
                      <w:sz w:val="20"/>
                      <w:szCs w:val="20"/>
                      <w:highlight w:val="none"/>
                    </w:rPr>
                  </w:pPr>
                  <w:r>
                    <w:rPr>
                      <w:color w:val="auto"/>
                      <w:sz w:val="20"/>
                      <w:szCs w:val="20"/>
                      <w:highlight w:val="none"/>
                    </w:rPr>
                    <w:t>第十一条 工业集聚区内的项目对水环境存在安全隐患的，应当建立车间、工厂和集聚区三级环境风险防范体系。</w:t>
                  </w:r>
                </w:p>
              </w:tc>
              <w:tc>
                <w:tcPr>
                  <w:tcW w:w="1215" w:type="pct"/>
                  <w:vAlign w:val="center"/>
                </w:tcPr>
                <w:p w14:paraId="6B9A31CB">
                  <w:pPr>
                    <w:adjustRightInd w:val="0"/>
                    <w:snapToGrid w:val="0"/>
                    <w:ind w:left="-10" w:leftChars="-5" w:right="-10" w:rightChars="-5"/>
                    <w:jc w:val="center"/>
                    <w:rPr>
                      <w:color w:val="auto"/>
                      <w:sz w:val="20"/>
                      <w:szCs w:val="20"/>
                      <w:highlight w:val="none"/>
                    </w:rPr>
                  </w:pPr>
                  <w:r>
                    <w:rPr>
                      <w:rFonts w:hint="eastAsia"/>
                      <w:bCs/>
                      <w:color w:val="auto"/>
                      <w:sz w:val="20"/>
                      <w:szCs w:val="20"/>
                      <w:highlight w:val="none"/>
                    </w:rPr>
                    <w:t>项目废水不属于对水环境存在安全隐患的项目。</w:t>
                  </w:r>
                </w:p>
              </w:tc>
              <w:tc>
                <w:tcPr>
                  <w:tcW w:w="269" w:type="pct"/>
                  <w:vAlign w:val="center"/>
                </w:tcPr>
                <w:p w14:paraId="07886A75">
                  <w:pPr>
                    <w:autoSpaceDE w:val="0"/>
                    <w:autoSpaceDN w:val="0"/>
                    <w:adjustRightInd w:val="0"/>
                    <w:snapToGrid w:val="0"/>
                    <w:ind w:left="-10" w:leftChars="-5" w:right="-10" w:rightChars="-5"/>
                    <w:jc w:val="center"/>
                    <w:rPr>
                      <w:color w:val="auto"/>
                      <w:sz w:val="20"/>
                      <w:szCs w:val="20"/>
                      <w:highlight w:val="none"/>
                    </w:rPr>
                  </w:pPr>
                  <w:r>
                    <w:rPr>
                      <w:rFonts w:hint="eastAsia"/>
                      <w:color w:val="auto"/>
                      <w:sz w:val="20"/>
                      <w:szCs w:val="20"/>
                      <w:highlight w:val="none"/>
                    </w:rPr>
                    <w:t>符合</w:t>
                  </w:r>
                </w:p>
              </w:tc>
            </w:tr>
            <w:tr w14:paraId="741B684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7E56DA08">
                  <w:pPr>
                    <w:adjustRightInd w:val="0"/>
                    <w:snapToGrid w:val="0"/>
                    <w:ind w:left="-10" w:leftChars="-5" w:right="-10" w:rightChars="-5"/>
                    <w:jc w:val="center"/>
                    <w:rPr>
                      <w:color w:val="auto"/>
                      <w:sz w:val="20"/>
                      <w:szCs w:val="20"/>
                      <w:highlight w:val="none"/>
                    </w:rPr>
                  </w:pPr>
                </w:p>
              </w:tc>
              <w:tc>
                <w:tcPr>
                  <w:tcW w:w="278" w:type="pct"/>
                  <w:vMerge w:val="continue"/>
                  <w:vAlign w:val="center"/>
                </w:tcPr>
                <w:p w14:paraId="05647E74">
                  <w:pPr>
                    <w:adjustRightInd w:val="0"/>
                    <w:snapToGrid w:val="0"/>
                    <w:ind w:left="-10" w:leftChars="-5" w:right="-10" w:rightChars="-5"/>
                    <w:jc w:val="center"/>
                    <w:rPr>
                      <w:color w:val="auto"/>
                      <w:sz w:val="20"/>
                      <w:szCs w:val="20"/>
                      <w:highlight w:val="none"/>
                    </w:rPr>
                  </w:pPr>
                </w:p>
              </w:tc>
              <w:tc>
                <w:tcPr>
                  <w:tcW w:w="2735" w:type="pct"/>
                  <w:vAlign w:val="center"/>
                </w:tcPr>
                <w:p w14:paraId="41217A55">
                  <w:pPr>
                    <w:adjustRightInd w:val="0"/>
                    <w:snapToGrid w:val="0"/>
                    <w:jc w:val="center"/>
                    <w:rPr>
                      <w:color w:val="auto"/>
                      <w:sz w:val="20"/>
                      <w:szCs w:val="20"/>
                      <w:highlight w:val="none"/>
                    </w:rPr>
                  </w:pPr>
                  <w:r>
                    <w:rPr>
                      <w:color w:val="auto"/>
                      <w:sz w:val="20"/>
                      <w:szCs w:val="20"/>
                      <w:highlight w:val="none"/>
                    </w:rPr>
                    <w:t>第十二条 深化区域联防联控机制，进一步健全与遂宁、广安、潼南、铜梁、北碚等地突发环境事件应急响应机制，有效预防和应对跨区域的突发环境风险事件</w:t>
                  </w:r>
                  <w:r>
                    <w:rPr>
                      <w:rFonts w:hint="eastAsia"/>
                      <w:color w:val="auto"/>
                      <w:sz w:val="20"/>
                      <w:szCs w:val="20"/>
                      <w:highlight w:val="none"/>
                    </w:rPr>
                    <w:t>。</w:t>
                  </w:r>
                </w:p>
              </w:tc>
              <w:tc>
                <w:tcPr>
                  <w:tcW w:w="1215" w:type="pct"/>
                  <w:vAlign w:val="center"/>
                </w:tcPr>
                <w:p w14:paraId="15C089DE">
                  <w:pPr>
                    <w:adjustRightInd w:val="0"/>
                    <w:snapToGrid w:val="0"/>
                    <w:ind w:left="-10" w:leftChars="-5" w:right="-10" w:rightChars="-5"/>
                    <w:jc w:val="center"/>
                    <w:rPr>
                      <w:color w:val="auto"/>
                      <w:sz w:val="20"/>
                      <w:szCs w:val="20"/>
                      <w:highlight w:val="none"/>
                    </w:rPr>
                  </w:pPr>
                  <w:r>
                    <w:rPr>
                      <w:rFonts w:hint="eastAsia"/>
                      <w:color w:val="auto"/>
                      <w:sz w:val="20"/>
                      <w:szCs w:val="20"/>
                      <w:highlight w:val="none"/>
                    </w:rPr>
                    <w:t>不涉及</w:t>
                  </w:r>
                </w:p>
              </w:tc>
              <w:tc>
                <w:tcPr>
                  <w:tcW w:w="269" w:type="pct"/>
                  <w:vAlign w:val="center"/>
                </w:tcPr>
                <w:p w14:paraId="59ADC1B0">
                  <w:pPr>
                    <w:autoSpaceDE w:val="0"/>
                    <w:autoSpaceDN w:val="0"/>
                    <w:adjustRightInd w:val="0"/>
                    <w:snapToGrid w:val="0"/>
                    <w:ind w:left="-10" w:leftChars="-5" w:right="-10" w:rightChars="-5"/>
                    <w:jc w:val="center"/>
                    <w:rPr>
                      <w:color w:val="auto"/>
                      <w:sz w:val="20"/>
                      <w:szCs w:val="20"/>
                      <w:highlight w:val="none"/>
                    </w:rPr>
                  </w:pPr>
                  <w:r>
                    <w:rPr>
                      <w:rFonts w:hint="eastAsia"/>
                      <w:color w:val="auto"/>
                      <w:sz w:val="20"/>
                      <w:szCs w:val="20"/>
                      <w:highlight w:val="none"/>
                    </w:rPr>
                    <w:t>/</w:t>
                  </w:r>
                </w:p>
              </w:tc>
            </w:tr>
            <w:tr w14:paraId="1120F55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0E754F96">
                  <w:pPr>
                    <w:adjustRightInd w:val="0"/>
                    <w:snapToGrid w:val="0"/>
                    <w:ind w:left="-10" w:leftChars="-5" w:right="-10" w:rightChars="-5"/>
                    <w:jc w:val="center"/>
                    <w:rPr>
                      <w:color w:val="auto"/>
                      <w:sz w:val="20"/>
                      <w:szCs w:val="20"/>
                      <w:highlight w:val="none"/>
                    </w:rPr>
                  </w:pPr>
                </w:p>
              </w:tc>
              <w:tc>
                <w:tcPr>
                  <w:tcW w:w="278" w:type="pct"/>
                  <w:vMerge w:val="restart"/>
                  <w:vAlign w:val="center"/>
                </w:tcPr>
                <w:p w14:paraId="56CFF7BD">
                  <w:pPr>
                    <w:adjustRightInd w:val="0"/>
                    <w:snapToGrid w:val="0"/>
                    <w:ind w:left="-10" w:leftChars="-5" w:right="-10" w:rightChars="-5"/>
                    <w:jc w:val="center"/>
                    <w:rPr>
                      <w:color w:val="auto"/>
                      <w:sz w:val="20"/>
                      <w:szCs w:val="20"/>
                      <w:highlight w:val="none"/>
                    </w:rPr>
                  </w:pPr>
                  <w:r>
                    <w:rPr>
                      <w:rFonts w:hint="eastAsia"/>
                      <w:color w:val="auto"/>
                      <w:sz w:val="20"/>
                      <w:szCs w:val="20"/>
                      <w:highlight w:val="none"/>
                    </w:rPr>
                    <w:t>资源利用效率</w:t>
                  </w:r>
                </w:p>
              </w:tc>
              <w:tc>
                <w:tcPr>
                  <w:tcW w:w="2735" w:type="pct"/>
                  <w:vAlign w:val="center"/>
                </w:tcPr>
                <w:p w14:paraId="3E753F79">
                  <w:pPr>
                    <w:adjustRightInd w:val="0"/>
                    <w:snapToGrid w:val="0"/>
                    <w:jc w:val="center"/>
                    <w:rPr>
                      <w:color w:val="auto"/>
                      <w:sz w:val="20"/>
                      <w:szCs w:val="20"/>
                      <w:highlight w:val="none"/>
                    </w:rPr>
                  </w:pPr>
                  <w:r>
                    <w:rPr>
                      <w:color w:val="auto"/>
                      <w:sz w:val="20"/>
                      <w:szCs w:val="20"/>
                      <w:highlight w:val="none"/>
                    </w:rPr>
                    <w:t>第十三条 执行重点管控单元市级总体要求第十八条、第十九条、第二十条、第二十一条和第二十二条</w:t>
                  </w:r>
                </w:p>
              </w:tc>
              <w:tc>
                <w:tcPr>
                  <w:tcW w:w="1215" w:type="pct"/>
                  <w:vAlign w:val="center"/>
                </w:tcPr>
                <w:p w14:paraId="5E095BE6">
                  <w:pPr>
                    <w:adjustRightInd w:val="0"/>
                    <w:snapToGrid w:val="0"/>
                    <w:ind w:left="-10" w:leftChars="-5" w:right="-10" w:rightChars="-5"/>
                    <w:jc w:val="center"/>
                    <w:rPr>
                      <w:color w:val="auto"/>
                      <w:sz w:val="20"/>
                      <w:szCs w:val="20"/>
                      <w:highlight w:val="none"/>
                    </w:rPr>
                  </w:pPr>
                  <w:r>
                    <w:rPr>
                      <w:rFonts w:hint="eastAsia"/>
                      <w:color w:val="auto"/>
                      <w:sz w:val="20"/>
                      <w:szCs w:val="20"/>
                      <w:highlight w:val="none"/>
                    </w:rPr>
                    <w:t>项目</w:t>
                  </w:r>
                  <w:r>
                    <w:rPr>
                      <w:color w:val="auto"/>
                      <w:sz w:val="20"/>
                      <w:szCs w:val="20"/>
                      <w:highlight w:val="none"/>
                    </w:rPr>
                    <w:t>符合市级资源利用效率管控要求</w:t>
                  </w:r>
                </w:p>
              </w:tc>
              <w:tc>
                <w:tcPr>
                  <w:tcW w:w="269" w:type="pct"/>
                  <w:vAlign w:val="center"/>
                </w:tcPr>
                <w:p w14:paraId="63C4CD0E">
                  <w:pPr>
                    <w:autoSpaceDE w:val="0"/>
                    <w:autoSpaceDN w:val="0"/>
                    <w:adjustRightInd w:val="0"/>
                    <w:snapToGrid w:val="0"/>
                    <w:ind w:left="-10" w:leftChars="-5" w:right="-10" w:rightChars="-5"/>
                    <w:jc w:val="center"/>
                    <w:rPr>
                      <w:color w:val="auto"/>
                      <w:sz w:val="20"/>
                      <w:szCs w:val="20"/>
                      <w:highlight w:val="none"/>
                    </w:rPr>
                  </w:pPr>
                  <w:r>
                    <w:rPr>
                      <w:rFonts w:hint="eastAsia"/>
                      <w:color w:val="auto"/>
                      <w:sz w:val="20"/>
                      <w:szCs w:val="20"/>
                      <w:highlight w:val="none"/>
                    </w:rPr>
                    <w:t>符合</w:t>
                  </w:r>
                </w:p>
              </w:tc>
            </w:tr>
            <w:tr w14:paraId="08EFF79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541A029A">
                  <w:pPr>
                    <w:adjustRightInd w:val="0"/>
                    <w:snapToGrid w:val="0"/>
                    <w:ind w:left="-10" w:leftChars="-5" w:right="-10" w:rightChars="-5"/>
                    <w:jc w:val="center"/>
                    <w:rPr>
                      <w:color w:val="auto"/>
                      <w:sz w:val="20"/>
                      <w:szCs w:val="20"/>
                      <w:highlight w:val="none"/>
                    </w:rPr>
                  </w:pPr>
                </w:p>
              </w:tc>
              <w:tc>
                <w:tcPr>
                  <w:tcW w:w="278" w:type="pct"/>
                  <w:vMerge w:val="continue"/>
                  <w:vAlign w:val="center"/>
                </w:tcPr>
                <w:p w14:paraId="05520E8A">
                  <w:pPr>
                    <w:adjustRightInd w:val="0"/>
                    <w:snapToGrid w:val="0"/>
                    <w:ind w:left="-10" w:leftChars="-5" w:right="-10" w:rightChars="-5"/>
                    <w:jc w:val="center"/>
                    <w:rPr>
                      <w:color w:val="auto"/>
                      <w:sz w:val="20"/>
                      <w:szCs w:val="20"/>
                      <w:highlight w:val="none"/>
                    </w:rPr>
                  </w:pPr>
                </w:p>
              </w:tc>
              <w:tc>
                <w:tcPr>
                  <w:tcW w:w="2735" w:type="pct"/>
                  <w:vAlign w:val="center"/>
                </w:tcPr>
                <w:p w14:paraId="24684ACE">
                  <w:pPr>
                    <w:adjustRightInd w:val="0"/>
                    <w:snapToGrid w:val="0"/>
                    <w:jc w:val="center"/>
                    <w:rPr>
                      <w:color w:val="auto"/>
                      <w:sz w:val="20"/>
                      <w:szCs w:val="20"/>
                      <w:highlight w:val="none"/>
                    </w:rPr>
                  </w:pPr>
                  <w:r>
                    <w:rPr>
                      <w:color w:val="auto"/>
                      <w:sz w:val="20"/>
                      <w:szCs w:val="20"/>
                      <w:highlight w:val="none"/>
                    </w:rPr>
                    <w:t>第十四条 严控煤炭消费总量，逐步降低煤炭消费比重，新建耗煤项目实行煤炭减量替代，逐步推进天然气、电力及可再生能源替代，持续推进煤炭消费总量及比重持续下降。推进水泥、玻璃等行业开展煤炭清洁高效利用</w:t>
                  </w:r>
                </w:p>
              </w:tc>
              <w:tc>
                <w:tcPr>
                  <w:tcW w:w="1215" w:type="pct"/>
                  <w:vAlign w:val="center"/>
                </w:tcPr>
                <w:p w14:paraId="76BB1EE5">
                  <w:pPr>
                    <w:adjustRightInd w:val="0"/>
                    <w:snapToGrid w:val="0"/>
                    <w:ind w:left="-10" w:leftChars="-5" w:right="-10" w:rightChars="-5"/>
                    <w:jc w:val="center"/>
                    <w:rPr>
                      <w:color w:val="auto"/>
                      <w:sz w:val="20"/>
                      <w:szCs w:val="20"/>
                      <w:highlight w:val="none"/>
                    </w:rPr>
                  </w:pPr>
                  <w:r>
                    <w:rPr>
                      <w:rFonts w:hint="eastAsia"/>
                      <w:color w:val="auto"/>
                      <w:sz w:val="20"/>
                      <w:szCs w:val="20"/>
                      <w:highlight w:val="none"/>
                    </w:rPr>
                    <w:t>项目</w:t>
                  </w:r>
                  <w:r>
                    <w:rPr>
                      <w:color w:val="auto"/>
                      <w:sz w:val="20"/>
                      <w:szCs w:val="20"/>
                      <w:highlight w:val="none"/>
                    </w:rPr>
                    <w:t>不涉及</w:t>
                  </w:r>
                  <w:r>
                    <w:rPr>
                      <w:rFonts w:hint="eastAsia"/>
                      <w:color w:val="auto"/>
                      <w:sz w:val="20"/>
                      <w:szCs w:val="20"/>
                      <w:highlight w:val="none"/>
                    </w:rPr>
                    <w:t>煤炭等高污染燃料使用，不属于</w:t>
                  </w:r>
                  <w:bookmarkStart w:id="14" w:name="hmcheck_cff91fc8fd104a1db08955d9f6ee08af"/>
                  <w:r>
                    <w:rPr>
                      <w:rFonts w:hint="eastAsia"/>
                      <w:color w:val="auto"/>
                      <w:sz w:val="20"/>
                      <w:szCs w:val="20"/>
                      <w:highlight w:val="none"/>
                      <w:shd w:val="clear" w:fill="FFAFAA"/>
                    </w:rPr>
                    <w:t>左述</w:t>
                  </w:r>
                  <w:bookmarkEnd w:id="14"/>
                  <w:r>
                    <w:rPr>
                      <w:rFonts w:hint="eastAsia"/>
                      <w:color w:val="auto"/>
                      <w:sz w:val="20"/>
                      <w:szCs w:val="20"/>
                      <w:highlight w:val="none"/>
                    </w:rPr>
                    <w:t>重点行业。</w:t>
                  </w:r>
                </w:p>
              </w:tc>
              <w:tc>
                <w:tcPr>
                  <w:tcW w:w="269" w:type="pct"/>
                  <w:vAlign w:val="center"/>
                </w:tcPr>
                <w:p w14:paraId="5C2BD3BC">
                  <w:pPr>
                    <w:autoSpaceDE w:val="0"/>
                    <w:autoSpaceDN w:val="0"/>
                    <w:adjustRightInd w:val="0"/>
                    <w:snapToGrid w:val="0"/>
                    <w:ind w:left="-10" w:leftChars="-5" w:right="-10" w:rightChars="-5"/>
                    <w:jc w:val="center"/>
                    <w:rPr>
                      <w:color w:val="auto"/>
                      <w:sz w:val="20"/>
                      <w:szCs w:val="20"/>
                      <w:highlight w:val="none"/>
                    </w:rPr>
                  </w:pPr>
                  <w:r>
                    <w:rPr>
                      <w:rFonts w:hint="eastAsia"/>
                      <w:color w:val="auto"/>
                      <w:sz w:val="20"/>
                      <w:szCs w:val="20"/>
                      <w:highlight w:val="none"/>
                    </w:rPr>
                    <w:t>符合</w:t>
                  </w:r>
                </w:p>
              </w:tc>
            </w:tr>
            <w:tr w14:paraId="7515406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41E41FFE">
                  <w:pPr>
                    <w:adjustRightInd w:val="0"/>
                    <w:snapToGrid w:val="0"/>
                    <w:ind w:left="-10" w:leftChars="-5" w:right="-10" w:rightChars="-5"/>
                    <w:jc w:val="center"/>
                    <w:rPr>
                      <w:color w:val="auto"/>
                      <w:sz w:val="20"/>
                      <w:szCs w:val="20"/>
                      <w:highlight w:val="none"/>
                    </w:rPr>
                  </w:pPr>
                </w:p>
              </w:tc>
              <w:tc>
                <w:tcPr>
                  <w:tcW w:w="278" w:type="pct"/>
                  <w:vMerge w:val="continue"/>
                  <w:vAlign w:val="center"/>
                </w:tcPr>
                <w:p w14:paraId="69519477">
                  <w:pPr>
                    <w:adjustRightInd w:val="0"/>
                    <w:snapToGrid w:val="0"/>
                    <w:ind w:left="-10" w:leftChars="-5" w:right="-10" w:rightChars="-5"/>
                    <w:jc w:val="center"/>
                    <w:rPr>
                      <w:color w:val="auto"/>
                      <w:sz w:val="20"/>
                      <w:szCs w:val="20"/>
                      <w:highlight w:val="none"/>
                    </w:rPr>
                  </w:pPr>
                </w:p>
              </w:tc>
              <w:tc>
                <w:tcPr>
                  <w:tcW w:w="2735" w:type="pct"/>
                  <w:vAlign w:val="center"/>
                </w:tcPr>
                <w:p w14:paraId="17D0E803">
                  <w:pPr>
                    <w:adjustRightInd w:val="0"/>
                    <w:snapToGrid w:val="0"/>
                    <w:jc w:val="center"/>
                    <w:rPr>
                      <w:color w:val="auto"/>
                      <w:sz w:val="20"/>
                      <w:szCs w:val="20"/>
                      <w:highlight w:val="none"/>
                    </w:rPr>
                  </w:pPr>
                  <w:r>
                    <w:rPr>
                      <w:color w:val="auto"/>
                      <w:sz w:val="20"/>
                      <w:szCs w:val="20"/>
                      <w:highlight w:val="none"/>
                    </w:rPr>
                    <w:t>第十五条 持续开展重点河流和水库富营养化监测预警及控制，科学实施梯级航电工程生态调度，保证生态基流。</w:t>
                  </w:r>
                </w:p>
              </w:tc>
              <w:tc>
                <w:tcPr>
                  <w:tcW w:w="1215" w:type="pct"/>
                  <w:vAlign w:val="center"/>
                </w:tcPr>
                <w:p w14:paraId="2FF17393">
                  <w:pPr>
                    <w:adjustRightInd w:val="0"/>
                    <w:snapToGrid w:val="0"/>
                    <w:ind w:left="-10" w:leftChars="-5" w:right="-10" w:rightChars="-5"/>
                    <w:jc w:val="center"/>
                    <w:rPr>
                      <w:color w:val="auto"/>
                      <w:sz w:val="20"/>
                      <w:szCs w:val="20"/>
                      <w:highlight w:val="none"/>
                    </w:rPr>
                  </w:pPr>
                  <w:r>
                    <w:rPr>
                      <w:color w:val="auto"/>
                      <w:sz w:val="20"/>
                      <w:szCs w:val="20"/>
                      <w:highlight w:val="none"/>
                    </w:rPr>
                    <w:t>不涉及</w:t>
                  </w:r>
                </w:p>
              </w:tc>
              <w:tc>
                <w:tcPr>
                  <w:tcW w:w="269" w:type="pct"/>
                  <w:vAlign w:val="center"/>
                </w:tcPr>
                <w:p w14:paraId="64EE1C53">
                  <w:pPr>
                    <w:autoSpaceDE w:val="0"/>
                    <w:autoSpaceDN w:val="0"/>
                    <w:adjustRightInd w:val="0"/>
                    <w:snapToGrid w:val="0"/>
                    <w:ind w:left="-10" w:leftChars="-5" w:right="-10" w:rightChars="-5"/>
                    <w:jc w:val="center"/>
                    <w:rPr>
                      <w:color w:val="auto"/>
                      <w:sz w:val="20"/>
                      <w:szCs w:val="20"/>
                      <w:highlight w:val="none"/>
                    </w:rPr>
                  </w:pPr>
                  <w:r>
                    <w:rPr>
                      <w:rFonts w:hint="eastAsia"/>
                      <w:color w:val="auto"/>
                      <w:sz w:val="20"/>
                      <w:szCs w:val="20"/>
                      <w:highlight w:val="none"/>
                    </w:rPr>
                    <w:t>/</w:t>
                  </w:r>
                </w:p>
              </w:tc>
            </w:tr>
            <w:tr w14:paraId="545A2C8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62C0885F">
                  <w:pPr>
                    <w:adjustRightInd w:val="0"/>
                    <w:snapToGrid w:val="0"/>
                    <w:ind w:left="-10" w:leftChars="-5" w:right="-10" w:rightChars="-5"/>
                    <w:jc w:val="center"/>
                    <w:rPr>
                      <w:color w:val="auto"/>
                      <w:sz w:val="20"/>
                      <w:szCs w:val="20"/>
                      <w:highlight w:val="none"/>
                    </w:rPr>
                  </w:pPr>
                </w:p>
              </w:tc>
              <w:tc>
                <w:tcPr>
                  <w:tcW w:w="278" w:type="pct"/>
                  <w:vMerge w:val="continue"/>
                  <w:vAlign w:val="center"/>
                </w:tcPr>
                <w:p w14:paraId="085403A6">
                  <w:pPr>
                    <w:adjustRightInd w:val="0"/>
                    <w:snapToGrid w:val="0"/>
                    <w:ind w:left="-10" w:leftChars="-5" w:right="-10" w:rightChars="-5"/>
                    <w:jc w:val="center"/>
                    <w:rPr>
                      <w:color w:val="auto"/>
                      <w:sz w:val="20"/>
                      <w:szCs w:val="20"/>
                      <w:highlight w:val="none"/>
                    </w:rPr>
                  </w:pPr>
                </w:p>
              </w:tc>
              <w:tc>
                <w:tcPr>
                  <w:tcW w:w="2735" w:type="pct"/>
                  <w:vAlign w:val="center"/>
                </w:tcPr>
                <w:p w14:paraId="2E620B57">
                  <w:pPr>
                    <w:adjustRightInd w:val="0"/>
                    <w:snapToGrid w:val="0"/>
                    <w:jc w:val="center"/>
                    <w:rPr>
                      <w:color w:val="auto"/>
                      <w:sz w:val="20"/>
                      <w:szCs w:val="20"/>
                      <w:highlight w:val="none"/>
                    </w:rPr>
                  </w:pPr>
                  <w:r>
                    <w:rPr>
                      <w:color w:val="auto"/>
                      <w:sz w:val="20"/>
                      <w:szCs w:val="20"/>
                      <w:highlight w:val="none"/>
                    </w:rPr>
                    <w:t>第十六条 在高污染燃料禁燃区内，禁止销售、燃用高污染燃料；禁止新建、扩建燃用高污染燃料的设施，已建成的，应当在城市人民政府规定的期限内改用天然气、页岩气、液化石油气、</w:t>
                  </w:r>
                  <w:bookmarkStart w:id="15" w:name="hmcheck_7b7c1c3fb0404653b8a7c22ffd56d335"/>
                  <w:r>
                    <w:rPr>
                      <w:color w:val="auto"/>
                      <w:sz w:val="20"/>
                      <w:szCs w:val="20"/>
                      <w:highlight w:val="none"/>
                      <w:shd w:val="clear" w:fill="FFAFAA"/>
                    </w:rPr>
                    <w:t>电</w:t>
                  </w:r>
                  <w:bookmarkEnd w:id="15"/>
                  <w:r>
                    <w:rPr>
                      <w:color w:val="auto"/>
                      <w:sz w:val="20"/>
                      <w:szCs w:val="20"/>
                      <w:highlight w:val="none"/>
                    </w:rPr>
                    <w:t>或者其他清洁能源。</w:t>
                  </w:r>
                </w:p>
              </w:tc>
              <w:tc>
                <w:tcPr>
                  <w:tcW w:w="1215" w:type="pct"/>
                  <w:vAlign w:val="center"/>
                </w:tcPr>
                <w:p w14:paraId="71B47EF0">
                  <w:pPr>
                    <w:adjustRightInd w:val="0"/>
                    <w:snapToGrid w:val="0"/>
                    <w:ind w:left="-10" w:leftChars="-5" w:right="-10" w:rightChars="-5"/>
                    <w:jc w:val="center"/>
                    <w:rPr>
                      <w:color w:val="auto"/>
                      <w:sz w:val="20"/>
                      <w:szCs w:val="20"/>
                      <w:highlight w:val="none"/>
                    </w:rPr>
                  </w:pPr>
                  <w:r>
                    <w:rPr>
                      <w:color w:val="auto"/>
                      <w:sz w:val="20"/>
                      <w:szCs w:val="20"/>
                      <w:highlight w:val="none"/>
                    </w:rPr>
                    <w:t>项目</w:t>
                  </w:r>
                  <w:r>
                    <w:rPr>
                      <w:rFonts w:hint="eastAsia"/>
                      <w:color w:val="auto"/>
                      <w:sz w:val="20"/>
                      <w:szCs w:val="20"/>
                      <w:highlight w:val="none"/>
                    </w:rPr>
                    <w:t>使用清洁能源</w:t>
                  </w:r>
                  <w:r>
                    <w:rPr>
                      <w:color w:val="auto"/>
                      <w:sz w:val="20"/>
                      <w:szCs w:val="20"/>
                      <w:highlight w:val="none"/>
                    </w:rPr>
                    <w:t>，不涉及用煤</w:t>
                  </w:r>
                  <w:r>
                    <w:rPr>
                      <w:rFonts w:hint="eastAsia"/>
                      <w:color w:val="auto"/>
                      <w:sz w:val="20"/>
                      <w:szCs w:val="20"/>
                      <w:highlight w:val="none"/>
                    </w:rPr>
                    <w:t>等高污染燃料。</w:t>
                  </w:r>
                </w:p>
              </w:tc>
              <w:tc>
                <w:tcPr>
                  <w:tcW w:w="269" w:type="pct"/>
                  <w:vAlign w:val="center"/>
                </w:tcPr>
                <w:p w14:paraId="6D649E67">
                  <w:pPr>
                    <w:autoSpaceDE w:val="0"/>
                    <w:autoSpaceDN w:val="0"/>
                    <w:adjustRightInd w:val="0"/>
                    <w:snapToGrid w:val="0"/>
                    <w:ind w:left="-10" w:leftChars="-5" w:right="-10" w:rightChars="-5"/>
                    <w:jc w:val="center"/>
                    <w:rPr>
                      <w:color w:val="auto"/>
                      <w:sz w:val="20"/>
                      <w:szCs w:val="20"/>
                      <w:highlight w:val="none"/>
                    </w:rPr>
                  </w:pPr>
                  <w:r>
                    <w:rPr>
                      <w:rFonts w:hint="eastAsia"/>
                      <w:color w:val="auto"/>
                      <w:sz w:val="20"/>
                      <w:szCs w:val="20"/>
                      <w:highlight w:val="none"/>
                    </w:rPr>
                    <w:t>符合</w:t>
                  </w:r>
                </w:p>
              </w:tc>
            </w:tr>
            <w:tr w14:paraId="77C4ED6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6B443992">
                  <w:pPr>
                    <w:adjustRightInd w:val="0"/>
                    <w:snapToGrid w:val="0"/>
                    <w:ind w:left="-10" w:leftChars="-5" w:right="-10" w:rightChars="-5"/>
                    <w:jc w:val="center"/>
                    <w:rPr>
                      <w:color w:val="auto"/>
                      <w:sz w:val="20"/>
                      <w:szCs w:val="20"/>
                      <w:highlight w:val="none"/>
                    </w:rPr>
                  </w:pPr>
                </w:p>
              </w:tc>
              <w:tc>
                <w:tcPr>
                  <w:tcW w:w="278" w:type="pct"/>
                  <w:vMerge w:val="continue"/>
                  <w:vAlign w:val="center"/>
                </w:tcPr>
                <w:p w14:paraId="15696199">
                  <w:pPr>
                    <w:adjustRightInd w:val="0"/>
                    <w:snapToGrid w:val="0"/>
                    <w:ind w:left="-10" w:leftChars="-5" w:right="-10" w:rightChars="-5"/>
                    <w:jc w:val="center"/>
                    <w:rPr>
                      <w:color w:val="auto"/>
                      <w:sz w:val="20"/>
                      <w:szCs w:val="20"/>
                      <w:highlight w:val="none"/>
                    </w:rPr>
                  </w:pPr>
                </w:p>
              </w:tc>
              <w:tc>
                <w:tcPr>
                  <w:tcW w:w="2735" w:type="pct"/>
                  <w:vAlign w:val="center"/>
                </w:tcPr>
                <w:p w14:paraId="2F371879">
                  <w:pPr>
                    <w:adjustRightInd w:val="0"/>
                    <w:snapToGrid w:val="0"/>
                    <w:jc w:val="center"/>
                    <w:rPr>
                      <w:color w:val="auto"/>
                      <w:sz w:val="20"/>
                      <w:szCs w:val="20"/>
                      <w:highlight w:val="none"/>
                    </w:rPr>
                  </w:pPr>
                  <w:r>
                    <w:rPr>
                      <w:color w:val="auto"/>
                      <w:sz w:val="20"/>
                      <w:szCs w:val="20"/>
                      <w:highlight w:val="none"/>
                    </w:rPr>
                    <w:t>第十七条 禁止违法利用、占用长江流域河湖岸线。禁止《长江岸线保护和开发利用总体规划》划定的岸线保护区和岸线保留区内投资建设除公共安全及公众利益的防洪护岸、河道治理、供水、生态环境保护、航道整治、国家重要基础设施以外的项目</w:t>
                  </w:r>
                </w:p>
              </w:tc>
              <w:tc>
                <w:tcPr>
                  <w:tcW w:w="1215" w:type="pct"/>
                  <w:vAlign w:val="center"/>
                </w:tcPr>
                <w:p w14:paraId="4B9E0EE2">
                  <w:pPr>
                    <w:adjustRightInd w:val="0"/>
                    <w:snapToGrid w:val="0"/>
                    <w:ind w:left="-10" w:leftChars="-5" w:right="-10" w:rightChars="-5"/>
                    <w:jc w:val="center"/>
                    <w:rPr>
                      <w:color w:val="auto"/>
                      <w:sz w:val="20"/>
                      <w:szCs w:val="20"/>
                      <w:highlight w:val="none"/>
                    </w:rPr>
                  </w:pPr>
                  <w:r>
                    <w:rPr>
                      <w:rFonts w:hint="eastAsia"/>
                      <w:color w:val="auto"/>
                      <w:sz w:val="20"/>
                      <w:szCs w:val="20"/>
                      <w:highlight w:val="none"/>
                    </w:rPr>
                    <w:t>项目距离嘉陵江约6公里，不涉及岸线占用。</w:t>
                  </w:r>
                </w:p>
              </w:tc>
              <w:tc>
                <w:tcPr>
                  <w:tcW w:w="269" w:type="pct"/>
                  <w:vAlign w:val="center"/>
                </w:tcPr>
                <w:p w14:paraId="7056CF72">
                  <w:pPr>
                    <w:autoSpaceDE w:val="0"/>
                    <w:autoSpaceDN w:val="0"/>
                    <w:adjustRightInd w:val="0"/>
                    <w:snapToGrid w:val="0"/>
                    <w:ind w:left="-10" w:leftChars="-5" w:right="-10" w:rightChars="-5"/>
                    <w:jc w:val="center"/>
                    <w:rPr>
                      <w:color w:val="auto"/>
                      <w:sz w:val="20"/>
                      <w:szCs w:val="20"/>
                      <w:highlight w:val="none"/>
                    </w:rPr>
                  </w:pPr>
                  <w:r>
                    <w:rPr>
                      <w:rFonts w:hint="eastAsia"/>
                      <w:color w:val="auto"/>
                      <w:sz w:val="20"/>
                      <w:szCs w:val="20"/>
                      <w:highlight w:val="none"/>
                    </w:rPr>
                    <w:t>符合</w:t>
                  </w:r>
                </w:p>
              </w:tc>
            </w:tr>
            <w:tr w14:paraId="43C66D6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restart"/>
                  <w:vAlign w:val="center"/>
                </w:tcPr>
                <w:p w14:paraId="0D000BE2">
                  <w:pPr>
                    <w:adjustRightInd w:val="0"/>
                    <w:snapToGrid w:val="0"/>
                    <w:ind w:left="-10" w:leftChars="-5" w:right="-10" w:rightChars="-5"/>
                    <w:jc w:val="center"/>
                    <w:rPr>
                      <w:color w:val="auto"/>
                      <w:sz w:val="20"/>
                      <w:szCs w:val="20"/>
                      <w:highlight w:val="none"/>
                    </w:rPr>
                  </w:pPr>
                  <w:r>
                    <w:rPr>
                      <w:rFonts w:hint="eastAsia"/>
                      <w:color w:val="auto"/>
                      <w:kern w:val="0"/>
                      <w:sz w:val="20"/>
                      <w:szCs w:val="20"/>
                      <w:highlight w:val="none"/>
                    </w:rPr>
                    <w:t>合川区工业城镇重点管控单元</w:t>
                  </w:r>
                  <w:bookmarkStart w:id="16" w:name="hmcheck_4538c5932fbf4e4e9d4e3a2376593bc3"/>
                  <w:r>
                    <w:rPr>
                      <w:rFonts w:hint="eastAsia"/>
                      <w:color w:val="auto"/>
                      <w:kern w:val="0"/>
                      <w:sz w:val="20"/>
                      <w:szCs w:val="20"/>
                      <w:highlight w:val="none"/>
                      <w:shd w:val="clear" w:fill="FFAFAA"/>
                    </w:rPr>
                    <w:t>-天</w:t>
                  </w:r>
                  <w:bookmarkEnd w:id="16"/>
                  <w:r>
                    <w:rPr>
                      <w:rFonts w:hint="eastAsia"/>
                      <w:color w:val="auto"/>
                      <w:kern w:val="0"/>
                      <w:sz w:val="20"/>
                      <w:szCs w:val="20"/>
                      <w:highlight w:val="none"/>
                    </w:rPr>
                    <w:t>顶片区</w:t>
                  </w:r>
                </w:p>
              </w:tc>
              <w:tc>
                <w:tcPr>
                  <w:tcW w:w="278" w:type="pct"/>
                  <w:vAlign w:val="center"/>
                </w:tcPr>
                <w:p w14:paraId="2901193B">
                  <w:pPr>
                    <w:adjustRightInd w:val="0"/>
                    <w:snapToGrid w:val="0"/>
                    <w:ind w:left="-10" w:leftChars="-5" w:right="-10" w:rightChars="-5"/>
                    <w:jc w:val="center"/>
                    <w:rPr>
                      <w:color w:val="auto"/>
                      <w:sz w:val="20"/>
                      <w:szCs w:val="20"/>
                      <w:highlight w:val="none"/>
                    </w:rPr>
                  </w:pPr>
                  <w:r>
                    <w:rPr>
                      <w:rFonts w:hint="eastAsia"/>
                      <w:color w:val="auto"/>
                      <w:sz w:val="20"/>
                      <w:szCs w:val="20"/>
                      <w:highlight w:val="none"/>
                    </w:rPr>
                    <w:t>空间布局约束</w:t>
                  </w:r>
                </w:p>
              </w:tc>
              <w:tc>
                <w:tcPr>
                  <w:tcW w:w="2735" w:type="pct"/>
                  <w:vAlign w:val="center"/>
                </w:tcPr>
                <w:p w14:paraId="5FE6046F">
                  <w:pPr>
                    <w:adjustRightInd w:val="0"/>
                    <w:snapToGrid w:val="0"/>
                    <w:jc w:val="center"/>
                    <w:rPr>
                      <w:color w:val="auto"/>
                      <w:sz w:val="20"/>
                      <w:szCs w:val="20"/>
                      <w:highlight w:val="none"/>
                    </w:rPr>
                  </w:pPr>
                  <w:r>
                    <w:rPr>
                      <w:rFonts w:hint="eastAsia"/>
                      <w:color w:val="auto"/>
                      <w:sz w:val="20"/>
                      <w:szCs w:val="20"/>
                      <w:highlight w:val="none"/>
                    </w:rPr>
                    <w:t>1.临近居住、学校教育等用地侧禁止布设喷涂、铸造等大气污染较重和噪声影响较大的项目；与居住、学校教育等用地间距小于50米的已建企业，应当通过优化调整布局、加强环保措施等方式，确保不扰民。</w:t>
                  </w:r>
                </w:p>
              </w:tc>
              <w:tc>
                <w:tcPr>
                  <w:tcW w:w="1215" w:type="pct"/>
                  <w:vAlign w:val="center"/>
                </w:tcPr>
                <w:p w14:paraId="00E7E178">
                  <w:pPr>
                    <w:adjustRightInd w:val="0"/>
                    <w:snapToGrid w:val="0"/>
                    <w:ind w:left="-10" w:leftChars="-5" w:right="-10" w:rightChars="-5"/>
                    <w:jc w:val="center"/>
                    <w:rPr>
                      <w:color w:val="auto"/>
                      <w:sz w:val="20"/>
                      <w:szCs w:val="20"/>
                      <w:highlight w:val="none"/>
                    </w:rPr>
                  </w:pPr>
                  <w:r>
                    <w:rPr>
                      <w:rFonts w:hint="eastAsia"/>
                      <w:color w:val="auto"/>
                      <w:sz w:val="20"/>
                      <w:szCs w:val="20"/>
                      <w:highlight w:val="none"/>
                    </w:rPr>
                    <w:t>项目周边地块均为工业用地、道路用地、绿化用地等，50m范围内无居民区、学校等保护目标。</w:t>
                  </w:r>
                </w:p>
              </w:tc>
              <w:tc>
                <w:tcPr>
                  <w:tcW w:w="269" w:type="pct"/>
                  <w:vAlign w:val="center"/>
                </w:tcPr>
                <w:p w14:paraId="1D61EC6B">
                  <w:pPr>
                    <w:autoSpaceDE w:val="0"/>
                    <w:autoSpaceDN w:val="0"/>
                    <w:adjustRightInd w:val="0"/>
                    <w:snapToGrid w:val="0"/>
                    <w:ind w:left="-10" w:leftChars="-5" w:right="-10" w:rightChars="-5"/>
                    <w:jc w:val="center"/>
                    <w:rPr>
                      <w:color w:val="auto"/>
                      <w:sz w:val="20"/>
                      <w:szCs w:val="20"/>
                      <w:highlight w:val="none"/>
                    </w:rPr>
                  </w:pPr>
                  <w:r>
                    <w:rPr>
                      <w:rFonts w:hint="eastAsia"/>
                      <w:color w:val="auto"/>
                      <w:sz w:val="20"/>
                      <w:szCs w:val="20"/>
                      <w:highlight w:val="none"/>
                    </w:rPr>
                    <w:t>符合</w:t>
                  </w:r>
                </w:p>
              </w:tc>
            </w:tr>
            <w:tr w14:paraId="6709F88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0B356789">
                  <w:pPr>
                    <w:adjustRightInd w:val="0"/>
                    <w:snapToGrid w:val="0"/>
                    <w:ind w:left="-10" w:leftChars="-5" w:right="-10" w:rightChars="-5"/>
                    <w:jc w:val="center"/>
                    <w:rPr>
                      <w:color w:val="auto"/>
                      <w:kern w:val="0"/>
                      <w:sz w:val="20"/>
                      <w:szCs w:val="20"/>
                      <w:highlight w:val="none"/>
                    </w:rPr>
                  </w:pPr>
                </w:p>
              </w:tc>
              <w:tc>
                <w:tcPr>
                  <w:tcW w:w="278" w:type="pct"/>
                  <w:vAlign w:val="center"/>
                </w:tcPr>
                <w:p w14:paraId="5CA37EED">
                  <w:pPr>
                    <w:adjustRightInd w:val="0"/>
                    <w:snapToGrid w:val="0"/>
                    <w:ind w:left="-10" w:leftChars="-5" w:right="-10" w:rightChars="-5"/>
                    <w:jc w:val="center"/>
                    <w:rPr>
                      <w:color w:val="auto"/>
                      <w:sz w:val="20"/>
                      <w:szCs w:val="20"/>
                      <w:highlight w:val="none"/>
                    </w:rPr>
                  </w:pPr>
                  <w:r>
                    <w:rPr>
                      <w:rFonts w:hint="eastAsia"/>
                      <w:color w:val="auto"/>
                      <w:sz w:val="20"/>
                      <w:szCs w:val="20"/>
                      <w:highlight w:val="none"/>
                    </w:rPr>
                    <w:t>污染物排放管控</w:t>
                  </w:r>
                </w:p>
              </w:tc>
              <w:tc>
                <w:tcPr>
                  <w:tcW w:w="2735" w:type="pct"/>
                  <w:vAlign w:val="center"/>
                </w:tcPr>
                <w:p w14:paraId="3826CEE0">
                  <w:pPr>
                    <w:numPr>
                      <w:ilvl w:val="0"/>
                      <w:numId w:val="5"/>
                    </w:numPr>
                    <w:adjustRightInd w:val="0"/>
                    <w:snapToGrid w:val="0"/>
                    <w:jc w:val="left"/>
                    <w:rPr>
                      <w:color w:val="auto"/>
                      <w:sz w:val="20"/>
                      <w:szCs w:val="20"/>
                      <w:highlight w:val="none"/>
                    </w:rPr>
                  </w:pPr>
                  <w:r>
                    <w:rPr>
                      <w:color w:val="auto"/>
                      <w:sz w:val="20"/>
                      <w:szCs w:val="20"/>
                      <w:highlight w:val="none"/>
                    </w:rPr>
                    <w:t>以工业涂装、包装印刷等行业为重点，实施原辅材料和产品源头替代。工业涂装企业和涉及喷涂作业的机动车维修服务企业，应当按照规定安装、使用污染防治设施，使用低挥发性有机物含量的原辅材料，或者进行工艺改造，并对原辅材料储运、加工生产、废弃物处置等环节实施全过程控制。</w:t>
                  </w:r>
                </w:p>
                <w:p w14:paraId="171DCFEC">
                  <w:pPr>
                    <w:numPr>
                      <w:ilvl w:val="0"/>
                      <w:numId w:val="5"/>
                    </w:numPr>
                    <w:adjustRightInd w:val="0"/>
                    <w:snapToGrid w:val="0"/>
                    <w:jc w:val="left"/>
                    <w:rPr>
                      <w:color w:val="auto"/>
                      <w:sz w:val="20"/>
                      <w:szCs w:val="20"/>
                      <w:highlight w:val="none"/>
                    </w:rPr>
                  </w:pPr>
                  <w:r>
                    <w:rPr>
                      <w:color w:val="auto"/>
                      <w:sz w:val="20"/>
                      <w:szCs w:val="20"/>
                      <w:highlight w:val="none"/>
                    </w:rPr>
                    <w:t>加快建设微车基地污水处理厂，确保与服务范围的工业项目建设相衔接，保证规划区生活污水和</w:t>
                  </w:r>
                  <w:bookmarkStart w:id="17" w:name="hmcheck_330549c4176346599cd0684144098a7b"/>
                  <w:r>
                    <w:rPr>
                      <w:color w:val="auto"/>
                      <w:sz w:val="20"/>
                      <w:szCs w:val="20"/>
                      <w:highlight w:val="none"/>
                      <w:shd w:val="clear" w:fill="FFAFAA"/>
                    </w:rPr>
                    <w:t>工业废水可</w:t>
                  </w:r>
                  <w:bookmarkEnd w:id="17"/>
                  <w:r>
                    <w:rPr>
                      <w:color w:val="auto"/>
                      <w:sz w:val="20"/>
                      <w:szCs w:val="20"/>
                      <w:highlight w:val="none"/>
                    </w:rPr>
                    <w:t>得到有效收集处置。</w:t>
                  </w:r>
                </w:p>
                <w:p w14:paraId="64F1B7C7">
                  <w:pPr>
                    <w:adjustRightInd w:val="0"/>
                    <w:snapToGrid w:val="0"/>
                    <w:jc w:val="left"/>
                    <w:rPr>
                      <w:color w:val="auto"/>
                      <w:sz w:val="20"/>
                      <w:szCs w:val="20"/>
                      <w:highlight w:val="none"/>
                    </w:rPr>
                  </w:pPr>
                  <w:r>
                    <w:rPr>
                      <w:color w:val="auto"/>
                      <w:sz w:val="20"/>
                      <w:szCs w:val="20"/>
                      <w:highlight w:val="none"/>
                    </w:rPr>
                    <w:t>3.加快清平镇、土场镇生活污水雨污分流改造，无法实施分流制区域提高截留倍数。</w:t>
                  </w:r>
                </w:p>
              </w:tc>
              <w:tc>
                <w:tcPr>
                  <w:tcW w:w="1215" w:type="pct"/>
                  <w:vAlign w:val="center"/>
                </w:tcPr>
                <w:p w14:paraId="5285098B">
                  <w:pPr>
                    <w:adjustRightInd w:val="0"/>
                    <w:snapToGrid w:val="0"/>
                    <w:ind w:left="-10" w:leftChars="-5" w:right="-10" w:rightChars="-5"/>
                    <w:jc w:val="center"/>
                    <w:rPr>
                      <w:rFonts w:eastAsia="微软雅黑"/>
                      <w:color w:val="auto"/>
                      <w:sz w:val="20"/>
                      <w:szCs w:val="20"/>
                      <w:highlight w:val="none"/>
                    </w:rPr>
                  </w:pPr>
                  <w:r>
                    <w:rPr>
                      <w:color w:val="auto"/>
                      <w:sz w:val="20"/>
                      <w:szCs w:val="20"/>
                      <w:highlight w:val="none"/>
                    </w:rPr>
                    <w:t>项目不涉及涂装</w:t>
                  </w:r>
                  <w:r>
                    <w:rPr>
                      <w:rFonts w:hint="eastAsia"/>
                      <w:color w:val="auto"/>
                      <w:sz w:val="20"/>
                      <w:szCs w:val="20"/>
                      <w:highlight w:val="none"/>
                    </w:rPr>
                    <w:t>、包装印刷</w:t>
                  </w:r>
                  <w:r>
                    <w:rPr>
                      <w:color w:val="auto"/>
                      <w:sz w:val="20"/>
                      <w:szCs w:val="20"/>
                      <w:highlight w:val="none"/>
                    </w:rPr>
                    <w:t>作业，所用</w:t>
                  </w:r>
                  <w:r>
                    <w:rPr>
                      <w:rFonts w:hint="eastAsia"/>
                      <w:color w:val="auto"/>
                      <w:sz w:val="20"/>
                      <w:szCs w:val="20"/>
                      <w:highlight w:val="none"/>
                    </w:rPr>
                    <w:t>折边</w:t>
                  </w:r>
                  <w:r>
                    <w:rPr>
                      <w:color w:val="auto"/>
                      <w:sz w:val="20"/>
                      <w:szCs w:val="20"/>
                      <w:highlight w:val="none"/>
                    </w:rPr>
                    <w:t>胶为低挥发性有机物含量产品</w:t>
                  </w:r>
                  <w:r>
                    <w:rPr>
                      <w:rFonts w:hint="eastAsia"/>
                      <w:color w:val="auto"/>
                      <w:sz w:val="20"/>
                      <w:szCs w:val="20"/>
                      <w:highlight w:val="none"/>
                    </w:rPr>
                    <w:t>。</w:t>
                  </w:r>
                  <w:r>
                    <w:rPr>
                      <w:color w:val="auto"/>
                      <w:sz w:val="20"/>
                      <w:szCs w:val="20"/>
                      <w:highlight w:val="none"/>
                    </w:rPr>
                    <w:t>厂区雨污分流</w:t>
                  </w:r>
                  <w:r>
                    <w:rPr>
                      <w:rFonts w:hint="eastAsia"/>
                      <w:color w:val="auto"/>
                      <w:sz w:val="20"/>
                      <w:szCs w:val="20"/>
                      <w:highlight w:val="none"/>
                    </w:rPr>
                    <w:t>，</w:t>
                  </w:r>
                  <w:r>
                    <w:rPr>
                      <w:color w:val="auto"/>
                      <w:sz w:val="20"/>
                      <w:szCs w:val="20"/>
                      <w:highlight w:val="none"/>
                    </w:rPr>
                    <w:t>污废水厂区</w:t>
                  </w:r>
                  <w:r>
                    <w:rPr>
                      <w:rFonts w:hint="eastAsia"/>
                      <w:color w:val="auto"/>
                      <w:sz w:val="20"/>
                      <w:szCs w:val="20"/>
                      <w:highlight w:val="none"/>
                    </w:rPr>
                    <w:t>内</w:t>
                  </w:r>
                  <w:r>
                    <w:rPr>
                      <w:color w:val="auto"/>
                      <w:sz w:val="20"/>
                      <w:szCs w:val="20"/>
                      <w:highlight w:val="none"/>
                    </w:rPr>
                    <w:t>预处理达标后经市政管网排至银翔新城污水处理厂处理达一级A标后排放</w:t>
                  </w:r>
                  <w:r>
                    <w:rPr>
                      <w:rFonts w:hint="eastAsia"/>
                      <w:color w:val="auto"/>
                      <w:sz w:val="20"/>
                      <w:szCs w:val="20"/>
                      <w:highlight w:val="none"/>
                    </w:rPr>
                    <w:t>。</w:t>
                  </w:r>
                </w:p>
              </w:tc>
              <w:tc>
                <w:tcPr>
                  <w:tcW w:w="269" w:type="pct"/>
                  <w:vAlign w:val="center"/>
                </w:tcPr>
                <w:p w14:paraId="529E87FF">
                  <w:pPr>
                    <w:autoSpaceDE w:val="0"/>
                    <w:autoSpaceDN w:val="0"/>
                    <w:adjustRightInd w:val="0"/>
                    <w:snapToGrid w:val="0"/>
                    <w:ind w:left="-10" w:leftChars="-5" w:right="-10" w:rightChars="-5"/>
                    <w:jc w:val="center"/>
                    <w:rPr>
                      <w:color w:val="auto"/>
                      <w:sz w:val="20"/>
                      <w:szCs w:val="20"/>
                      <w:highlight w:val="none"/>
                    </w:rPr>
                  </w:pPr>
                  <w:r>
                    <w:rPr>
                      <w:rFonts w:hint="eastAsia"/>
                      <w:color w:val="auto"/>
                      <w:sz w:val="20"/>
                      <w:szCs w:val="20"/>
                      <w:highlight w:val="none"/>
                    </w:rPr>
                    <w:t>符合</w:t>
                  </w:r>
                </w:p>
              </w:tc>
            </w:tr>
            <w:tr w14:paraId="7CCBF3E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 w:type="pct"/>
                  <w:vMerge w:val="continue"/>
                  <w:vAlign w:val="center"/>
                </w:tcPr>
                <w:p w14:paraId="7CB277AD">
                  <w:pPr>
                    <w:adjustRightInd w:val="0"/>
                    <w:snapToGrid w:val="0"/>
                    <w:ind w:left="-10" w:leftChars="-5" w:right="-10" w:rightChars="-5"/>
                    <w:jc w:val="center"/>
                    <w:rPr>
                      <w:color w:val="auto"/>
                      <w:kern w:val="0"/>
                      <w:sz w:val="20"/>
                      <w:szCs w:val="20"/>
                      <w:highlight w:val="none"/>
                    </w:rPr>
                  </w:pPr>
                </w:p>
              </w:tc>
              <w:tc>
                <w:tcPr>
                  <w:tcW w:w="278" w:type="pct"/>
                  <w:vAlign w:val="center"/>
                </w:tcPr>
                <w:p w14:paraId="5D1BA19A">
                  <w:pPr>
                    <w:adjustRightInd w:val="0"/>
                    <w:snapToGrid w:val="0"/>
                    <w:ind w:left="-10" w:leftChars="-5" w:right="-10" w:rightChars="-5"/>
                    <w:jc w:val="center"/>
                    <w:rPr>
                      <w:color w:val="auto"/>
                      <w:sz w:val="20"/>
                      <w:szCs w:val="20"/>
                      <w:highlight w:val="none"/>
                    </w:rPr>
                  </w:pPr>
                  <w:r>
                    <w:rPr>
                      <w:rFonts w:hint="eastAsia"/>
                      <w:color w:val="auto"/>
                      <w:sz w:val="20"/>
                      <w:szCs w:val="20"/>
                      <w:highlight w:val="none"/>
                    </w:rPr>
                    <w:t>环境风险防控</w:t>
                  </w:r>
                </w:p>
              </w:tc>
              <w:tc>
                <w:tcPr>
                  <w:tcW w:w="2735" w:type="pct"/>
                  <w:vAlign w:val="center"/>
                </w:tcPr>
                <w:p w14:paraId="7064B4AE">
                  <w:pPr>
                    <w:adjustRightInd w:val="0"/>
                    <w:snapToGrid w:val="0"/>
                    <w:jc w:val="center"/>
                    <w:rPr>
                      <w:color w:val="auto"/>
                      <w:sz w:val="20"/>
                      <w:szCs w:val="20"/>
                      <w:highlight w:val="none"/>
                    </w:rPr>
                  </w:pPr>
                  <w:r>
                    <w:rPr>
                      <w:rFonts w:hint="eastAsia"/>
                      <w:color w:val="auto"/>
                      <w:sz w:val="20"/>
                      <w:szCs w:val="20"/>
                      <w:highlight w:val="none"/>
                    </w:rPr>
                    <w:t>1.定期开展环境安全排查整治专项行动，建立环境风险隐患排查档案，实行销号制度。</w:t>
                  </w:r>
                </w:p>
              </w:tc>
              <w:tc>
                <w:tcPr>
                  <w:tcW w:w="1215" w:type="pct"/>
                  <w:vAlign w:val="center"/>
                </w:tcPr>
                <w:p w14:paraId="2730BF08">
                  <w:pPr>
                    <w:adjustRightInd w:val="0"/>
                    <w:snapToGrid w:val="0"/>
                    <w:ind w:left="-10" w:leftChars="-5" w:right="-10" w:rightChars="-5"/>
                    <w:jc w:val="center"/>
                    <w:rPr>
                      <w:color w:val="auto"/>
                      <w:sz w:val="20"/>
                      <w:szCs w:val="20"/>
                      <w:highlight w:val="none"/>
                    </w:rPr>
                  </w:pPr>
                  <w:r>
                    <w:rPr>
                      <w:color w:val="auto"/>
                      <w:sz w:val="20"/>
                      <w:szCs w:val="20"/>
                      <w:highlight w:val="none"/>
                    </w:rPr>
                    <w:t>项目建成后将严格按照相关要求开展环境安全隐患排查</w:t>
                  </w:r>
                  <w:r>
                    <w:rPr>
                      <w:rFonts w:hint="eastAsia"/>
                      <w:color w:val="auto"/>
                      <w:sz w:val="20"/>
                      <w:szCs w:val="20"/>
                      <w:highlight w:val="none"/>
                      <w:lang w:eastAsia="zh-CN"/>
                    </w:rPr>
                    <w:t>、</w:t>
                  </w:r>
                  <w:r>
                    <w:rPr>
                      <w:color w:val="auto"/>
                      <w:sz w:val="20"/>
                      <w:szCs w:val="20"/>
                      <w:highlight w:val="none"/>
                    </w:rPr>
                    <w:t>环境风险隐患排查。</w:t>
                  </w:r>
                </w:p>
              </w:tc>
              <w:tc>
                <w:tcPr>
                  <w:tcW w:w="269" w:type="pct"/>
                  <w:vAlign w:val="center"/>
                </w:tcPr>
                <w:p w14:paraId="4AB6E0B3">
                  <w:pPr>
                    <w:autoSpaceDE w:val="0"/>
                    <w:autoSpaceDN w:val="0"/>
                    <w:adjustRightInd w:val="0"/>
                    <w:snapToGrid w:val="0"/>
                    <w:ind w:left="-10" w:leftChars="-5" w:right="-10" w:rightChars="-5"/>
                    <w:jc w:val="center"/>
                    <w:rPr>
                      <w:color w:val="auto"/>
                      <w:sz w:val="20"/>
                      <w:szCs w:val="20"/>
                      <w:highlight w:val="none"/>
                    </w:rPr>
                  </w:pPr>
                  <w:r>
                    <w:rPr>
                      <w:rFonts w:hint="eastAsia"/>
                      <w:color w:val="auto"/>
                      <w:sz w:val="20"/>
                      <w:szCs w:val="20"/>
                      <w:highlight w:val="none"/>
                    </w:rPr>
                    <w:t>符合</w:t>
                  </w:r>
                </w:p>
              </w:tc>
            </w:tr>
          </w:tbl>
          <w:p w14:paraId="7F35B36E">
            <w:pPr>
              <w:autoSpaceDE w:val="0"/>
              <w:autoSpaceDN w:val="0"/>
              <w:adjustRightInd w:val="0"/>
              <w:snapToGrid w:val="0"/>
              <w:ind w:firstLine="520" w:firstLineChars="200"/>
              <w:rPr>
                <w:color w:val="auto"/>
                <w:kern w:val="0"/>
                <w:sz w:val="26"/>
                <w:szCs w:val="26"/>
                <w:highlight w:val="none"/>
              </w:rPr>
            </w:pPr>
          </w:p>
          <w:p w14:paraId="240FAD0A">
            <w:pPr>
              <w:autoSpaceDE w:val="0"/>
              <w:autoSpaceDN w:val="0"/>
              <w:adjustRightInd w:val="0"/>
              <w:snapToGrid w:val="0"/>
              <w:spacing w:line="480" w:lineRule="exact"/>
              <w:ind w:firstLine="520" w:firstLineChars="200"/>
              <w:rPr>
                <w:color w:val="auto"/>
                <w:kern w:val="0"/>
                <w:sz w:val="26"/>
                <w:szCs w:val="26"/>
                <w:highlight w:val="none"/>
              </w:rPr>
            </w:pPr>
            <w:r>
              <w:rPr>
                <w:rFonts w:hint="eastAsia"/>
                <w:color w:val="auto"/>
                <w:kern w:val="0"/>
                <w:sz w:val="26"/>
                <w:szCs w:val="26"/>
                <w:highlight w:val="none"/>
              </w:rPr>
              <w:t>根据分析，项目符合重庆市、合川区生态环境分区管控要求。</w:t>
            </w:r>
          </w:p>
          <w:p w14:paraId="14651B30">
            <w:pPr>
              <w:autoSpaceDE w:val="0"/>
              <w:autoSpaceDN w:val="0"/>
              <w:adjustRightInd w:val="0"/>
              <w:snapToGrid w:val="0"/>
              <w:spacing w:line="480" w:lineRule="exact"/>
              <w:ind w:firstLine="522" w:firstLineChars="200"/>
              <w:rPr>
                <w:rFonts w:ascii="宋体" w:hAnsi="宋体" w:cs="宋体"/>
                <w:b/>
                <w:color w:val="auto"/>
                <w:kern w:val="0"/>
                <w:sz w:val="26"/>
                <w:szCs w:val="26"/>
                <w:highlight w:val="none"/>
              </w:rPr>
            </w:pPr>
            <w:r>
              <w:rPr>
                <w:rFonts w:hint="eastAsia"/>
                <w:b/>
                <w:color w:val="auto"/>
                <w:kern w:val="0"/>
                <w:sz w:val="26"/>
                <w:szCs w:val="26"/>
                <w:highlight w:val="none"/>
              </w:rPr>
              <w:t>1.2.3 与相关生态环境保护规划及政策文件符合性分析</w:t>
            </w:r>
          </w:p>
          <w:p w14:paraId="04FA7EC4">
            <w:pPr>
              <w:autoSpaceDE w:val="0"/>
              <w:autoSpaceDN w:val="0"/>
              <w:adjustRightInd w:val="0"/>
              <w:snapToGrid w:val="0"/>
              <w:spacing w:line="480" w:lineRule="exact"/>
              <w:ind w:firstLine="520" w:firstLineChars="200"/>
              <w:rPr>
                <w:color w:val="auto"/>
                <w:kern w:val="0"/>
                <w:sz w:val="26"/>
                <w:szCs w:val="26"/>
                <w:highlight w:val="none"/>
              </w:rPr>
            </w:pPr>
            <w:r>
              <w:rPr>
                <w:color w:val="auto"/>
                <w:kern w:val="0"/>
                <w:sz w:val="26"/>
                <w:szCs w:val="26"/>
                <w:highlight w:val="none"/>
              </w:rPr>
              <w:t>本项目与重庆市、合川区相关生态环境保护规划及政策文件符合性分析详见下表。</w:t>
            </w:r>
          </w:p>
          <w:p w14:paraId="511EDB06">
            <w:pPr>
              <w:autoSpaceDE w:val="0"/>
              <w:autoSpaceDN w:val="0"/>
              <w:adjustRightInd w:val="0"/>
              <w:snapToGrid w:val="0"/>
              <w:ind w:firstLine="522" w:firstLineChars="200"/>
              <w:rPr>
                <w:b/>
                <w:color w:val="auto"/>
                <w:kern w:val="0"/>
                <w:sz w:val="26"/>
                <w:szCs w:val="26"/>
                <w:highlight w:val="none"/>
              </w:rPr>
            </w:pPr>
          </w:p>
          <w:p w14:paraId="5832B974">
            <w:pPr>
              <w:autoSpaceDE w:val="0"/>
              <w:autoSpaceDN w:val="0"/>
              <w:adjustRightInd w:val="0"/>
              <w:snapToGrid w:val="0"/>
              <w:jc w:val="center"/>
              <w:rPr>
                <w:color w:val="auto"/>
                <w:kern w:val="0"/>
                <w:sz w:val="26"/>
                <w:szCs w:val="26"/>
                <w:highlight w:val="none"/>
              </w:rPr>
            </w:pPr>
            <w:r>
              <w:rPr>
                <w:color w:val="auto"/>
                <w:kern w:val="0"/>
                <w:sz w:val="24"/>
                <w:szCs w:val="26"/>
                <w:highlight w:val="none"/>
              </w:rPr>
              <w:t>表1.</w:t>
            </w:r>
            <w:r>
              <w:rPr>
                <w:rFonts w:hint="eastAsia"/>
                <w:color w:val="auto"/>
                <w:kern w:val="0"/>
                <w:sz w:val="24"/>
                <w:szCs w:val="26"/>
                <w:highlight w:val="none"/>
              </w:rPr>
              <w:t>2</w:t>
            </w:r>
            <w:r>
              <w:rPr>
                <w:color w:val="auto"/>
                <w:kern w:val="0"/>
                <w:sz w:val="24"/>
                <w:szCs w:val="26"/>
                <w:highlight w:val="none"/>
              </w:rPr>
              <w:t>-</w:t>
            </w:r>
            <w:r>
              <w:rPr>
                <w:rFonts w:hint="eastAsia"/>
                <w:color w:val="auto"/>
                <w:kern w:val="0"/>
                <w:sz w:val="24"/>
                <w:szCs w:val="26"/>
                <w:highlight w:val="none"/>
              </w:rPr>
              <w:t>2</w:t>
            </w:r>
            <w:r>
              <w:rPr>
                <w:color w:val="auto"/>
                <w:kern w:val="0"/>
                <w:sz w:val="24"/>
                <w:szCs w:val="26"/>
                <w:highlight w:val="none"/>
              </w:rPr>
              <w:t xml:space="preserve"> 项目与相关生态环境保护规划及政策文件符合性分析表</w:t>
            </w:r>
          </w:p>
          <w:tbl>
            <w:tblPr>
              <w:tblStyle w:val="16"/>
              <w:tblW w:w="48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3386"/>
              <w:gridCol w:w="1813"/>
              <w:gridCol w:w="669"/>
            </w:tblGrid>
            <w:tr w14:paraId="0E96D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pct"/>
                  <w:vAlign w:val="center"/>
                </w:tcPr>
                <w:p w14:paraId="52C13FEC">
                  <w:pPr>
                    <w:jc w:val="center"/>
                    <w:rPr>
                      <w:color w:val="auto"/>
                      <w:sz w:val="20"/>
                      <w:highlight w:val="none"/>
                    </w:rPr>
                  </w:pPr>
                  <w:r>
                    <w:rPr>
                      <w:color w:val="auto"/>
                      <w:sz w:val="20"/>
                      <w:highlight w:val="none"/>
                    </w:rPr>
                    <w:t>文件</w:t>
                  </w:r>
                </w:p>
              </w:tc>
              <w:tc>
                <w:tcPr>
                  <w:tcW w:w="2379" w:type="pct"/>
                  <w:vAlign w:val="center"/>
                </w:tcPr>
                <w:p w14:paraId="30EC380C">
                  <w:pPr>
                    <w:jc w:val="center"/>
                    <w:rPr>
                      <w:bCs/>
                      <w:color w:val="auto"/>
                      <w:sz w:val="20"/>
                      <w:highlight w:val="none"/>
                    </w:rPr>
                  </w:pPr>
                  <w:r>
                    <w:rPr>
                      <w:bCs/>
                      <w:color w:val="auto"/>
                      <w:sz w:val="20"/>
                      <w:highlight w:val="none"/>
                    </w:rPr>
                    <w:t>要求</w:t>
                  </w:r>
                </w:p>
              </w:tc>
              <w:tc>
                <w:tcPr>
                  <w:tcW w:w="1274" w:type="pct"/>
                  <w:vAlign w:val="center"/>
                </w:tcPr>
                <w:p w14:paraId="379D451D">
                  <w:pPr>
                    <w:jc w:val="center"/>
                    <w:rPr>
                      <w:bCs/>
                      <w:color w:val="auto"/>
                      <w:sz w:val="20"/>
                      <w:highlight w:val="none"/>
                    </w:rPr>
                  </w:pPr>
                  <w:r>
                    <w:rPr>
                      <w:bCs/>
                      <w:color w:val="auto"/>
                      <w:sz w:val="20"/>
                      <w:highlight w:val="none"/>
                    </w:rPr>
                    <w:t>项目对应情况介绍</w:t>
                  </w:r>
                </w:p>
              </w:tc>
              <w:tc>
                <w:tcPr>
                  <w:tcW w:w="470" w:type="pct"/>
                  <w:vAlign w:val="center"/>
                </w:tcPr>
                <w:p w14:paraId="71E23B4C">
                  <w:pPr>
                    <w:jc w:val="center"/>
                    <w:rPr>
                      <w:bCs/>
                      <w:color w:val="auto"/>
                      <w:sz w:val="20"/>
                      <w:highlight w:val="none"/>
                    </w:rPr>
                  </w:pPr>
                  <w:r>
                    <w:rPr>
                      <w:bCs/>
                      <w:color w:val="auto"/>
                      <w:sz w:val="20"/>
                      <w:highlight w:val="none"/>
                    </w:rPr>
                    <w:t>符合性分析</w:t>
                  </w:r>
                </w:p>
              </w:tc>
            </w:tr>
            <w:tr w14:paraId="73A64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pct"/>
                  <w:vAlign w:val="center"/>
                </w:tcPr>
                <w:p w14:paraId="465C04E1">
                  <w:pPr>
                    <w:jc w:val="center"/>
                    <w:rPr>
                      <w:color w:val="auto"/>
                      <w:sz w:val="20"/>
                      <w:highlight w:val="none"/>
                    </w:rPr>
                  </w:pPr>
                  <w:r>
                    <w:rPr>
                      <w:rFonts w:hint="eastAsia"/>
                      <w:color w:val="auto"/>
                      <w:sz w:val="20"/>
                      <w:highlight w:val="none"/>
                    </w:rPr>
                    <w:t>《重庆市噪声污染防治办法》（渝府令〔2023〕363号）</w:t>
                  </w:r>
                </w:p>
              </w:tc>
              <w:tc>
                <w:tcPr>
                  <w:tcW w:w="2379" w:type="pct"/>
                  <w:vAlign w:val="center"/>
                </w:tcPr>
                <w:p w14:paraId="71DE1D51">
                  <w:pPr>
                    <w:jc w:val="center"/>
                    <w:rPr>
                      <w:color w:val="auto"/>
                      <w:sz w:val="20"/>
                      <w:highlight w:val="none"/>
                    </w:rPr>
                  </w:pPr>
                  <w:r>
                    <w:rPr>
                      <w:color w:val="auto"/>
                      <w:sz w:val="20"/>
                      <w:highlight w:val="none"/>
                    </w:rPr>
                    <w:t>第六条</w:t>
                  </w:r>
                  <w:r>
                    <w:rPr>
                      <w:rFonts w:hint="eastAsia"/>
                      <w:color w:val="auto"/>
                      <w:sz w:val="20"/>
                      <w:highlight w:val="none"/>
                    </w:rPr>
                    <w:t xml:space="preserve"> </w:t>
                  </w:r>
                  <w:r>
                    <w:rPr>
                      <w:color w:val="auto"/>
                      <w:sz w:val="20"/>
                      <w:highlight w:val="none"/>
                    </w:rPr>
                    <w:t>排放工业噪声、产生振动的企业事业单位和其他生产经营者，应当加强固定设备、运输工具、货物装卸等噪声源管理，配备噪声污染防治设施，采取有效措施，减少振动、降低噪声，依法取得排污许可证或者填报排污登记表。</w:t>
                  </w:r>
                </w:p>
              </w:tc>
              <w:tc>
                <w:tcPr>
                  <w:tcW w:w="1274" w:type="pct"/>
                  <w:vAlign w:val="center"/>
                </w:tcPr>
                <w:p w14:paraId="17863F46">
                  <w:pPr>
                    <w:jc w:val="center"/>
                    <w:rPr>
                      <w:color w:val="auto"/>
                      <w:sz w:val="20"/>
                      <w:highlight w:val="none"/>
                    </w:rPr>
                  </w:pPr>
                  <w:r>
                    <w:rPr>
                      <w:color w:val="auto"/>
                      <w:sz w:val="20"/>
                      <w:highlight w:val="none"/>
                    </w:rPr>
                    <w:t>项目</w:t>
                  </w:r>
                  <w:r>
                    <w:rPr>
                      <w:rFonts w:hint="eastAsia"/>
                      <w:color w:val="auto"/>
                      <w:sz w:val="20"/>
                      <w:highlight w:val="none"/>
                    </w:rPr>
                    <w:t>采取</w:t>
                  </w:r>
                  <w:r>
                    <w:rPr>
                      <w:color w:val="auto"/>
                      <w:sz w:val="20"/>
                      <w:highlight w:val="none"/>
                    </w:rPr>
                    <w:t>选用低噪声设备、厂房隔声、基础减振等</w:t>
                  </w:r>
                  <w:r>
                    <w:rPr>
                      <w:rFonts w:hint="eastAsia"/>
                      <w:color w:val="auto"/>
                      <w:sz w:val="20"/>
                      <w:highlight w:val="none"/>
                    </w:rPr>
                    <w:t>降噪措施，后续将严格落实“三同时”制度</w:t>
                  </w:r>
                  <w:r>
                    <w:rPr>
                      <w:color w:val="auto"/>
                      <w:sz w:val="20"/>
                      <w:highlight w:val="none"/>
                    </w:rPr>
                    <w:t>。</w:t>
                  </w:r>
                </w:p>
              </w:tc>
              <w:tc>
                <w:tcPr>
                  <w:tcW w:w="470" w:type="pct"/>
                  <w:vAlign w:val="center"/>
                </w:tcPr>
                <w:p w14:paraId="1C4E96A4">
                  <w:pPr>
                    <w:jc w:val="center"/>
                    <w:rPr>
                      <w:color w:val="auto"/>
                      <w:sz w:val="20"/>
                      <w:highlight w:val="none"/>
                    </w:rPr>
                  </w:pPr>
                  <w:r>
                    <w:rPr>
                      <w:rFonts w:hint="eastAsia"/>
                      <w:color w:val="auto"/>
                      <w:sz w:val="20"/>
                      <w:highlight w:val="none"/>
                    </w:rPr>
                    <w:t>符合</w:t>
                  </w:r>
                </w:p>
              </w:tc>
            </w:tr>
            <w:tr w14:paraId="6B62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pct"/>
                  <w:vAlign w:val="center"/>
                </w:tcPr>
                <w:p w14:paraId="0083A264">
                  <w:pPr>
                    <w:jc w:val="center"/>
                    <w:rPr>
                      <w:color w:val="auto"/>
                      <w:sz w:val="20"/>
                      <w:highlight w:val="none"/>
                    </w:rPr>
                  </w:pPr>
                  <w:r>
                    <w:rPr>
                      <w:color w:val="auto"/>
                      <w:sz w:val="20"/>
                      <w:highlight w:val="none"/>
                    </w:rPr>
                    <w:t>《重庆市空气质量持续改善行动实施方案》（渝府发〔2024〕15号）</w:t>
                  </w:r>
                </w:p>
              </w:tc>
              <w:tc>
                <w:tcPr>
                  <w:tcW w:w="2379" w:type="pct"/>
                  <w:vAlign w:val="center"/>
                </w:tcPr>
                <w:p w14:paraId="200964B9">
                  <w:pPr>
                    <w:jc w:val="center"/>
                    <w:rPr>
                      <w:color w:val="auto"/>
                      <w:sz w:val="20"/>
                      <w:highlight w:val="none"/>
                    </w:rPr>
                  </w:pPr>
                  <w:r>
                    <w:rPr>
                      <w:color w:val="auto"/>
                      <w:sz w:val="20"/>
                      <w:highlight w:val="none"/>
                    </w:rPr>
                    <w:t>（一）推动实施重点行业产业产品绿色转型升级。以“33618”现代制造业集群体系为重点，推动大气治理、减污降碳、绿色转型、能级提升。</w:t>
                  </w:r>
                </w:p>
                <w:p w14:paraId="214ED37F">
                  <w:pPr>
                    <w:jc w:val="center"/>
                    <w:rPr>
                      <w:color w:val="auto"/>
                      <w:sz w:val="20"/>
                      <w:highlight w:val="none"/>
                    </w:rPr>
                  </w:pPr>
                  <w:r>
                    <w:rPr>
                      <w:color w:val="auto"/>
                      <w:sz w:val="20"/>
                      <w:highlight w:val="none"/>
                    </w:rPr>
                    <w:t>（二）遏制高耗能、高排放、低水平项目盲目上马。</w:t>
                  </w:r>
                </w:p>
                <w:p w14:paraId="0FFFC038">
                  <w:pPr>
                    <w:jc w:val="center"/>
                    <w:rPr>
                      <w:color w:val="auto"/>
                      <w:sz w:val="20"/>
                      <w:highlight w:val="none"/>
                    </w:rPr>
                  </w:pPr>
                  <w:r>
                    <w:rPr>
                      <w:color w:val="auto"/>
                      <w:sz w:val="20"/>
                      <w:highlight w:val="none"/>
                    </w:rPr>
                    <w:t>（四）优化含VOCs原辅材料和产品结构。严格执行VOCs含量限值标准，控制生产和使用高VOCs含量涂料、油墨、</w:t>
                  </w:r>
                  <w:bookmarkStart w:id="18" w:name="hmcheck_d58828366bb54dd78f9a24b4fea14e96"/>
                  <w:r>
                    <w:rPr>
                      <w:color w:val="auto"/>
                      <w:sz w:val="20"/>
                      <w:highlight w:val="none"/>
                      <w:shd w:val="clear" w:fill="FFAFAA"/>
                    </w:rPr>
                    <w:t>胶粘剂</w:t>
                  </w:r>
                  <w:bookmarkEnd w:id="18"/>
                  <w:r>
                    <w:rPr>
                      <w:color w:val="auto"/>
                      <w:sz w:val="20"/>
                      <w:highlight w:val="none"/>
                    </w:rPr>
                    <w:t>、清洗剂等建设项目。以工业涂装、印刷包装和电子等行业为重点，提高低（无）VOCs含量产品的数量和比重。</w:t>
                  </w:r>
                </w:p>
                <w:p w14:paraId="3FA8BD28">
                  <w:pPr>
                    <w:jc w:val="center"/>
                    <w:rPr>
                      <w:color w:val="auto"/>
                      <w:sz w:val="20"/>
                      <w:highlight w:val="none"/>
                    </w:rPr>
                  </w:pPr>
                  <w:r>
                    <w:rPr>
                      <w:color w:val="auto"/>
                      <w:sz w:val="20"/>
                      <w:highlight w:val="none"/>
                    </w:rPr>
                    <w:t>（六）严格合理控制煤炭消费总量。</w:t>
                  </w:r>
                </w:p>
                <w:p w14:paraId="4C4287C8">
                  <w:pPr>
                    <w:jc w:val="center"/>
                    <w:rPr>
                      <w:color w:val="auto"/>
                      <w:sz w:val="20"/>
                      <w:highlight w:val="none"/>
                    </w:rPr>
                  </w:pPr>
                  <w:r>
                    <w:rPr>
                      <w:color w:val="auto"/>
                      <w:sz w:val="20"/>
                      <w:highlight w:val="none"/>
                    </w:rPr>
                    <w:t>（八）开展燃煤锅炉关停整合和工业炉窑清洁能源替代。城市建成区原则上不再新建35蒸吨/小时及以下燃煤锅炉。</w:t>
                  </w:r>
                </w:p>
              </w:tc>
              <w:tc>
                <w:tcPr>
                  <w:tcW w:w="1274" w:type="pct"/>
                  <w:vAlign w:val="center"/>
                </w:tcPr>
                <w:p w14:paraId="77E9AC48">
                  <w:pPr>
                    <w:jc w:val="center"/>
                    <w:rPr>
                      <w:color w:val="auto"/>
                      <w:sz w:val="20"/>
                      <w:highlight w:val="none"/>
                    </w:rPr>
                  </w:pPr>
                  <w:r>
                    <w:rPr>
                      <w:rFonts w:hint="eastAsia"/>
                      <w:color w:val="auto"/>
                      <w:sz w:val="20"/>
                      <w:highlight w:val="none"/>
                    </w:rPr>
                    <w:t>项目为汽车配件制造，不属于“两高一低”项目；使用清洁能源，不涉及煤炭使用及燃煤锅炉、工业炉窑。项目采取合理可行的废气污染防治措施，使用折边胶为低VOCs含量产品。</w:t>
                  </w:r>
                </w:p>
              </w:tc>
              <w:tc>
                <w:tcPr>
                  <w:tcW w:w="470" w:type="pct"/>
                  <w:vAlign w:val="center"/>
                </w:tcPr>
                <w:p w14:paraId="24D76AEE">
                  <w:pPr>
                    <w:jc w:val="center"/>
                    <w:rPr>
                      <w:color w:val="auto"/>
                      <w:sz w:val="20"/>
                      <w:highlight w:val="none"/>
                    </w:rPr>
                  </w:pPr>
                  <w:r>
                    <w:rPr>
                      <w:rFonts w:hint="eastAsia"/>
                      <w:color w:val="auto"/>
                      <w:sz w:val="20"/>
                      <w:highlight w:val="none"/>
                    </w:rPr>
                    <w:t>符合</w:t>
                  </w:r>
                </w:p>
              </w:tc>
            </w:tr>
            <w:tr w14:paraId="2104D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pct"/>
                  <w:vAlign w:val="center"/>
                </w:tcPr>
                <w:p w14:paraId="08ED5091">
                  <w:pPr>
                    <w:jc w:val="center"/>
                    <w:rPr>
                      <w:color w:val="auto"/>
                      <w:sz w:val="20"/>
                      <w:highlight w:val="none"/>
                    </w:rPr>
                  </w:pPr>
                  <w:r>
                    <w:rPr>
                      <w:color w:val="auto"/>
                      <w:sz w:val="20"/>
                      <w:highlight w:val="none"/>
                    </w:rPr>
                    <w:t>《重庆市人民政府办公厅关于印发&lt;重庆市禁止、限制和控制类危险化学品目录（第一批）&gt;的通知》（渝府办发〔2024〕28号）</w:t>
                  </w:r>
                </w:p>
              </w:tc>
              <w:tc>
                <w:tcPr>
                  <w:tcW w:w="2379" w:type="pct"/>
                  <w:vAlign w:val="center"/>
                </w:tcPr>
                <w:p w14:paraId="2D7FB075">
                  <w:pPr>
                    <w:jc w:val="center"/>
                    <w:rPr>
                      <w:color w:val="auto"/>
                      <w:sz w:val="20"/>
                      <w:highlight w:val="none"/>
                    </w:rPr>
                  </w:pPr>
                  <w:r>
                    <w:rPr>
                      <w:color w:val="auto"/>
                      <w:sz w:val="20"/>
                      <w:highlight w:val="none"/>
                    </w:rPr>
                    <w:t>对《目录》所列禁止类危险化学品，在全市范围内禁止生产、储存、使用、经营、运输；对《目录》所列限制类危险化学品，仅允许在限定区域内的限定行业领域使用，严格项目准入条件；对《目录》所列控制类危险化学品，在生产、储存、使用、经营、运输过程中，依法对准入条件、储存区域、运输时段等方面进行管控；国家对《目录》所列危险化学品管理另有规定的，从其规定。</w:t>
                  </w:r>
                </w:p>
                <w:p w14:paraId="3F974F25">
                  <w:pPr>
                    <w:jc w:val="center"/>
                    <w:rPr>
                      <w:color w:val="auto"/>
                      <w:sz w:val="20"/>
                      <w:highlight w:val="none"/>
                    </w:rPr>
                  </w:pPr>
                </w:p>
                <w:p w14:paraId="443F2ADF">
                  <w:pPr>
                    <w:jc w:val="center"/>
                    <w:rPr>
                      <w:color w:val="auto"/>
                      <w:sz w:val="20"/>
                      <w:highlight w:val="none"/>
                    </w:rPr>
                  </w:pPr>
                </w:p>
              </w:tc>
              <w:tc>
                <w:tcPr>
                  <w:tcW w:w="1274" w:type="pct"/>
                  <w:vAlign w:val="center"/>
                </w:tcPr>
                <w:p w14:paraId="4189574B">
                  <w:pPr>
                    <w:jc w:val="center"/>
                    <w:rPr>
                      <w:color w:val="auto"/>
                      <w:sz w:val="20"/>
                      <w:highlight w:val="none"/>
                    </w:rPr>
                  </w:pPr>
                  <w:r>
                    <w:rPr>
                      <w:rFonts w:hint="eastAsia"/>
                      <w:color w:val="auto"/>
                      <w:sz w:val="20"/>
                      <w:highlight w:val="none"/>
                    </w:rPr>
                    <w:t>项目不涉及重庆市禁止危险化学品</w:t>
                  </w:r>
                  <w:r>
                    <w:rPr>
                      <w:rFonts w:hint="eastAsia"/>
                      <w:color w:val="auto"/>
                      <w:highlight w:val="none"/>
                    </w:rPr>
                    <w:t>，使用的乙炔属于限制类，项目位于合川工业园区内，后续按危险化学品使用相关要求办理手续的基础上满足合川区危险化学品管控要求</w:t>
                  </w:r>
                  <w:r>
                    <w:rPr>
                      <w:rFonts w:hint="eastAsia"/>
                      <w:color w:val="auto"/>
                      <w:sz w:val="20"/>
                      <w:highlight w:val="none"/>
                    </w:rPr>
                    <w:t>。</w:t>
                  </w:r>
                </w:p>
              </w:tc>
              <w:tc>
                <w:tcPr>
                  <w:tcW w:w="470" w:type="pct"/>
                  <w:vAlign w:val="center"/>
                </w:tcPr>
                <w:p w14:paraId="456D0FAE">
                  <w:pPr>
                    <w:jc w:val="center"/>
                    <w:rPr>
                      <w:color w:val="auto"/>
                      <w:sz w:val="20"/>
                      <w:highlight w:val="none"/>
                    </w:rPr>
                  </w:pPr>
                  <w:r>
                    <w:rPr>
                      <w:rFonts w:hint="eastAsia"/>
                      <w:color w:val="auto"/>
                      <w:sz w:val="20"/>
                      <w:highlight w:val="none"/>
                    </w:rPr>
                    <w:t>符合</w:t>
                  </w:r>
                </w:p>
              </w:tc>
            </w:tr>
            <w:tr w14:paraId="5441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pct"/>
                  <w:vAlign w:val="center"/>
                </w:tcPr>
                <w:p w14:paraId="394E3400">
                  <w:pPr>
                    <w:jc w:val="center"/>
                    <w:rPr>
                      <w:color w:val="auto"/>
                      <w:sz w:val="20"/>
                      <w:highlight w:val="none"/>
                    </w:rPr>
                  </w:pPr>
                  <w:r>
                    <w:rPr>
                      <w:color w:val="auto"/>
                      <w:sz w:val="20"/>
                      <w:highlight w:val="none"/>
                    </w:rPr>
                    <w:t>《合川区空气质量持续改善行动实施方案》</w:t>
                  </w:r>
                  <w:r>
                    <w:rPr>
                      <w:rFonts w:hint="eastAsia"/>
                      <w:color w:val="auto"/>
                      <w:sz w:val="20"/>
                      <w:highlight w:val="none"/>
                    </w:rPr>
                    <w:t>（合川府办发〔2024〕52号）</w:t>
                  </w:r>
                </w:p>
              </w:tc>
              <w:tc>
                <w:tcPr>
                  <w:tcW w:w="2379" w:type="pct"/>
                  <w:vAlign w:val="center"/>
                </w:tcPr>
                <w:p w14:paraId="77455177">
                  <w:pPr>
                    <w:numPr>
                      <w:ilvl w:val="0"/>
                      <w:numId w:val="6"/>
                    </w:numPr>
                    <w:jc w:val="left"/>
                    <w:rPr>
                      <w:color w:val="auto"/>
                      <w:sz w:val="20"/>
                      <w:highlight w:val="none"/>
                    </w:rPr>
                  </w:pPr>
                  <w:r>
                    <w:rPr>
                      <w:color w:val="auto"/>
                      <w:sz w:val="20"/>
                      <w:highlight w:val="none"/>
                    </w:rPr>
                    <w:t>推动实施重点产业绿色转型升级。突出以“两主四特”为重点，结合实施“2446”产业体系发展，持续推动大气治理、减污降碳、绿色转型、能级提升，推动建设一批国家环保绩效A级、B级企业，开展企业分级管控。</w:t>
                  </w:r>
                </w:p>
                <w:p w14:paraId="27F9F012">
                  <w:pPr>
                    <w:numPr>
                      <w:ilvl w:val="0"/>
                      <w:numId w:val="6"/>
                    </w:numPr>
                    <w:jc w:val="left"/>
                    <w:rPr>
                      <w:color w:val="auto"/>
                      <w:sz w:val="20"/>
                      <w:highlight w:val="none"/>
                    </w:rPr>
                  </w:pPr>
                  <w:r>
                    <w:rPr>
                      <w:color w:val="auto"/>
                      <w:sz w:val="20"/>
                      <w:highlight w:val="none"/>
                    </w:rPr>
                    <w:t>遏制“两高一低”项目盲目发展。</w:t>
                  </w:r>
                </w:p>
                <w:p w14:paraId="13A18A66">
                  <w:pPr>
                    <w:numPr>
                      <w:ilvl w:val="0"/>
                      <w:numId w:val="6"/>
                    </w:numPr>
                    <w:jc w:val="left"/>
                    <w:rPr>
                      <w:color w:val="auto"/>
                      <w:sz w:val="20"/>
                      <w:highlight w:val="none"/>
                    </w:rPr>
                  </w:pPr>
                  <w:r>
                    <w:rPr>
                      <w:color w:val="auto"/>
                      <w:sz w:val="20"/>
                      <w:highlight w:val="none"/>
                    </w:rPr>
                    <w:t>优化含VOCs原辅材料和产品结构。严格执行VOCs含量限值标准，控制生产和使用高VOCs含量涂料、油墨、清洗剂等建设项目。以工业涂装、印刷包装和电子等行业为重点，提高低（无）VOCs含量产品的数量和比重。</w:t>
                  </w:r>
                </w:p>
                <w:p w14:paraId="51F931D5">
                  <w:pPr>
                    <w:jc w:val="left"/>
                    <w:rPr>
                      <w:color w:val="auto"/>
                      <w:sz w:val="20"/>
                      <w:highlight w:val="none"/>
                    </w:rPr>
                  </w:pPr>
                  <w:r>
                    <w:rPr>
                      <w:color w:val="auto"/>
                      <w:sz w:val="20"/>
                      <w:highlight w:val="none"/>
                    </w:rPr>
                    <w:t>（八）开展燃煤锅炉关停整治和工业炉窑清洁能源替代。城市建成区范围不再新建35蒸吨/小时及以下燃煤锅炉。鼓励工业炉窑改用余热、电能、天然气等。到2025年，推进燃煤锅炉“煤改气</w:t>
                  </w:r>
                  <w:bookmarkStart w:id="19" w:name="hmcheck_d6d778349b46486996f7facb8832c8ca"/>
                  <w:r>
                    <w:rPr>
                      <w:rFonts w:hint="eastAsia"/>
                      <w:color w:val="auto"/>
                      <w:sz w:val="20"/>
                      <w:highlight w:val="none"/>
                      <w:shd w:val="clear" w:fill="B2E9BC"/>
                      <w:lang w:eastAsia="zh-CN"/>
                    </w:rPr>
                    <w:t>”“</w:t>
                  </w:r>
                  <w:bookmarkEnd w:id="19"/>
                  <w:r>
                    <w:rPr>
                      <w:color w:val="auto"/>
                      <w:sz w:val="20"/>
                      <w:highlight w:val="none"/>
                    </w:rPr>
                    <w:t>煤改电”或淘汰工程，基本淘汰10蒸吨/小时及以下的燃煤锅炉，城市建成区、工业园区基本淘汰35蒸吨/小时及以下的燃煤锅炉及茶水炉、经营性炉灶、农产品加工等燃煤设施。</w:t>
                  </w:r>
                </w:p>
              </w:tc>
              <w:tc>
                <w:tcPr>
                  <w:tcW w:w="1274" w:type="pct"/>
                  <w:vAlign w:val="center"/>
                </w:tcPr>
                <w:p w14:paraId="787F6E7D">
                  <w:pPr>
                    <w:jc w:val="center"/>
                    <w:rPr>
                      <w:color w:val="auto"/>
                      <w:sz w:val="20"/>
                      <w:highlight w:val="none"/>
                    </w:rPr>
                  </w:pPr>
                  <w:r>
                    <w:rPr>
                      <w:color w:val="auto"/>
                      <w:sz w:val="20"/>
                      <w:highlight w:val="none"/>
                    </w:rPr>
                    <w:t>项目为汽车</w:t>
                  </w:r>
                  <w:r>
                    <w:rPr>
                      <w:rFonts w:hint="eastAsia"/>
                      <w:color w:val="auto"/>
                      <w:sz w:val="20"/>
                      <w:highlight w:val="none"/>
                    </w:rPr>
                    <w:t>配件</w:t>
                  </w:r>
                  <w:r>
                    <w:rPr>
                      <w:color w:val="auto"/>
                      <w:sz w:val="20"/>
                      <w:highlight w:val="none"/>
                    </w:rPr>
                    <w:t>制造，不属于“两高一低”项目；使用清洁能源，不涉及煤炭使用及燃煤锅炉、工业炉窑。项目采取合理可行的废气污染防治措施，使用折边胶为低VOCs含量产品。</w:t>
                  </w:r>
                </w:p>
              </w:tc>
              <w:tc>
                <w:tcPr>
                  <w:tcW w:w="470" w:type="pct"/>
                  <w:vAlign w:val="center"/>
                </w:tcPr>
                <w:p w14:paraId="142E4245">
                  <w:pPr>
                    <w:jc w:val="center"/>
                    <w:rPr>
                      <w:color w:val="auto"/>
                      <w:sz w:val="20"/>
                      <w:highlight w:val="none"/>
                    </w:rPr>
                  </w:pPr>
                  <w:r>
                    <w:rPr>
                      <w:color w:val="auto"/>
                      <w:sz w:val="20"/>
                      <w:highlight w:val="none"/>
                    </w:rPr>
                    <w:t>符合</w:t>
                  </w:r>
                </w:p>
              </w:tc>
            </w:tr>
          </w:tbl>
          <w:p w14:paraId="6A073858">
            <w:pPr>
              <w:autoSpaceDE w:val="0"/>
              <w:autoSpaceDN w:val="0"/>
              <w:adjustRightInd w:val="0"/>
              <w:snapToGrid w:val="0"/>
              <w:ind w:firstLine="520" w:firstLineChars="200"/>
              <w:rPr>
                <w:color w:val="auto"/>
                <w:kern w:val="0"/>
                <w:sz w:val="26"/>
                <w:szCs w:val="26"/>
                <w:highlight w:val="none"/>
              </w:rPr>
            </w:pPr>
          </w:p>
          <w:p w14:paraId="3AD501C1">
            <w:pPr>
              <w:autoSpaceDE w:val="0"/>
              <w:autoSpaceDN w:val="0"/>
              <w:adjustRightInd w:val="0"/>
              <w:snapToGrid w:val="0"/>
              <w:spacing w:line="480" w:lineRule="exact"/>
              <w:ind w:firstLine="520" w:firstLineChars="200"/>
              <w:rPr>
                <w:color w:val="auto"/>
                <w:kern w:val="0"/>
                <w:sz w:val="26"/>
                <w:szCs w:val="26"/>
                <w:highlight w:val="none"/>
              </w:rPr>
            </w:pPr>
            <w:r>
              <w:rPr>
                <w:color w:val="auto"/>
                <w:kern w:val="0"/>
                <w:sz w:val="26"/>
                <w:szCs w:val="26"/>
                <w:highlight w:val="none"/>
              </w:rPr>
              <w:t>综上，本项目建设符合重庆市、合川区相关生态环境保护规划及政策文件要求。</w:t>
            </w:r>
          </w:p>
          <w:p w14:paraId="4E173685">
            <w:pPr>
              <w:autoSpaceDE w:val="0"/>
              <w:autoSpaceDN w:val="0"/>
              <w:adjustRightInd w:val="0"/>
              <w:snapToGrid w:val="0"/>
              <w:spacing w:line="480" w:lineRule="exact"/>
              <w:ind w:firstLine="522" w:firstLineChars="200"/>
              <w:rPr>
                <w:rFonts w:hint="default" w:ascii="Times New Roman" w:hAnsi="Times New Roman" w:cs="Times New Roman"/>
                <w:b/>
                <w:color w:val="auto"/>
                <w:kern w:val="0"/>
                <w:sz w:val="26"/>
                <w:szCs w:val="26"/>
              </w:rPr>
            </w:pPr>
            <w:r>
              <w:rPr>
                <w:rFonts w:hint="eastAsia" w:cs="Times New Roman"/>
                <w:b/>
                <w:color w:val="auto"/>
                <w:kern w:val="0"/>
                <w:sz w:val="26"/>
                <w:szCs w:val="26"/>
                <w:lang w:val="en-US" w:eastAsia="zh-CN"/>
              </w:rPr>
              <w:t>1.2.4</w:t>
            </w:r>
            <w:r>
              <w:rPr>
                <w:rFonts w:hint="default" w:ascii="Times New Roman" w:hAnsi="Times New Roman" w:cs="Times New Roman"/>
                <w:b/>
                <w:color w:val="auto"/>
                <w:kern w:val="0"/>
                <w:sz w:val="26"/>
                <w:szCs w:val="26"/>
              </w:rPr>
              <w:t xml:space="preserve"> 与挥发性有机物污染防治相关文件符合性分析</w:t>
            </w:r>
          </w:p>
          <w:p w14:paraId="5A61D5FF">
            <w:pPr>
              <w:autoSpaceDE w:val="0"/>
              <w:autoSpaceDN w:val="0"/>
              <w:adjustRightInd w:val="0"/>
              <w:snapToGrid w:val="0"/>
              <w:spacing w:line="480" w:lineRule="exact"/>
              <w:ind w:firstLine="520" w:firstLineChars="200"/>
              <w:rPr>
                <w:rFonts w:ascii="宋体" w:hAnsi="宋体" w:cs="宋体"/>
                <w:color w:val="auto"/>
                <w:kern w:val="0"/>
                <w:sz w:val="26"/>
                <w:szCs w:val="26"/>
                <w:highlight w:val="none"/>
              </w:rPr>
            </w:pPr>
            <w:r>
              <w:rPr>
                <w:rFonts w:hint="default" w:ascii="Times New Roman" w:hAnsi="Times New Roman" w:cs="Times New Roman"/>
                <w:color w:val="auto"/>
                <w:sz w:val="26"/>
                <w:szCs w:val="26"/>
              </w:rPr>
              <w:t>本项目</w:t>
            </w:r>
            <w:bookmarkStart w:id="20" w:name="hmcheck_972763443cb844fd82839dedba811081"/>
            <w:r>
              <w:rPr>
                <w:rFonts w:hint="default" w:ascii="Times New Roman" w:hAnsi="Times New Roman" w:cs="Times New Roman"/>
                <w:color w:val="auto"/>
                <w:sz w:val="26"/>
                <w:szCs w:val="26"/>
                <w:shd w:val="clear" w:fill="FFAFAA"/>
              </w:rPr>
              <w:t>滚边</w:t>
            </w:r>
            <w:bookmarkEnd w:id="20"/>
            <w:r>
              <w:rPr>
                <w:rFonts w:hint="eastAsia" w:cs="Times New Roman"/>
                <w:color w:val="auto"/>
                <w:sz w:val="26"/>
                <w:szCs w:val="26"/>
                <w:lang w:eastAsia="zh-CN"/>
              </w:rPr>
              <w:t>打胶</w:t>
            </w:r>
            <w:r>
              <w:rPr>
                <w:rFonts w:hint="default" w:ascii="Times New Roman" w:hAnsi="Times New Roman" w:cs="Times New Roman"/>
                <w:color w:val="auto"/>
                <w:sz w:val="26"/>
                <w:szCs w:val="26"/>
              </w:rPr>
              <w:t>、</w:t>
            </w:r>
            <w:r>
              <w:rPr>
                <w:rFonts w:hint="eastAsia" w:cs="Times New Roman"/>
                <w:color w:val="auto"/>
                <w:sz w:val="26"/>
                <w:szCs w:val="26"/>
                <w:lang w:eastAsia="zh-CN"/>
              </w:rPr>
              <w:t>危废贮存</w:t>
            </w:r>
            <w:r>
              <w:rPr>
                <w:rFonts w:hint="default" w:ascii="Times New Roman" w:hAnsi="Times New Roman" w:cs="Times New Roman"/>
                <w:color w:val="auto"/>
                <w:sz w:val="26"/>
                <w:szCs w:val="26"/>
              </w:rPr>
              <w:t>涉及</w:t>
            </w:r>
            <w:r>
              <w:rPr>
                <w:rFonts w:hint="eastAsia" w:cs="Times New Roman"/>
                <w:color w:val="auto"/>
                <w:sz w:val="26"/>
                <w:szCs w:val="26"/>
                <w:lang w:eastAsia="zh-CN"/>
              </w:rPr>
              <w:t>少量</w:t>
            </w:r>
            <w:r>
              <w:rPr>
                <w:rFonts w:hint="default" w:ascii="Times New Roman" w:hAnsi="Times New Roman" w:cs="Times New Roman"/>
                <w:color w:val="auto"/>
                <w:sz w:val="26"/>
                <w:szCs w:val="26"/>
              </w:rPr>
              <w:t>VOCs排放</w:t>
            </w:r>
            <w:r>
              <w:rPr>
                <w:rFonts w:hint="eastAsia" w:cs="Times New Roman"/>
                <w:color w:val="auto"/>
                <w:sz w:val="26"/>
                <w:szCs w:val="26"/>
                <w:lang w:eastAsia="zh-CN"/>
              </w:rPr>
              <w:t>。其中</w:t>
            </w:r>
            <w:bookmarkStart w:id="21" w:name="hmcheck_485425bab5a94a91857d8a5a3ce11fa0"/>
            <w:r>
              <w:rPr>
                <w:rFonts w:hint="eastAsia" w:cs="Times New Roman"/>
                <w:color w:val="auto"/>
                <w:sz w:val="26"/>
                <w:szCs w:val="26"/>
                <w:shd w:val="clear" w:fill="FFAFAA"/>
                <w:lang w:eastAsia="zh-CN"/>
              </w:rPr>
              <w:t>滚边</w:t>
            </w:r>
            <w:bookmarkEnd w:id="21"/>
            <w:r>
              <w:rPr>
                <w:rFonts w:hint="eastAsia" w:cs="Times New Roman"/>
                <w:color w:val="auto"/>
                <w:sz w:val="26"/>
                <w:szCs w:val="26"/>
                <w:lang w:eastAsia="zh-CN"/>
              </w:rPr>
              <w:t>打胶工序使用的折边胶为三友高分子技术有限公司汽车用钢板折边胶，以环氧树脂为主体，产品质量标准执行《汽车用折边胶》（QC/T 852-2011），其中对不挥发物含量技术要求为≥98%，则其VOC含量&lt;2%，属于低挥发性</w:t>
            </w:r>
            <w:bookmarkStart w:id="22" w:name="hmcheck_f40af4aa0f794468bedc72d66e88debc"/>
            <w:r>
              <w:rPr>
                <w:rFonts w:hint="eastAsia" w:cs="Times New Roman"/>
                <w:color w:val="auto"/>
                <w:sz w:val="26"/>
                <w:szCs w:val="26"/>
                <w:shd w:val="clear" w:fill="B2E9BC"/>
                <w:lang w:eastAsia="zh-CN"/>
              </w:rPr>
              <w:t>胶黏剂</w:t>
            </w:r>
            <w:bookmarkEnd w:id="22"/>
            <w:r>
              <w:rPr>
                <w:rFonts w:hint="eastAsia" w:cs="Times New Roman"/>
                <w:color w:val="auto"/>
                <w:sz w:val="26"/>
                <w:szCs w:val="26"/>
                <w:lang w:eastAsia="zh-CN"/>
              </w:rPr>
              <w:t>；危险废物暂存过程中均置于密闭容器或包装物中，并及时清运贮存的危险废物，产生量小，通过加强车间通风后无组织排放，对大气环境影响小，符合《危险废物贮存污染控制标准》（GB 18597-2023）要求。根据《重庆市合川区土场镇、清平镇总体规划环境影响报告书》，园区VOCs总量管控限值为568.804t/a，本项目VOCs排放量为</w:t>
            </w:r>
            <w:r>
              <w:rPr>
                <w:rFonts w:hint="eastAsia" w:cs="Times New Roman"/>
                <w:color w:val="auto"/>
                <w:sz w:val="26"/>
                <w:szCs w:val="26"/>
                <w:lang w:val="en-US" w:eastAsia="zh-CN"/>
              </w:rPr>
              <w:t>0.008t/a（无组织）</w:t>
            </w:r>
            <w:r>
              <w:rPr>
                <w:rFonts w:hint="eastAsia" w:cs="Times New Roman"/>
                <w:color w:val="auto"/>
                <w:sz w:val="26"/>
                <w:szCs w:val="26"/>
                <w:lang w:eastAsia="zh-CN"/>
              </w:rPr>
              <w:t>，满足总量管控要求。故</w:t>
            </w:r>
            <w:r>
              <w:rPr>
                <w:rFonts w:hint="default" w:ascii="Times New Roman" w:hAnsi="Times New Roman" w:cs="Times New Roman"/>
                <w:color w:val="auto"/>
                <w:sz w:val="26"/>
                <w:szCs w:val="26"/>
              </w:rPr>
              <w:t>挥发性有机物污染防治措施符合《2020年挥发性有机物治理攻坚方案</w:t>
            </w:r>
            <w:r>
              <w:rPr>
                <w:rFonts w:hint="eastAsia" w:ascii="Times New Roman" w:hAnsi="Times New Roman" w:cs="Times New Roman"/>
                <w:color w:val="auto"/>
                <w:sz w:val="26"/>
                <w:szCs w:val="26"/>
                <w:lang w:eastAsia="zh-CN"/>
              </w:rPr>
              <w:t>》《</w:t>
            </w:r>
            <w:r>
              <w:rPr>
                <w:rFonts w:hint="default" w:ascii="Times New Roman" w:hAnsi="Times New Roman" w:cs="Times New Roman"/>
                <w:bCs/>
                <w:color w:val="auto"/>
                <w:sz w:val="26"/>
                <w:szCs w:val="26"/>
              </w:rPr>
              <w:t>2020年挥发性有机污染物治理使用手册</w:t>
            </w:r>
            <w:r>
              <w:rPr>
                <w:rFonts w:hint="eastAsia" w:ascii="Times New Roman" w:hAnsi="Times New Roman" w:cs="Times New Roman"/>
                <w:bCs/>
                <w:color w:val="auto"/>
                <w:sz w:val="26"/>
                <w:szCs w:val="26"/>
                <w:lang w:eastAsia="zh-CN"/>
              </w:rPr>
              <w:t>》</w:t>
            </w:r>
            <w:r>
              <w:rPr>
                <w:rFonts w:hint="default" w:ascii="Times New Roman" w:hAnsi="Times New Roman" w:cs="Times New Roman"/>
                <w:color w:val="auto"/>
                <w:sz w:val="26"/>
                <w:szCs w:val="26"/>
              </w:rPr>
              <w:t>《挥发性有机物无组织排放控制标准》等要求。</w:t>
            </w:r>
          </w:p>
          <w:p w14:paraId="0E6DCE2F">
            <w:pPr>
              <w:autoSpaceDE w:val="0"/>
              <w:autoSpaceDN w:val="0"/>
              <w:adjustRightInd w:val="0"/>
              <w:snapToGrid w:val="0"/>
              <w:spacing w:line="480" w:lineRule="exact"/>
              <w:ind w:firstLine="522" w:firstLineChars="200"/>
              <w:rPr>
                <w:b/>
                <w:color w:val="auto"/>
                <w:kern w:val="0"/>
                <w:sz w:val="26"/>
                <w:szCs w:val="26"/>
                <w:highlight w:val="none"/>
              </w:rPr>
            </w:pPr>
            <w:r>
              <w:rPr>
                <w:rFonts w:hint="eastAsia"/>
                <w:b/>
                <w:color w:val="auto"/>
                <w:kern w:val="0"/>
                <w:sz w:val="26"/>
                <w:szCs w:val="26"/>
                <w:highlight w:val="none"/>
              </w:rPr>
              <w:t>1.3 选址合理性分析</w:t>
            </w:r>
          </w:p>
          <w:p w14:paraId="181C9512">
            <w:pPr>
              <w:adjustRightInd w:val="0"/>
              <w:snapToGrid w:val="0"/>
              <w:spacing w:line="480" w:lineRule="exact"/>
              <w:ind w:firstLine="520" w:firstLineChars="200"/>
              <w:jc w:val="left"/>
              <w:rPr>
                <w:color w:val="auto"/>
                <w:kern w:val="0"/>
                <w:sz w:val="26"/>
                <w:szCs w:val="26"/>
                <w:highlight w:val="none"/>
                <w:lang w:bidi="ar"/>
              </w:rPr>
            </w:pPr>
            <w:r>
              <w:rPr>
                <w:rFonts w:hint="eastAsia"/>
                <w:color w:val="auto"/>
                <w:kern w:val="0"/>
                <w:sz w:val="26"/>
                <w:szCs w:val="26"/>
                <w:highlight w:val="none"/>
                <w:lang w:bidi="ar"/>
              </w:rPr>
              <w:t>（1）用地合理性及基础条件分析</w:t>
            </w:r>
          </w:p>
          <w:p w14:paraId="74102F01">
            <w:pPr>
              <w:adjustRightInd w:val="0"/>
              <w:snapToGrid w:val="0"/>
              <w:spacing w:line="480" w:lineRule="exact"/>
              <w:ind w:firstLine="520" w:firstLineChars="200"/>
              <w:jc w:val="left"/>
              <w:rPr>
                <w:color w:val="auto"/>
                <w:kern w:val="0"/>
                <w:sz w:val="26"/>
                <w:szCs w:val="26"/>
                <w:highlight w:val="none"/>
                <w:lang w:bidi="ar"/>
              </w:rPr>
            </w:pPr>
            <w:r>
              <w:rPr>
                <w:rFonts w:hint="eastAsia"/>
                <w:color w:val="auto"/>
                <w:kern w:val="0"/>
                <w:sz w:val="26"/>
                <w:szCs w:val="26"/>
                <w:highlight w:val="none"/>
                <w:lang w:bidi="ar"/>
              </w:rPr>
              <w:t>本项目位于合川工业园区天顶组团C区，租赁重庆友拓汽车零部件有限公司合川厂区工程建设项目厂房，所在地块规划用地性质为工业用地，符合用地规划要求。</w:t>
            </w:r>
          </w:p>
          <w:p w14:paraId="20CB6F87">
            <w:pPr>
              <w:adjustRightInd w:val="0"/>
              <w:snapToGrid w:val="0"/>
              <w:spacing w:line="480" w:lineRule="exact"/>
              <w:ind w:firstLine="520" w:firstLineChars="200"/>
              <w:jc w:val="left"/>
              <w:rPr>
                <w:color w:val="auto"/>
                <w:kern w:val="0"/>
                <w:sz w:val="26"/>
                <w:szCs w:val="26"/>
                <w:highlight w:val="none"/>
                <w:lang w:bidi="ar"/>
              </w:rPr>
            </w:pPr>
            <w:r>
              <w:rPr>
                <w:rFonts w:hint="eastAsia"/>
                <w:color w:val="auto"/>
                <w:kern w:val="0"/>
                <w:sz w:val="26"/>
                <w:szCs w:val="26"/>
                <w:highlight w:val="none"/>
                <w:lang w:bidi="ar"/>
              </w:rPr>
              <w:t>重庆友拓汽车零部件有限公司于2013年编制《重庆友拓汽车零部件有限公司合川厂区工程建设项目环境影响报告表》并取得合川区生态环境局批准书渝（合）环准</w:t>
            </w:r>
            <w:bookmarkStart w:id="23" w:name="hmcheck_2bb2bc381a2e4e51bdbca52b94db35a6"/>
            <w:r>
              <w:rPr>
                <w:rFonts w:hint="eastAsia"/>
                <w:color w:val="auto"/>
                <w:kern w:val="0"/>
                <w:sz w:val="26"/>
                <w:szCs w:val="26"/>
                <w:highlight w:val="none"/>
                <w:shd w:val="clear" w:fill="FFAFAA"/>
                <w:lang w:bidi="ar"/>
              </w:rPr>
              <w:t>〔2014〕021号</w:t>
            </w:r>
            <w:bookmarkEnd w:id="23"/>
            <w:r>
              <w:rPr>
                <w:rFonts w:hint="eastAsia"/>
                <w:color w:val="auto"/>
                <w:kern w:val="0"/>
                <w:sz w:val="26"/>
                <w:szCs w:val="26"/>
                <w:highlight w:val="none"/>
                <w:lang w:bidi="ar"/>
              </w:rPr>
              <w:t>，于2015年完成竣工环保验收（合川环发〔2015〕274号），已办理排污许可证登记（登记编号91500117072333920K002Z），有效期至2027年10月19日。其主要建设内容为厂房（内设一条冲压件生产线，年产冲压件300万件）及辅助用房、门卫室，并配套建设有综合生化池1座，可正常使用。项目所在区域交通及供水、供电、供气、排水等市政设施完善，便于开展生产。</w:t>
            </w:r>
          </w:p>
          <w:p w14:paraId="7C2975E5">
            <w:pPr>
              <w:adjustRightInd w:val="0"/>
              <w:snapToGrid w:val="0"/>
              <w:spacing w:line="480" w:lineRule="exact"/>
              <w:ind w:firstLine="520" w:firstLineChars="200"/>
              <w:jc w:val="left"/>
              <w:rPr>
                <w:color w:val="auto"/>
                <w:kern w:val="0"/>
                <w:sz w:val="26"/>
                <w:szCs w:val="26"/>
                <w:highlight w:val="none"/>
                <w:lang w:bidi="ar"/>
              </w:rPr>
            </w:pPr>
            <w:r>
              <w:rPr>
                <w:rFonts w:hint="eastAsia"/>
                <w:color w:val="auto"/>
                <w:kern w:val="0"/>
                <w:sz w:val="26"/>
                <w:szCs w:val="26"/>
                <w:highlight w:val="none"/>
                <w:lang w:bidi="ar"/>
              </w:rPr>
              <w:t>（2）外环境企业相容性</w:t>
            </w:r>
          </w:p>
          <w:p w14:paraId="368833A7">
            <w:pPr>
              <w:adjustRightInd w:val="0"/>
              <w:snapToGrid w:val="0"/>
              <w:spacing w:line="480" w:lineRule="exact"/>
              <w:ind w:firstLine="520" w:firstLineChars="200"/>
              <w:jc w:val="left"/>
              <w:rPr>
                <w:color w:val="auto"/>
                <w:kern w:val="0"/>
                <w:sz w:val="26"/>
                <w:szCs w:val="26"/>
                <w:highlight w:val="none"/>
                <w:lang w:bidi="ar"/>
              </w:rPr>
            </w:pPr>
            <w:r>
              <w:rPr>
                <w:rFonts w:hint="eastAsia"/>
                <w:color w:val="auto"/>
                <w:kern w:val="0"/>
                <w:sz w:val="26"/>
                <w:szCs w:val="26"/>
                <w:highlight w:val="none"/>
                <w:lang w:bidi="ar"/>
              </w:rPr>
              <w:t>本项目周边主要为园区内部道路及已建工业企业，以汽车零部件及配件制造业为主，无特殊敏感企业。本项目符合园区产业定位，排污特征与周边企业类似，与周边外环境不冲突。</w:t>
            </w:r>
          </w:p>
          <w:p w14:paraId="71CE4D18">
            <w:pPr>
              <w:adjustRightInd w:val="0"/>
              <w:snapToGrid w:val="0"/>
              <w:jc w:val="center"/>
              <w:rPr>
                <w:color w:val="auto"/>
                <w:kern w:val="0"/>
                <w:sz w:val="26"/>
                <w:szCs w:val="26"/>
                <w:highlight w:val="none"/>
                <w:lang w:bidi="ar"/>
              </w:rPr>
            </w:pPr>
            <w:r>
              <w:rPr>
                <w:color w:val="auto"/>
                <w:highlight w:val="none"/>
              </w:rPr>
              <w:drawing>
                <wp:inline distT="0" distB="0" distL="114300" distR="114300">
                  <wp:extent cx="3321685" cy="289052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rcRect b="3784"/>
                          <a:stretch>
                            <a:fillRect/>
                          </a:stretch>
                        </pic:blipFill>
                        <pic:spPr>
                          <a:xfrm>
                            <a:off x="0" y="0"/>
                            <a:ext cx="3321685" cy="2890520"/>
                          </a:xfrm>
                          <a:prstGeom prst="rect">
                            <a:avLst/>
                          </a:prstGeom>
                          <a:noFill/>
                          <a:ln>
                            <a:noFill/>
                          </a:ln>
                        </pic:spPr>
                      </pic:pic>
                    </a:graphicData>
                  </a:graphic>
                </wp:inline>
              </w:drawing>
            </w: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2241550</wp:posOffset>
                      </wp:positionH>
                      <wp:positionV relativeFrom="paragraph">
                        <wp:posOffset>1635760</wp:posOffset>
                      </wp:positionV>
                      <wp:extent cx="755650" cy="259080"/>
                      <wp:effectExtent l="0" t="0" r="0" b="0"/>
                      <wp:wrapNone/>
                      <wp:docPr id="9" name="文本框 9"/>
                      <wp:cNvGraphicFramePr/>
                      <a:graphic xmlns:a="http://schemas.openxmlformats.org/drawingml/2006/main">
                        <a:graphicData uri="http://schemas.microsoft.com/office/word/2010/wordprocessingShape">
                          <wps:wsp>
                            <wps:cNvSpPr txBox="1"/>
                            <wps:spPr>
                              <a:xfrm>
                                <a:off x="5137785" y="3822065"/>
                                <a:ext cx="755650" cy="2590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5430DE">
                                  <w:pPr>
                                    <w:rPr>
                                      <w:color w:val="0000FF"/>
                                    </w:rPr>
                                  </w:pPr>
                                  <w:r>
                                    <w:rPr>
                                      <w:rFonts w:hint="eastAsia"/>
                                      <w:b/>
                                      <w:bCs/>
                                      <w:color w:val="0000FF"/>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5pt;margin-top:128.8pt;height:20.4pt;width:59.5pt;z-index:251660288;mso-width-relative:page;mso-height-relative:page;" filled="f" stroked="f" coordsize="21600,21600" o:gfxdata="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Dj5bPcAAAACwEAAA8AAAAA&#10;AAAAAQAgAAAAIgAAAGRycy9kb3ducmV2LnhtbFBLAQIUABQAAAAIAIdO4kBa6B/kSQIAAHEEAAAO&#10;AAAAAAAAAAEAIAAAACsBAABkcnMvZTJvRG9jLnhtbFBLBQYAAAAABgAGAFkBAADmBQAAAAA=&#10;">
                      <v:fill on="f" focussize="0,0"/>
                      <v:stroke on="f" weight="0.5pt"/>
                      <v:imagedata o:title=""/>
                      <o:lock v:ext="edit" aspectratio="f"/>
                      <v:textbox>
                        <w:txbxContent>
                          <w:p w14:paraId="615430DE">
                            <w:pPr>
                              <w:rPr>
                                <w:color w:val="0000FF"/>
                              </w:rPr>
                            </w:pPr>
                            <w:r>
                              <w:rPr>
                                <w:rFonts w:hint="eastAsia"/>
                                <w:b/>
                                <w:bCs/>
                                <w:color w:val="0000FF"/>
                              </w:rPr>
                              <w:t>项目位置</w:t>
                            </w:r>
                          </w:p>
                        </w:txbxContent>
                      </v:textbox>
                    </v:shape>
                  </w:pict>
                </mc:Fallback>
              </mc:AlternateContent>
            </w: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2504440</wp:posOffset>
                      </wp:positionH>
                      <wp:positionV relativeFrom="paragraph">
                        <wp:posOffset>1793240</wp:posOffset>
                      </wp:positionV>
                      <wp:extent cx="164465" cy="184785"/>
                      <wp:effectExtent l="12700" t="12700" r="13335" b="31115"/>
                      <wp:wrapNone/>
                      <wp:docPr id="4" name="五角星 4"/>
                      <wp:cNvGraphicFramePr/>
                      <a:graphic xmlns:a="http://schemas.openxmlformats.org/drawingml/2006/main">
                        <a:graphicData uri="http://schemas.microsoft.com/office/word/2010/wordprocessingShape">
                          <wps:wsp>
                            <wps:cNvSpPr/>
                            <wps:spPr>
                              <a:xfrm>
                                <a:off x="4402455" y="2795905"/>
                                <a:ext cx="164465" cy="184785"/>
                              </a:xfrm>
                              <a:prstGeom prst="star5">
                                <a:avLst/>
                              </a:prstGeom>
                              <a:solidFill>
                                <a:srgbClr val="1D00FF"/>
                              </a:solidFill>
                              <a:ln>
                                <a:solidFill>
                                  <a:srgbClr val="1D00FF"/>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97.2pt;margin-top:141.2pt;height:14.55pt;width:12.95pt;z-index:251659264;v-text-anchor:middle;mso-width-relative:page;mso-height-relative:page;" fillcolor="#1D00FF" filled="t" stroked="t" coordsize="164465,184785" o:gfxdata="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SSBJH2QAAAAsBAAAPAAAAAAAAAAEAIAAAACIAAABkcnMv&#10;ZG93bnJldi54bWxQSwECFAAUAAAACACHTuJAzrCskXQCAADsBAAADgAAAAAAAAABACAAAAAoAQAA&#10;ZHJzL2Uyb0RvYy54bWxQSwUGAAAAAAYABgBZAQAADgYAAAAA&#10;" path="m0,70581l62820,70581,82232,0,101644,70581,164464,70581,113641,114202,133054,184784,82232,141162,31410,184784,50823,114202xe">
                      <v:path o:connectlocs="82232,0;0,70581;31410,184784;133054,184784;164464,70581" o:connectangles="247,164,82,82,0"/>
                      <v:fill on="t" focussize="0,0"/>
                      <v:stroke weight="2pt" color="#1D00FF [2404]" joinstyle="round"/>
                      <v:imagedata o:title=""/>
                      <o:lock v:ext="edit" aspectratio="f"/>
                    </v:shape>
                  </w:pict>
                </mc:Fallback>
              </mc:AlternateContent>
            </w:r>
          </w:p>
          <w:p w14:paraId="1A059EE0">
            <w:pPr>
              <w:adjustRightInd w:val="0"/>
              <w:snapToGrid w:val="0"/>
              <w:ind w:firstLine="520" w:firstLineChars="200"/>
              <w:jc w:val="center"/>
              <w:rPr>
                <w:color w:val="auto"/>
                <w:kern w:val="0"/>
                <w:sz w:val="26"/>
                <w:szCs w:val="26"/>
                <w:highlight w:val="none"/>
                <w:lang w:bidi="ar"/>
              </w:rPr>
            </w:pPr>
            <w:r>
              <w:rPr>
                <w:rFonts w:hint="eastAsia"/>
                <w:color w:val="auto"/>
                <w:kern w:val="0"/>
                <w:sz w:val="26"/>
                <w:szCs w:val="26"/>
                <w:highlight w:val="none"/>
                <w:lang w:bidi="ar"/>
              </w:rPr>
              <w:t>表1.3-1项目周边外环境情况一览表</w:t>
            </w:r>
          </w:p>
          <w:p w14:paraId="2F3706D8">
            <w:pPr>
              <w:adjustRightInd w:val="0"/>
              <w:snapToGrid w:val="0"/>
              <w:ind w:firstLine="520" w:firstLineChars="200"/>
              <w:jc w:val="left"/>
              <w:rPr>
                <w:color w:val="auto"/>
                <w:kern w:val="0"/>
                <w:sz w:val="26"/>
                <w:szCs w:val="26"/>
                <w:highlight w:val="none"/>
                <w:lang w:bidi="ar"/>
              </w:rPr>
            </w:pPr>
          </w:p>
          <w:p w14:paraId="3D533091">
            <w:pPr>
              <w:widowControl/>
              <w:adjustRightInd w:val="0"/>
              <w:snapToGrid w:val="0"/>
              <w:spacing w:line="480" w:lineRule="exact"/>
              <w:ind w:firstLine="520" w:firstLineChars="200"/>
              <w:jc w:val="left"/>
              <w:rPr>
                <w:color w:val="auto"/>
                <w:kern w:val="0"/>
                <w:sz w:val="26"/>
                <w:szCs w:val="26"/>
                <w:highlight w:val="none"/>
                <w:lang w:bidi="ar"/>
              </w:rPr>
            </w:pPr>
            <w:r>
              <w:rPr>
                <w:color w:val="auto"/>
                <w:kern w:val="0"/>
                <w:sz w:val="26"/>
                <w:szCs w:val="26"/>
                <w:highlight w:val="none"/>
                <w:lang w:bidi="ar"/>
              </w:rPr>
              <w:t>（3）周围环境敏感程度分析</w:t>
            </w:r>
          </w:p>
          <w:p w14:paraId="2E885655">
            <w:pPr>
              <w:widowControl/>
              <w:adjustRightInd w:val="0"/>
              <w:snapToGrid w:val="0"/>
              <w:spacing w:line="480" w:lineRule="exact"/>
              <w:ind w:firstLine="520" w:firstLineChars="200"/>
              <w:jc w:val="left"/>
              <w:rPr>
                <w:color w:val="auto"/>
                <w:kern w:val="0"/>
                <w:sz w:val="26"/>
                <w:szCs w:val="26"/>
                <w:highlight w:val="none"/>
                <w:lang w:bidi="ar"/>
              </w:rPr>
            </w:pPr>
            <w:r>
              <w:rPr>
                <w:color w:val="auto"/>
                <w:kern w:val="0"/>
                <w:sz w:val="26"/>
                <w:szCs w:val="26"/>
                <w:highlight w:val="none"/>
                <w:lang w:bidi="ar"/>
              </w:rPr>
              <w:t>根据调查，项目不涉及生态红线，不涉及饮用水源保护区、文物保护单位、自然保护区、森林公园、重要湿地等环境敏感区。</w:t>
            </w:r>
            <w:r>
              <w:rPr>
                <w:rFonts w:hint="eastAsia"/>
                <w:color w:val="auto"/>
                <w:kern w:val="0"/>
                <w:sz w:val="26"/>
                <w:szCs w:val="26"/>
                <w:highlight w:val="none"/>
                <w:lang w:bidi="ar"/>
              </w:rPr>
              <w:t>厂区周边</w:t>
            </w:r>
            <w:r>
              <w:rPr>
                <w:color w:val="auto"/>
                <w:kern w:val="0"/>
                <w:sz w:val="26"/>
                <w:szCs w:val="26"/>
                <w:highlight w:val="none"/>
                <w:lang w:bidi="ar"/>
              </w:rPr>
              <w:t>500m范围内</w:t>
            </w:r>
            <w:r>
              <w:rPr>
                <w:rFonts w:hint="eastAsia"/>
                <w:color w:val="auto"/>
                <w:kern w:val="0"/>
                <w:sz w:val="26"/>
                <w:szCs w:val="26"/>
                <w:highlight w:val="none"/>
                <w:lang w:bidi="ar"/>
              </w:rPr>
              <w:t>主要</w:t>
            </w:r>
            <w:r>
              <w:rPr>
                <w:color w:val="auto"/>
                <w:kern w:val="0"/>
                <w:sz w:val="26"/>
                <w:szCs w:val="26"/>
                <w:highlight w:val="none"/>
                <w:lang w:bidi="ar"/>
              </w:rPr>
              <w:t>环境保护目标</w:t>
            </w:r>
            <w:r>
              <w:rPr>
                <w:rFonts w:hint="eastAsia"/>
                <w:color w:val="auto"/>
                <w:kern w:val="0"/>
                <w:sz w:val="26"/>
                <w:szCs w:val="26"/>
                <w:highlight w:val="none"/>
                <w:lang w:bidi="ar"/>
              </w:rPr>
              <w:t>为园区内银翔·盛世华庭、银翔·盛世悦庭2个集中居住区（最近距离</w:t>
            </w:r>
            <w:r>
              <w:rPr>
                <w:rFonts w:hint="eastAsia"/>
                <w:color w:val="auto"/>
                <w:kern w:val="0"/>
                <w:sz w:val="26"/>
                <w:szCs w:val="26"/>
                <w:highlight w:val="none"/>
                <w:lang w:eastAsia="zh-CN" w:bidi="ar"/>
              </w:rPr>
              <w:t>约</w:t>
            </w:r>
            <w:r>
              <w:rPr>
                <w:rFonts w:hint="eastAsia"/>
                <w:color w:val="auto"/>
                <w:kern w:val="0"/>
                <w:sz w:val="26"/>
                <w:szCs w:val="26"/>
                <w:highlight w:val="none"/>
                <w:lang w:bidi="ar"/>
              </w:rPr>
              <w:t>404m）及园区外农村散居农户（最近距离</w:t>
            </w:r>
            <w:r>
              <w:rPr>
                <w:rFonts w:hint="eastAsia"/>
                <w:color w:val="auto"/>
                <w:kern w:val="0"/>
                <w:sz w:val="26"/>
                <w:szCs w:val="26"/>
                <w:highlight w:val="none"/>
                <w:lang w:eastAsia="zh-CN" w:bidi="ar"/>
              </w:rPr>
              <w:t>约</w:t>
            </w:r>
            <w:r>
              <w:rPr>
                <w:rFonts w:hint="eastAsia"/>
                <w:color w:val="auto"/>
                <w:kern w:val="0"/>
                <w:sz w:val="26"/>
                <w:szCs w:val="26"/>
                <w:highlight w:val="none"/>
                <w:lang w:bidi="ar"/>
              </w:rPr>
              <w:t>296m）</w:t>
            </w:r>
            <w:r>
              <w:rPr>
                <w:color w:val="auto"/>
                <w:kern w:val="0"/>
                <w:sz w:val="26"/>
                <w:szCs w:val="26"/>
                <w:highlight w:val="none"/>
                <w:lang w:bidi="ar"/>
              </w:rPr>
              <w:t>。本项目涉及颗粒物、挥发性有机物排放，在采取合理有效的废气治理措施后，可确保污染物达标排放，不会因项目建设导致区域环境空气质量超标，不会对公众人群健康造成影响。项目</w:t>
            </w:r>
            <w:r>
              <w:rPr>
                <w:rFonts w:hint="eastAsia"/>
                <w:color w:val="auto"/>
                <w:kern w:val="0"/>
                <w:sz w:val="26"/>
                <w:szCs w:val="26"/>
                <w:highlight w:val="none"/>
                <w:lang w:bidi="ar"/>
              </w:rPr>
              <w:t>废气排放量较小</w:t>
            </w:r>
            <w:r>
              <w:rPr>
                <w:color w:val="auto"/>
                <w:kern w:val="0"/>
                <w:sz w:val="26"/>
                <w:szCs w:val="26"/>
                <w:highlight w:val="none"/>
                <w:lang w:bidi="ar"/>
              </w:rPr>
              <w:t>，</w:t>
            </w:r>
            <w:r>
              <w:rPr>
                <w:rFonts w:hint="eastAsia"/>
                <w:color w:val="auto"/>
                <w:kern w:val="0"/>
                <w:sz w:val="26"/>
                <w:szCs w:val="26"/>
                <w:highlight w:val="none"/>
                <w:lang w:bidi="ar"/>
              </w:rPr>
              <w:t>位于集中居住区下风向，且与集中居住区、散居农户之间有已建工业企业、道路、绿地</w:t>
            </w:r>
            <w:r>
              <w:rPr>
                <w:rFonts w:hint="eastAsia"/>
                <w:color w:val="auto"/>
                <w:kern w:val="0"/>
                <w:sz w:val="26"/>
                <w:szCs w:val="26"/>
                <w:highlight w:val="none"/>
                <w:lang w:eastAsia="zh-CN" w:bidi="ar"/>
              </w:rPr>
              <w:t>等</w:t>
            </w:r>
            <w:r>
              <w:rPr>
                <w:rFonts w:hint="eastAsia"/>
                <w:color w:val="auto"/>
                <w:kern w:val="0"/>
                <w:sz w:val="26"/>
                <w:szCs w:val="26"/>
                <w:highlight w:val="none"/>
                <w:lang w:bidi="ar"/>
              </w:rPr>
              <w:t>相隔，对周边居民影响较小</w:t>
            </w:r>
            <w:r>
              <w:rPr>
                <w:color w:val="auto"/>
                <w:kern w:val="0"/>
                <w:sz w:val="26"/>
                <w:szCs w:val="26"/>
                <w:highlight w:val="none"/>
                <w:lang w:bidi="ar"/>
              </w:rPr>
              <w:t>。</w:t>
            </w:r>
          </w:p>
          <w:p w14:paraId="0D9B9A87">
            <w:pPr>
              <w:autoSpaceDE w:val="0"/>
              <w:autoSpaceDN w:val="0"/>
              <w:adjustRightInd w:val="0"/>
              <w:snapToGrid w:val="0"/>
              <w:spacing w:line="480" w:lineRule="exact"/>
              <w:ind w:firstLine="520" w:firstLineChars="200"/>
              <w:rPr>
                <w:color w:val="auto"/>
                <w:kern w:val="0"/>
                <w:sz w:val="26"/>
                <w:szCs w:val="26"/>
                <w:highlight w:val="none"/>
              </w:rPr>
            </w:pPr>
            <w:r>
              <w:rPr>
                <w:color w:val="auto"/>
                <w:kern w:val="0"/>
                <w:sz w:val="26"/>
                <w:szCs w:val="26"/>
                <w:highlight w:val="none"/>
              </w:rPr>
              <w:t>（4）环境容量承载力</w:t>
            </w:r>
          </w:p>
          <w:p w14:paraId="7232AE62">
            <w:pPr>
              <w:autoSpaceDE w:val="0"/>
              <w:autoSpaceDN w:val="0"/>
              <w:adjustRightInd w:val="0"/>
              <w:snapToGrid w:val="0"/>
              <w:spacing w:line="480" w:lineRule="exact"/>
              <w:ind w:firstLine="520" w:firstLineChars="200"/>
              <w:rPr>
                <w:color w:val="auto"/>
                <w:kern w:val="0"/>
                <w:sz w:val="26"/>
                <w:szCs w:val="26"/>
                <w:highlight w:val="none"/>
              </w:rPr>
            </w:pPr>
            <w:r>
              <w:rPr>
                <w:color w:val="auto"/>
                <w:kern w:val="0"/>
                <w:sz w:val="26"/>
                <w:szCs w:val="26"/>
                <w:highlight w:val="none"/>
              </w:rPr>
              <w:t>项目所在合川区</w:t>
            </w:r>
            <w:r>
              <w:rPr>
                <w:rFonts w:hint="eastAsia"/>
                <w:color w:val="auto"/>
                <w:kern w:val="0"/>
                <w:sz w:val="26"/>
                <w:szCs w:val="26"/>
                <w:highlight w:val="none"/>
              </w:rPr>
              <w:t>202</w:t>
            </w:r>
            <w:r>
              <w:rPr>
                <w:rFonts w:hint="eastAsia"/>
                <w:color w:val="auto"/>
                <w:kern w:val="0"/>
                <w:sz w:val="26"/>
                <w:szCs w:val="26"/>
                <w:highlight w:val="none"/>
                <w:lang w:val="en-US" w:eastAsia="zh-CN"/>
              </w:rPr>
              <w:t>4</w:t>
            </w:r>
            <w:r>
              <w:rPr>
                <w:color w:val="auto"/>
                <w:kern w:val="0"/>
                <w:sz w:val="26"/>
                <w:szCs w:val="26"/>
                <w:highlight w:val="none"/>
              </w:rPr>
              <w:t>年PM</w:t>
            </w:r>
            <w:r>
              <w:rPr>
                <w:color w:val="auto"/>
                <w:kern w:val="0"/>
                <w:sz w:val="26"/>
                <w:szCs w:val="26"/>
                <w:highlight w:val="none"/>
                <w:vertAlign w:val="subscript"/>
              </w:rPr>
              <w:t>10</w:t>
            </w:r>
            <w:r>
              <w:rPr>
                <w:color w:val="auto"/>
                <w:kern w:val="0"/>
                <w:sz w:val="26"/>
                <w:szCs w:val="26"/>
                <w:highlight w:val="none"/>
              </w:rPr>
              <w:t>、SO</w:t>
            </w:r>
            <w:r>
              <w:rPr>
                <w:color w:val="auto"/>
                <w:kern w:val="0"/>
                <w:sz w:val="26"/>
                <w:szCs w:val="26"/>
                <w:highlight w:val="none"/>
                <w:vertAlign w:val="subscript"/>
              </w:rPr>
              <w:t>2</w:t>
            </w:r>
            <w:r>
              <w:rPr>
                <w:color w:val="auto"/>
                <w:kern w:val="0"/>
                <w:sz w:val="26"/>
                <w:szCs w:val="26"/>
                <w:highlight w:val="none"/>
              </w:rPr>
              <w:t>、NO</w:t>
            </w:r>
            <w:r>
              <w:rPr>
                <w:color w:val="auto"/>
                <w:kern w:val="0"/>
                <w:sz w:val="26"/>
                <w:szCs w:val="26"/>
                <w:highlight w:val="none"/>
                <w:vertAlign w:val="subscript"/>
              </w:rPr>
              <w:t>2</w:t>
            </w:r>
            <w:r>
              <w:rPr>
                <w:color w:val="auto"/>
                <w:kern w:val="0"/>
                <w:sz w:val="26"/>
                <w:szCs w:val="26"/>
                <w:highlight w:val="none"/>
              </w:rPr>
              <w:t>、O</w:t>
            </w:r>
            <w:r>
              <w:rPr>
                <w:color w:val="auto"/>
                <w:kern w:val="0"/>
                <w:sz w:val="26"/>
                <w:szCs w:val="26"/>
                <w:highlight w:val="none"/>
                <w:vertAlign w:val="subscript"/>
              </w:rPr>
              <w:t>3</w:t>
            </w:r>
            <w:r>
              <w:rPr>
                <w:color w:val="auto"/>
                <w:kern w:val="0"/>
                <w:sz w:val="26"/>
                <w:szCs w:val="26"/>
                <w:highlight w:val="none"/>
              </w:rPr>
              <w:t>、CO满足《环境空气质量标准》（GB3095-2012）二类标准，PM</w:t>
            </w:r>
            <w:r>
              <w:rPr>
                <w:color w:val="auto"/>
                <w:kern w:val="0"/>
                <w:sz w:val="26"/>
                <w:szCs w:val="26"/>
                <w:highlight w:val="none"/>
                <w:vertAlign w:val="subscript"/>
              </w:rPr>
              <w:t>2.5</w:t>
            </w:r>
            <w:r>
              <w:rPr>
                <w:color w:val="auto"/>
                <w:kern w:val="0"/>
                <w:sz w:val="26"/>
                <w:szCs w:val="26"/>
                <w:highlight w:val="none"/>
              </w:rPr>
              <w:t>年均值不满足《环境空气质量标准》（GB3095-2012）二类标准，区域城市环境空气质量不达标。合川区已印发《重庆市合川区大气环境质量达标规划》，针对区域超标情况将开展削减、治理措施行动，通过达标规划的实施其他空气质量指标将达标。根据环境现状监测，评价区域内</w:t>
            </w:r>
            <w:r>
              <w:rPr>
                <w:rFonts w:hint="eastAsia"/>
                <w:color w:val="auto"/>
                <w:kern w:val="0"/>
                <w:sz w:val="26"/>
                <w:szCs w:val="26"/>
                <w:highlight w:val="none"/>
                <w:lang w:eastAsia="zh-CN"/>
              </w:rPr>
              <w:t>特征因子非甲烷总烃</w:t>
            </w:r>
            <w:r>
              <w:rPr>
                <w:color w:val="auto"/>
                <w:kern w:val="0"/>
                <w:sz w:val="26"/>
                <w:szCs w:val="26"/>
                <w:highlight w:val="none"/>
              </w:rPr>
              <w:t>达标。</w:t>
            </w:r>
            <w:r>
              <w:rPr>
                <w:rFonts w:hint="eastAsia"/>
                <w:color w:val="auto"/>
                <w:kern w:val="0"/>
                <w:sz w:val="26"/>
                <w:szCs w:val="26"/>
                <w:highlight w:val="none"/>
              </w:rPr>
              <w:t>项目仅切割、焊接、打磨等工序涉及颗粒物排放，本次评价提出废气污染控制措施要求，采取相关措施</w:t>
            </w:r>
            <w:r>
              <w:rPr>
                <w:rFonts w:hint="eastAsia"/>
                <w:color w:val="auto"/>
                <w:kern w:val="0"/>
                <w:sz w:val="26"/>
                <w:szCs w:val="26"/>
                <w:highlight w:val="none"/>
                <w:lang w:eastAsia="zh-CN"/>
              </w:rPr>
              <w:t>后</w:t>
            </w:r>
            <w:r>
              <w:rPr>
                <w:rFonts w:hint="eastAsia"/>
                <w:color w:val="auto"/>
                <w:kern w:val="0"/>
                <w:sz w:val="26"/>
                <w:szCs w:val="26"/>
                <w:highlight w:val="none"/>
              </w:rPr>
              <w:t>，污染物排放量较小，未超过现有工程</w:t>
            </w:r>
            <w:r>
              <w:rPr>
                <w:rFonts w:hint="eastAsia"/>
                <w:color w:val="auto"/>
                <w:kern w:val="0"/>
                <w:sz w:val="26"/>
                <w:szCs w:val="26"/>
                <w:highlight w:val="none"/>
                <w:lang w:eastAsia="zh-CN"/>
              </w:rPr>
              <w:t>许可</w:t>
            </w:r>
            <w:r>
              <w:rPr>
                <w:rFonts w:hint="eastAsia"/>
                <w:color w:val="auto"/>
                <w:kern w:val="0"/>
                <w:sz w:val="26"/>
                <w:szCs w:val="26"/>
                <w:highlight w:val="none"/>
              </w:rPr>
              <w:t>排放量，不会影响达标规划的实施。</w:t>
            </w:r>
          </w:p>
          <w:p w14:paraId="29195DF3">
            <w:pPr>
              <w:autoSpaceDE w:val="0"/>
              <w:autoSpaceDN w:val="0"/>
              <w:adjustRightInd w:val="0"/>
              <w:snapToGrid w:val="0"/>
              <w:spacing w:line="480" w:lineRule="exact"/>
              <w:ind w:firstLine="520" w:firstLineChars="200"/>
              <w:rPr>
                <w:color w:val="auto"/>
                <w:kern w:val="0"/>
                <w:sz w:val="26"/>
                <w:szCs w:val="26"/>
                <w:highlight w:val="none"/>
              </w:rPr>
            </w:pPr>
            <w:r>
              <w:rPr>
                <w:color w:val="auto"/>
                <w:kern w:val="0"/>
                <w:sz w:val="26"/>
                <w:szCs w:val="26"/>
                <w:highlight w:val="none"/>
              </w:rPr>
              <w:t>项目所在区域地表水体柏水溪、嘉陵江现状水环境质量</w:t>
            </w:r>
            <w:r>
              <w:rPr>
                <w:rFonts w:hint="eastAsia"/>
                <w:color w:val="auto"/>
                <w:kern w:val="0"/>
                <w:sz w:val="26"/>
                <w:szCs w:val="26"/>
                <w:highlight w:val="none"/>
              </w:rPr>
              <w:t>达标</w:t>
            </w:r>
            <w:r>
              <w:rPr>
                <w:color w:val="auto"/>
                <w:kern w:val="0"/>
                <w:sz w:val="26"/>
                <w:szCs w:val="26"/>
                <w:highlight w:val="none"/>
              </w:rPr>
              <w:t>，园区集中污水处理设施</w:t>
            </w:r>
            <w:r>
              <w:rPr>
                <w:rFonts w:hint="eastAsia"/>
                <w:color w:val="auto"/>
                <w:kern w:val="0"/>
                <w:sz w:val="26"/>
                <w:szCs w:val="26"/>
                <w:highlight w:val="none"/>
              </w:rPr>
              <w:t>——银翔新城污水处理厂</w:t>
            </w:r>
            <w:r>
              <w:rPr>
                <w:color w:val="auto"/>
                <w:kern w:val="0"/>
                <w:sz w:val="26"/>
                <w:szCs w:val="26"/>
                <w:highlight w:val="none"/>
              </w:rPr>
              <w:t>已完成一级A标提标改造工作</w:t>
            </w:r>
            <w:r>
              <w:rPr>
                <w:rFonts w:hint="eastAsia"/>
                <w:color w:val="auto"/>
                <w:kern w:val="0"/>
                <w:sz w:val="26"/>
                <w:szCs w:val="26"/>
                <w:highlight w:val="none"/>
              </w:rPr>
              <w:t>，可正常运行</w:t>
            </w:r>
            <w:r>
              <w:rPr>
                <w:color w:val="auto"/>
                <w:kern w:val="0"/>
                <w:sz w:val="26"/>
                <w:szCs w:val="26"/>
                <w:highlight w:val="none"/>
              </w:rPr>
              <w:t>并稳定达标</w:t>
            </w:r>
            <w:r>
              <w:rPr>
                <w:rFonts w:hint="eastAsia"/>
                <w:color w:val="auto"/>
                <w:kern w:val="0"/>
                <w:sz w:val="26"/>
                <w:szCs w:val="26"/>
                <w:highlight w:val="none"/>
              </w:rPr>
              <w:t>。</w:t>
            </w:r>
            <w:r>
              <w:rPr>
                <w:color w:val="auto"/>
                <w:kern w:val="0"/>
                <w:sz w:val="26"/>
                <w:szCs w:val="26"/>
                <w:highlight w:val="none"/>
              </w:rPr>
              <w:t>同时项目在采取污染防治措施后对区域声环境、地下水环境、土壤环境影响小，因此项目建设不受区域水环境、声环境、地下水环境、土壤环</w:t>
            </w:r>
            <w:r>
              <w:rPr>
                <w:rFonts w:hint="eastAsia"/>
                <w:color w:val="auto"/>
                <w:kern w:val="0"/>
                <w:sz w:val="26"/>
                <w:szCs w:val="26"/>
                <w:highlight w:val="none"/>
              </w:rPr>
              <w:t>境等</w:t>
            </w:r>
            <w:r>
              <w:rPr>
                <w:color w:val="auto"/>
                <w:kern w:val="0"/>
                <w:sz w:val="26"/>
                <w:szCs w:val="26"/>
                <w:highlight w:val="none"/>
              </w:rPr>
              <w:t>方面制约。</w:t>
            </w:r>
          </w:p>
          <w:p w14:paraId="1C7CD6ED">
            <w:pPr>
              <w:autoSpaceDE w:val="0"/>
              <w:autoSpaceDN w:val="0"/>
              <w:adjustRightInd w:val="0"/>
              <w:snapToGrid w:val="0"/>
              <w:spacing w:line="480" w:lineRule="exact"/>
              <w:ind w:firstLine="520" w:firstLineChars="200"/>
              <w:rPr>
                <w:color w:val="auto"/>
                <w:kern w:val="0"/>
                <w:sz w:val="26"/>
                <w:szCs w:val="26"/>
                <w:highlight w:val="none"/>
              </w:rPr>
            </w:pPr>
            <w:r>
              <w:rPr>
                <w:color w:val="auto"/>
                <w:kern w:val="0"/>
                <w:sz w:val="26"/>
                <w:szCs w:val="26"/>
                <w:highlight w:val="none"/>
              </w:rPr>
              <w:t>综上所述，项目选址满足环境功能区划</w:t>
            </w:r>
            <w:r>
              <w:rPr>
                <w:rFonts w:hint="eastAsia"/>
                <w:color w:val="auto"/>
                <w:kern w:val="0"/>
                <w:sz w:val="26"/>
                <w:szCs w:val="26"/>
                <w:highlight w:val="none"/>
              </w:rPr>
              <w:t>、</w:t>
            </w:r>
            <w:r>
              <w:rPr>
                <w:color w:val="auto"/>
                <w:kern w:val="0"/>
                <w:sz w:val="26"/>
                <w:szCs w:val="26"/>
                <w:highlight w:val="none"/>
              </w:rPr>
              <w:t>规划环评及审查意见函的要求，无重大外环境制约因素，选址可行合理。</w:t>
            </w:r>
          </w:p>
          <w:p w14:paraId="23321CC1">
            <w:pPr>
              <w:widowControl/>
              <w:adjustRightInd w:val="0"/>
              <w:snapToGrid w:val="0"/>
              <w:spacing w:line="480" w:lineRule="exact"/>
              <w:ind w:firstLine="520" w:firstLineChars="200"/>
              <w:jc w:val="left"/>
              <w:rPr>
                <w:color w:val="auto"/>
                <w:kern w:val="0"/>
                <w:sz w:val="26"/>
                <w:szCs w:val="26"/>
                <w:highlight w:val="none"/>
                <w:lang w:bidi="ar"/>
              </w:rPr>
            </w:pPr>
          </w:p>
          <w:p w14:paraId="4B17883D">
            <w:pPr>
              <w:autoSpaceDE w:val="0"/>
              <w:autoSpaceDN w:val="0"/>
              <w:adjustRightInd w:val="0"/>
              <w:snapToGrid w:val="0"/>
              <w:spacing w:line="480" w:lineRule="exact"/>
              <w:ind w:firstLine="522" w:firstLineChars="200"/>
              <w:rPr>
                <w:b/>
                <w:color w:val="auto"/>
                <w:kern w:val="0"/>
                <w:sz w:val="26"/>
                <w:szCs w:val="26"/>
                <w:highlight w:val="none"/>
              </w:rPr>
            </w:pPr>
          </w:p>
        </w:tc>
      </w:tr>
    </w:tbl>
    <w:p w14:paraId="31D5C9BA">
      <w:pPr>
        <w:spacing w:line="360" w:lineRule="auto"/>
        <w:outlineLvl w:val="0"/>
        <w:rPr>
          <w:rFonts w:eastAsia="黑体"/>
          <w:color w:val="auto"/>
          <w:sz w:val="30"/>
          <w:highlight w:val="none"/>
        </w:rPr>
        <w:sectPr>
          <w:footerReference r:id="rId5" w:type="default"/>
          <w:pgSz w:w="11906" w:h="16838"/>
          <w:pgMar w:top="1701" w:right="1531" w:bottom="1701" w:left="1531" w:header="851" w:footer="1077" w:gutter="0"/>
          <w:cols w:space="720" w:num="1"/>
          <w:docGrid w:linePitch="312" w:charSpace="0"/>
        </w:sectPr>
      </w:pPr>
    </w:p>
    <w:p w14:paraId="7EE4A8CF">
      <w:pPr>
        <w:pStyle w:val="15"/>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二、建设项目工程分析</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6"/>
        <w:gridCol w:w="908"/>
        <w:gridCol w:w="7676"/>
      </w:tblGrid>
      <w:tr w14:paraId="795761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37" w:hRule="atLeast"/>
          <w:jc w:val="center"/>
        </w:trPr>
        <w:tc>
          <w:tcPr>
            <w:tcW w:w="476" w:type="dxa"/>
            <w:vAlign w:val="center"/>
          </w:tcPr>
          <w:p w14:paraId="75443B59">
            <w:pPr>
              <w:pStyle w:val="15"/>
              <w:adjustRightInd w:val="0"/>
              <w:snapToGrid w:val="0"/>
              <w:spacing w:before="0" w:beforeAutospacing="0" w:after="0" w:afterAutospacing="0"/>
              <w:jc w:val="center"/>
              <w:rPr>
                <w:rFonts w:cs="宋体"/>
                <w:color w:val="auto"/>
                <w:sz w:val="26"/>
                <w:szCs w:val="26"/>
                <w:highlight w:val="none"/>
              </w:rPr>
            </w:pPr>
            <w:r>
              <w:rPr>
                <w:rFonts w:hint="eastAsia" w:cs="宋体"/>
                <w:color w:val="auto"/>
                <w:sz w:val="26"/>
                <w:szCs w:val="26"/>
                <w:highlight w:val="none"/>
              </w:rPr>
              <w:t>建设内容</w:t>
            </w:r>
          </w:p>
        </w:tc>
        <w:tc>
          <w:tcPr>
            <w:tcW w:w="8584" w:type="dxa"/>
            <w:gridSpan w:val="2"/>
          </w:tcPr>
          <w:p w14:paraId="1B239E8B">
            <w:pPr>
              <w:keepNext/>
              <w:keepLines/>
              <w:autoSpaceDE w:val="0"/>
              <w:autoSpaceDN w:val="0"/>
              <w:adjustRightInd w:val="0"/>
              <w:snapToGrid w:val="0"/>
              <w:spacing w:line="480" w:lineRule="exact"/>
              <w:ind w:firstLine="522" w:firstLineChars="200"/>
              <w:jc w:val="left"/>
              <w:textAlignment w:val="baseline"/>
              <w:outlineLvl w:val="0"/>
              <w:rPr>
                <w:b/>
                <w:color w:val="auto"/>
                <w:kern w:val="0"/>
                <w:sz w:val="26"/>
                <w:szCs w:val="26"/>
                <w:highlight w:val="none"/>
              </w:rPr>
            </w:pPr>
            <w:r>
              <w:rPr>
                <w:b/>
                <w:color w:val="auto"/>
                <w:kern w:val="0"/>
                <w:sz w:val="26"/>
                <w:szCs w:val="26"/>
                <w:highlight w:val="none"/>
              </w:rPr>
              <w:t xml:space="preserve">2.1 </w:t>
            </w:r>
            <w:r>
              <w:rPr>
                <w:rFonts w:hAnsi="宋体"/>
                <w:b/>
                <w:color w:val="auto"/>
                <w:kern w:val="0"/>
                <w:sz w:val="26"/>
                <w:szCs w:val="26"/>
                <w:highlight w:val="none"/>
              </w:rPr>
              <w:t>项目由来</w:t>
            </w:r>
            <w:r>
              <w:rPr>
                <w:rFonts w:hint="eastAsia" w:hAnsi="宋体"/>
                <w:b/>
                <w:color w:val="auto"/>
                <w:kern w:val="0"/>
                <w:sz w:val="26"/>
                <w:szCs w:val="26"/>
                <w:highlight w:val="none"/>
              </w:rPr>
              <w:t>及评价思路</w:t>
            </w:r>
          </w:p>
          <w:p w14:paraId="7327E7BC">
            <w:pPr>
              <w:pStyle w:val="67"/>
              <w:adjustRightInd w:val="0"/>
              <w:snapToGrid w:val="0"/>
              <w:spacing w:line="480" w:lineRule="exact"/>
              <w:ind w:firstLine="522"/>
              <w:jc w:val="both"/>
              <w:rPr>
                <w:b/>
                <w:bCs/>
                <w:color w:val="auto"/>
                <w:kern w:val="0"/>
                <w:sz w:val="26"/>
                <w:szCs w:val="26"/>
                <w:highlight w:val="none"/>
              </w:rPr>
            </w:pPr>
            <w:r>
              <w:rPr>
                <w:rFonts w:hint="eastAsia"/>
                <w:b/>
                <w:bCs/>
                <w:color w:val="auto"/>
                <w:kern w:val="0"/>
                <w:sz w:val="26"/>
                <w:szCs w:val="26"/>
                <w:highlight w:val="none"/>
              </w:rPr>
              <w:t>2.1.1 项目由来</w:t>
            </w:r>
          </w:p>
          <w:p w14:paraId="7910EA4B">
            <w:pPr>
              <w:adjustRightInd w:val="0"/>
              <w:snapToGrid w:val="0"/>
              <w:spacing w:line="480" w:lineRule="exact"/>
              <w:ind w:firstLine="520" w:firstLineChars="200"/>
              <w:rPr>
                <w:color w:val="auto"/>
                <w:sz w:val="26"/>
                <w:szCs w:val="26"/>
                <w:highlight w:val="none"/>
                <w:lang w:val="zh-CN"/>
              </w:rPr>
            </w:pPr>
            <w:r>
              <w:rPr>
                <w:rFonts w:hint="eastAsia"/>
                <w:color w:val="auto"/>
                <w:sz w:val="26"/>
                <w:szCs w:val="26"/>
                <w:highlight w:val="none"/>
                <w:lang w:val="zh-CN"/>
              </w:rPr>
              <w:t>重庆国周新能源汽车科技有限公司主要从事汽车零部件研发、汽车零部件及配件制造、摩托车零配件制造等生产活动。</w:t>
            </w:r>
          </w:p>
          <w:p w14:paraId="30FC8299">
            <w:pPr>
              <w:adjustRightInd w:val="0"/>
              <w:snapToGrid w:val="0"/>
              <w:spacing w:line="480" w:lineRule="exact"/>
              <w:ind w:firstLine="520" w:firstLineChars="200"/>
              <w:rPr>
                <w:color w:val="auto"/>
                <w:sz w:val="26"/>
                <w:szCs w:val="26"/>
                <w:highlight w:val="none"/>
                <w:lang w:val="zh-CN"/>
              </w:rPr>
            </w:pPr>
            <w:r>
              <w:rPr>
                <w:color w:val="auto"/>
                <w:sz w:val="26"/>
                <w:szCs w:val="26"/>
                <w:highlight w:val="none"/>
              </w:rPr>
              <w:t>随着新能源汽车需求量的增加，新能源车身配件的市场需求日益增长。</w:t>
            </w:r>
            <w:r>
              <w:rPr>
                <w:rFonts w:hint="eastAsia"/>
                <w:color w:val="auto"/>
                <w:sz w:val="26"/>
                <w:szCs w:val="26"/>
                <w:highlight w:val="none"/>
              </w:rPr>
              <w:t>为充分盘活产业园区存量闲置低效土地，提升新能源车身配件制造产能及产品质量稳定性，</w:t>
            </w:r>
            <w:r>
              <w:rPr>
                <w:rFonts w:hint="eastAsia"/>
                <w:color w:val="auto"/>
                <w:sz w:val="26"/>
                <w:szCs w:val="26"/>
                <w:highlight w:val="none"/>
                <w:lang w:val="zh-CN"/>
              </w:rPr>
              <w:t>重庆国周新能源汽车科技有限公司拟在合川工业园区天顶组团（即黄金组团）租赁重庆友拓汽车零部件有限公司合川厂区工程建设项目厂房及设备，并投资</w:t>
            </w:r>
            <w:r>
              <w:rPr>
                <w:rFonts w:hint="eastAsia"/>
                <w:color w:val="auto"/>
                <w:sz w:val="26"/>
                <w:szCs w:val="26"/>
                <w:highlight w:val="none"/>
              </w:rPr>
              <w:t>3500</w:t>
            </w:r>
            <w:r>
              <w:rPr>
                <w:rFonts w:hint="eastAsia"/>
                <w:color w:val="auto"/>
                <w:sz w:val="26"/>
                <w:szCs w:val="26"/>
                <w:highlight w:val="none"/>
                <w:lang w:val="zh-CN"/>
              </w:rPr>
              <w:t>万元，对重庆友拓汽车零部件有限公司现有生产线进行技术改造，建设液压生产线自动化改造项目、激光切割自动化生产线改造项目、焊接自动化生产线改造项目（以下简称“本项目”），技改完成后，形成年产汽车配件</w:t>
            </w:r>
            <w:r>
              <w:rPr>
                <w:rFonts w:hint="eastAsia"/>
                <w:color w:val="auto"/>
                <w:sz w:val="26"/>
                <w:szCs w:val="26"/>
                <w:highlight w:val="none"/>
              </w:rPr>
              <w:t>3万吨</w:t>
            </w:r>
            <w:r>
              <w:rPr>
                <w:rFonts w:hint="eastAsia"/>
                <w:color w:val="auto"/>
                <w:sz w:val="26"/>
                <w:szCs w:val="26"/>
                <w:highlight w:val="none"/>
                <w:lang w:val="zh-CN"/>
              </w:rPr>
              <w:t>的生产规模。</w:t>
            </w:r>
          </w:p>
          <w:p w14:paraId="6913434E">
            <w:pPr>
              <w:adjustRightInd w:val="0"/>
              <w:snapToGrid w:val="0"/>
              <w:spacing w:line="480" w:lineRule="exact"/>
              <w:ind w:firstLine="520" w:firstLineChars="200"/>
              <w:rPr>
                <w:color w:val="auto"/>
                <w:highlight w:val="none"/>
              </w:rPr>
            </w:pPr>
            <w:r>
              <w:rPr>
                <w:color w:val="auto"/>
                <w:sz w:val="26"/>
                <w:szCs w:val="26"/>
                <w:highlight w:val="none"/>
              </w:rPr>
              <w:t>根据《中华人民共和国环境保护法</w:t>
            </w:r>
            <w:r>
              <w:rPr>
                <w:rFonts w:hint="eastAsia"/>
                <w:color w:val="auto"/>
                <w:sz w:val="26"/>
                <w:szCs w:val="26"/>
                <w:highlight w:val="none"/>
                <w:lang w:eastAsia="zh-CN"/>
              </w:rPr>
              <w:t>》《</w:t>
            </w:r>
            <w:r>
              <w:rPr>
                <w:color w:val="auto"/>
                <w:sz w:val="26"/>
                <w:szCs w:val="26"/>
                <w:highlight w:val="none"/>
              </w:rPr>
              <w:t>中华人民共和国环境影响评价法</w:t>
            </w:r>
            <w:r>
              <w:rPr>
                <w:rFonts w:hint="eastAsia"/>
                <w:color w:val="auto"/>
                <w:sz w:val="26"/>
                <w:szCs w:val="26"/>
                <w:highlight w:val="none"/>
                <w:lang w:eastAsia="zh-CN"/>
              </w:rPr>
              <w:t>》《</w:t>
            </w:r>
            <w:r>
              <w:rPr>
                <w:color w:val="auto"/>
                <w:sz w:val="26"/>
                <w:szCs w:val="26"/>
                <w:highlight w:val="none"/>
              </w:rPr>
              <w:t>建设项目环境保护管理条例》规定，本项目应进行环境影响评价；根据《国民经济行业分类》（GB/T4754-2017），本项目属于汽车零部件及配件制造C</w:t>
            </w:r>
            <w:r>
              <w:rPr>
                <w:rFonts w:eastAsia="Times New Roman"/>
                <w:color w:val="auto"/>
                <w:sz w:val="26"/>
                <w:szCs w:val="26"/>
                <w:highlight w:val="none"/>
              </w:rPr>
              <w:t>3670</w:t>
            </w:r>
            <w:r>
              <w:rPr>
                <w:color w:val="auto"/>
                <w:sz w:val="26"/>
                <w:szCs w:val="26"/>
                <w:highlight w:val="none"/>
              </w:rPr>
              <w:t>；根据《建设项目环境影响评价分类管理名录》(2021年版</w:t>
            </w:r>
            <w:bookmarkStart w:id="24" w:name="hmcheck_b93461165f8745dab6e271cc5a86e80d"/>
            <w:r>
              <w:rPr>
                <w:rFonts w:hint="eastAsia"/>
                <w:color w:val="auto"/>
                <w:sz w:val="26"/>
                <w:szCs w:val="26"/>
                <w:highlight w:val="none"/>
                <w:shd w:val="clear" w:fill="FFAFAA"/>
                <w:lang w:eastAsia="zh-CN"/>
              </w:rPr>
              <w:t>）</w:t>
            </w:r>
            <w:bookmarkEnd w:id="24"/>
            <w:r>
              <w:rPr>
                <w:color w:val="auto"/>
                <w:sz w:val="26"/>
                <w:szCs w:val="26"/>
                <w:highlight w:val="none"/>
              </w:rPr>
              <w:t>，本项目属于：</w:t>
            </w:r>
            <w:r>
              <w:rPr>
                <w:rFonts w:hint="eastAsia"/>
                <w:color w:val="auto"/>
                <w:sz w:val="26"/>
                <w:szCs w:val="26"/>
                <w:highlight w:val="none"/>
              </w:rPr>
              <w:t>“</w:t>
            </w:r>
            <w:r>
              <w:rPr>
                <w:color w:val="auto"/>
                <w:sz w:val="26"/>
                <w:szCs w:val="26"/>
                <w:highlight w:val="none"/>
              </w:rPr>
              <w:t>三十三、汽车制造业</w:t>
            </w:r>
            <w:r>
              <w:rPr>
                <w:rFonts w:eastAsia="Times New Roman"/>
                <w:color w:val="auto"/>
                <w:sz w:val="26"/>
                <w:szCs w:val="26"/>
                <w:highlight w:val="none"/>
              </w:rPr>
              <w:t>36</w:t>
            </w:r>
            <w:r>
              <w:rPr>
                <w:color w:val="auto"/>
                <w:sz w:val="26"/>
                <w:szCs w:val="26"/>
                <w:highlight w:val="none"/>
              </w:rPr>
              <w:t>，汽车零部件及配件制造367，其他</w:t>
            </w:r>
            <w:r>
              <w:rPr>
                <w:rFonts w:hint="eastAsia"/>
                <w:color w:val="auto"/>
                <w:sz w:val="26"/>
                <w:szCs w:val="26"/>
                <w:highlight w:val="none"/>
              </w:rPr>
              <w:t>”</w:t>
            </w:r>
            <w:r>
              <w:rPr>
                <w:color w:val="auto"/>
                <w:sz w:val="26"/>
                <w:szCs w:val="26"/>
                <w:highlight w:val="none"/>
              </w:rPr>
              <w:t>，本项目应编制环境影响报告表。</w:t>
            </w:r>
          </w:p>
          <w:p w14:paraId="4BBC891A">
            <w:pPr>
              <w:pStyle w:val="67"/>
              <w:adjustRightInd w:val="0"/>
              <w:snapToGrid w:val="0"/>
              <w:spacing w:line="480" w:lineRule="exact"/>
              <w:ind w:firstLine="522"/>
              <w:jc w:val="both"/>
              <w:rPr>
                <w:b/>
                <w:bCs/>
                <w:color w:val="auto"/>
                <w:kern w:val="0"/>
                <w:sz w:val="26"/>
                <w:szCs w:val="26"/>
                <w:highlight w:val="none"/>
              </w:rPr>
            </w:pPr>
            <w:r>
              <w:rPr>
                <w:rFonts w:hint="eastAsia"/>
                <w:b/>
                <w:bCs/>
                <w:color w:val="auto"/>
                <w:kern w:val="0"/>
                <w:sz w:val="26"/>
                <w:szCs w:val="26"/>
                <w:highlight w:val="none"/>
              </w:rPr>
              <w:t>2.1.2评价思路</w:t>
            </w:r>
          </w:p>
          <w:p w14:paraId="0D427078">
            <w:pPr>
              <w:adjustRightInd w:val="0"/>
              <w:snapToGrid w:val="0"/>
              <w:spacing w:line="480" w:lineRule="exact"/>
              <w:ind w:firstLine="520" w:firstLineChars="200"/>
              <w:rPr>
                <w:rFonts w:hint="eastAsia"/>
                <w:color w:val="auto"/>
                <w:sz w:val="26"/>
                <w:szCs w:val="26"/>
                <w:highlight w:val="none"/>
              </w:rPr>
            </w:pPr>
            <w:r>
              <w:rPr>
                <w:rFonts w:hint="eastAsia"/>
                <w:color w:val="auto"/>
                <w:sz w:val="26"/>
                <w:szCs w:val="26"/>
                <w:highlight w:val="none"/>
              </w:rPr>
              <w:t>（</w:t>
            </w:r>
            <w:r>
              <w:rPr>
                <w:rFonts w:hint="eastAsia"/>
                <w:color w:val="auto"/>
                <w:sz w:val="26"/>
                <w:szCs w:val="26"/>
                <w:highlight w:val="none"/>
                <w:lang w:val="en-US" w:eastAsia="zh-CN"/>
              </w:rPr>
              <w:t>1</w:t>
            </w:r>
            <w:r>
              <w:rPr>
                <w:rFonts w:hint="eastAsia"/>
                <w:color w:val="auto"/>
                <w:sz w:val="26"/>
                <w:szCs w:val="26"/>
                <w:highlight w:val="none"/>
              </w:rPr>
              <w:t>）鉴于企业需求，对液压、切割、焊接三条生产线分别进行了备案，形成了“液压生产线自动化改造项目</w:t>
            </w:r>
            <w:bookmarkStart w:id="25" w:name="hmcheck_936ac568a51a4221ac57d9f8990ea669"/>
            <w:r>
              <w:rPr>
                <w:rFonts w:hint="eastAsia"/>
                <w:color w:val="auto"/>
                <w:sz w:val="26"/>
                <w:szCs w:val="26"/>
                <w:highlight w:val="none"/>
                <w:shd w:val="clear" w:fill="B2E9BC"/>
                <w:lang w:eastAsia="zh-CN"/>
              </w:rPr>
              <w:t>”“</w:t>
            </w:r>
            <w:bookmarkEnd w:id="25"/>
            <w:r>
              <w:rPr>
                <w:rFonts w:hint="eastAsia"/>
                <w:color w:val="auto"/>
                <w:sz w:val="26"/>
                <w:szCs w:val="26"/>
                <w:highlight w:val="none"/>
              </w:rPr>
              <w:t>激光切割自动化生产线改造项目”以及“焊接自动化生产线改造项目”三个子项目。然而，每个子项目仅为汽车配件产品生产工艺流程中的单个环节，并非独立的产品生产线；</w:t>
            </w:r>
            <w:r>
              <w:rPr>
                <w:rFonts w:hint="eastAsia"/>
                <w:color w:val="auto"/>
                <w:sz w:val="26"/>
                <w:szCs w:val="26"/>
                <w:highlight w:val="none"/>
                <w:lang w:eastAsia="zh-CN"/>
              </w:rPr>
              <w:t>且</w:t>
            </w:r>
            <w:r>
              <w:rPr>
                <w:rFonts w:hint="eastAsia"/>
                <w:color w:val="auto"/>
                <w:sz w:val="26"/>
                <w:szCs w:val="26"/>
                <w:highlight w:val="none"/>
              </w:rPr>
              <w:t>三个子项目的责任主体均为重庆国周新能源汽车科技有限公司。</w:t>
            </w:r>
            <w:r>
              <w:rPr>
                <w:rFonts w:hint="eastAsia"/>
                <w:color w:val="auto"/>
                <w:sz w:val="26"/>
                <w:szCs w:val="26"/>
                <w:highlight w:val="none"/>
                <w:lang w:eastAsia="zh-CN"/>
              </w:rPr>
              <w:t>同时根据《生态环境部门进一步促进民营经济发展的若干措施》《重庆市生态环境系统助企纾困稳住经济大盘十一条政策措施》政策，</w:t>
            </w:r>
            <w:r>
              <w:rPr>
                <w:rFonts w:hint="eastAsia"/>
                <w:color w:val="auto"/>
                <w:sz w:val="26"/>
                <w:szCs w:val="26"/>
                <w:highlight w:val="none"/>
              </w:rPr>
              <w:t>本次评价对“液压生产线自动化改造项目</w:t>
            </w:r>
            <w:bookmarkStart w:id="26" w:name="hmcheck_4eaeb5e788f1439ca671918ea651221e"/>
            <w:r>
              <w:rPr>
                <w:rFonts w:hint="eastAsia"/>
                <w:color w:val="auto"/>
                <w:sz w:val="26"/>
                <w:szCs w:val="26"/>
                <w:highlight w:val="none"/>
                <w:shd w:val="clear" w:fill="B2E9BC"/>
                <w:lang w:eastAsia="zh-CN"/>
              </w:rPr>
              <w:t>”“</w:t>
            </w:r>
            <w:bookmarkEnd w:id="26"/>
            <w:r>
              <w:rPr>
                <w:rFonts w:hint="eastAsia"/>
                <w:color w:val="auto"/>
                <w:sz w:val="26"/>
                <w:szCs w:val="26"/>
                <w:highlight w:val="none"/>
              </w:rPr>
              <w:t>激光切割自动化生产线改造项目</w:t>
            </w:r>
            <w:bookmarkStart w:id="27" w:name="hmcheck_ec294824679b48bc9ee1cb7e4585b1f9"/>
            <w:r>
              <w:rPr>
                <w:rFonts w:hint="eastAsia"/>
                <w:color w:val="auto"/>
                <w:sz w:val="26"/>
                <w:szCs w:val="26"/>
                <w:highlight w:val="none"/>
                <w:shd w:val="clear" w:fill="B2E9BC"/>
                <w:lang w:eastAsia="zh-CN"/>
              </w:rPr>
              <w:t>”“</w:t>
            </w:r>
            <w:bookmarkEnd w:id="27"/>
            <w:r>
              <w:rPr>
                <w:rFonts w:hint="eastAsia"/>
                <w:color w:val="auto"/>
                <w:sz w:val="26"/>
                <w:szCs w:val="26"/>
                <w:highlight w:val="none"/>
              </w:rPr>
              <w:t>焊接自动化生产线改造项目”三个</w:t>
            </w:r>
            <w:r>
              <w:rPr>
                <w:rFonts w:hint="eastAsia"/>
                <w:color w:val="auto"/>
                <w:sz w:val="26"/>
                <w:szCs w:val="26"/>
                <w:highlight w:val="none"/>
                <w:lang w:eastAsia="zh-CN"/>
              </w:rPr>
              <w:t>子</w:t>
            </w:r>
            <w:r>
              <w:rPr>
                <w:rFonts w:hint="eastAsia"/>
                <w:color w:val="auto"/>
                <w:sz w:val="26"/>
                <w:szCs w:val="26"/>
                <w:highlight w:val="none"/>
              </w:rPr>
              <w:t>项目进行整体</w:t>
            </w:r>
            <w:r>
              <w:rPr>
                <w:rFonts w:hint="eastAsia"/>
                <w:color w:val="auto"/>
                <w:sz w:val="26"/>
                <w:szCs w:val="26"/>
                <w:highlight w:val="none"/>
                <w:lang w:eastAsia="zh-CN"/>
              </w:rPr>
              <w:t>打捆</w:t>
            </w:r>
            <w:r>
              <w:rPr>
                <w:rFonts w:hint="eastAsia"/>
                <w:color w:val="auto"/>
                <w:sz w:val="26"/>
                <w:szCs w:val="26"/>
                <w:highlight w:val="none"/>
              </w:rPr>
              <w:t>评价，针对涵盖完整生产工艺流程的整个项目来开展评价工作。</w:t>
            </w:r>
          </w:p>
          <w:p w14:paraId="1E73F32B">
            <w:pPr>
              <w:adjustRightInd w:val="0"/>
              <w:snapToGrid w:val="0"/>
              <w:spacing w:line="480" w:lineRule="exact"/>
              <w:ind w:firstLine="520" w:firstLineChars="200"/>
              <w:rPr>
                <w:color w:val="auto"/>
                <w:sz w:val="26"/>
                <w:szCs w:val="26"/>
                <w:highlight w:val="none"/>
              </w:rPr>
            </w:pPr>
            <w:r>
              <w:rPr>
                <w:rFonts w:hint="eastAsia"/>
                <w:color w:val="auto"/>
                <w:sz w:val="26"/>
                <w:szCs w:val="26"/>
                <w:highlight w:val="none"/>
              </w:rPr>
              <w:t>（</w:t>
            </w:r>
            <w:r>
              <w:rPr>
                <w:rFonts w:hint="eastAsia"/>
                <w:color w:val="auto"/>
                <w:sz w:val="26"/>
                <w:szCs w:val="26"/>
                <w:highlight w:val="none"/>
                <w:lang w:val="en-US" w:eastAsia="zh-CN"/>
              </w:rPr>
              <w:t>2</w:t>
            </w:r>
            <w:r>
              <w:rPr>
                <w:rFonts w:hint="eastAsia"/>
                <w:color w:val="auto"/>
                <w:sz w:val="26"/>
                <w:szCs w:val="26"/>
                <w:highlight w:val="none"/>
              </w:rPr>
              <w:t>）</w:t>
            </w:r>
            <w:r>
              <w:rPr>
                <w:color w:val="auto"/>
                <w:sz w:val="26"/>
                <w:szCs w:val="26"/>
                <w:highlight w:val="none"/>
              </w:rPr>
              <w:t>本报告的评价内容对应</w:t>
            </w:r>
            <w:r>
              <w:rPr>
                <w:rFonts w:hint="eastAsia"/>
                <w:color w:val="auto"/>
                <w:sz w:val="26"/>
                <w:szCs w:val="26"/>
                <w:highlight w:val="none"/>
              </w:rPr>
              <w:t>“</w:t>
            </w:r>
            <w:r>
              <w:rPr>
                <w:color w:val="auto"/>
                <w:sz w:val="26"/>
                <w:szCs w:val="26"/>
                <w:highlight w:val="none"/>
              </w:rPr>
              <w:t>液压生产线自动化改造项目</w:t>
            </w:r>
            <w:bookmarkStart w:id="28" w:name="hmcheck_672ea0a31af649d481f289a8f18a4073"/>
            <w:r>
              <w:rPr>
                <w:rFonts w:hint="eastAsia"/>
                <w:color w:val="auto"/>
                <w:sz w:val="26"/>
                <w:szCs w:val="26"/>
                <w:highlight w:val="none"/>
                <w:shd w:val="clear" w:fill="B2E9BC"/>
                <w:lang w:eastAsia="zh-CN"/>
              </w:rPr>
              <w:t>”“</w:t>
            </w:r>
            <w:bookmarkEnd w:id="28"/>
            <w:r>
              <w:rPr>
                <w:rFonts w:hint="eastAsia"/>
                <w:color w:val="auto"/>
                <w:sz w:val="26"/>
                <w:szCs w:val="26"/>
                <w:highlight w:val="none"/>
                <w:lang w:eastAsia="zh-CN"/>
              </w:rPr>
              <w:t>激光切割自动化生产线改造项目</w:t>
            </w:r>
            <w:bookmarkStart w:id="29" w:name="hmcheck_270ef33230cb4721ad4709ac82095051"/>
            <w:r>
              <w:rPr>
                <w:rFonts w:hint="eastAsia"/>
                <w:color w:val="auto"/>
                <w:sz w:val="26"/>
                <w:szCs w:val="26"/>
                <w:highlight w:val="none"/>
                <w:shd w:val="clear" w:fill="B2E9BC"/>
                <w:lang w:eastAsia="zh-CN"/>
              </w:rPr>
              <w:t>”“</w:t>
            </w:r>
            <w:bookmarkEnd w:id="29"/>
            <w:r>
              <w:rPr>
                <w:rFonts w:hint="eastAsia"/>
                <w:color w:val="auto"/>
                <w:sz w:val="26"/>
                <w:szCs w:val="26"/>
                <w:highlight w:val="none"/>
              </w:rPr>
              <w:t>焊接自动化生产线改造项目”3</w:t>
            </w:r>
            <w:r>
              <w:rPr>
                <w:color w:val="auto"/>
                <w:sz w:val="26"/>
                <w:szCs w:val="26"/>
                <w:highlight w:val="none"/>
              </w:rPr>
              <w:t>份投资备案证（见附件1）的总产能（即</w:t>
            </w:r>
            <w:r>
              <w:rPr>
                <w:rFonts w:hint="eastAsia"/>
                <w:color w:val="auto"/>
                <w:sz w:val="26"/>
                <w:szCs w:val="26"/>
                <w:highlight w:val="none"/>
              </w:rPr>
              <w:t>技改后全厂达到年产3万吨汽车配件的生产能力</w:t>
            </w:r>
            <w:r>
              <w:rPr>
                <w:color w:val="auto"/>
                <w:sz w:val="26"/>
                <w:szCs w:val="26"/>
                <w:highlight w:val="none"/>
              </w:rPr>
              <w:t>）。本项目备案证与本次建设内容的匹配性说明</w:t>
            </w:r>
            <w:r>
              <w:rPr>
                <w:rFonts w:hint="eastAsia"/>
                <w:color w:val="auto"/>
                <w:sz w:val="26"/>
                <w:szCs w:val="26"/>
                <w:highlight w:val="none"/>
                <w:lang w:eastAsia="zh-CN"/>
              </w:rPr>
              <w:t>见下</w:t>
            </w:r>
            <w:r>
              <w:rPr>
                <w:color w:val="auto"/>
                <w:sz w:val="26"/>
                <w:szCs w:val="26"/>
                <w:highlight w:val="none"/>
              </w:rPr>
              <w:t>：</w:t>
            </w:r>
          </w:p>
          <w:p w14:paraId="5DA4BD92">
            <w:pPr>
              <w:adjustRightInd w:val="0"/>
              <w:snapToGrid w:val="0"/>
              <w:spacing w:line="480" w:lineRule="exact"/>
              <w:ind w:firstLine="520" w:firstLineChars="200"/>
              <w:rPr>
                <w:color w:val="auto"/>
                <w:sz w:val="26"/>
                <w:szCs w:val="26"/>
                <w:highlight w:val="none"/>
              </w:rPr>
            </w:pPr>
            <w:r>
              <w:rPr>
                <w:color w:val="auto"/>
                <w:sz w:val="26"/>
                <w:szCs w:val="26"/>
                <w:highlight w:val="none"/>
              </w:rPr>
              <w:t>根据</w:t>
            </w:r>
            <w:r>
              <w:rPr>
                <w:rFonts w:hint="eastAsia"/>
                <w:color w:val="auto"/>
                <w:sz w:val="26"/>
                <w:szCs w:val="26"/>
                <w:highlight w:val="none"/>
              </w:rPr>
              <w:t>“</w:t>
            </w:r>
            <w:r>
              <w:rPr>
                <w:color w:val="auto"/>
                <w:sz w:val="26"/>
                <w:szCs w:val="26"/>
                <w:highlight w:val="none"/>
              </w:rPr>
              <w:t>液压生产线自动化改造项目</w:t>
            </w:r>
            <w:r>
              <w:rPr>
                <w:rFonts w:hint="eastAsia"/>
                <w:color w:val="auto"/>
                <w:sz w:val="26"/>
                <w:szCs w:val="26"/>
                <w:highlight w:val="none"/>
              </w:rPr>
              <w:t>”</w:t>
            </w:r>
            <w:r>
              <w:rPr>
                <w:color w:val="auto"/>
                <w:sz w:val="26"/>
                <w:szCs w:val="26"/>
                <w:highlight w:val="none"/>
              </w:rPr>
              <w:t>投资备案证中建设内容及规模为</w:t>
            </w:r>
            <w:r>
              <w:rPr>
                <w:rFonts w:hint="eastAsia"/>
                <w:color w:val="auto"/>
                <w:sz w:val="26"/>
                <w:szCs w:val="26"/>
                <w:highlight w:val="none"/>
              </w:rPr>
              <w:t>“</w:t>
            </w:r>
            <w:r>
              <w:rPr>
                <w:color w:val="auto"/>
                <w:sz w:val="26"/>
                <w:szCs w:val="26"/>
                <w:highlight w:val="none"/>
              </w:rPr>
              <w:t>该项目利用现有厂房，改造框架式大型液压机4台，增加KUKA多功能机器人6台、液压冲压生产线自动化搬运系统、自动化工装、自动生产线及废料输送线、ERP/MES软件投入等形成1条液压自动化生产线，预计提升生产效率50%。新设备采用先进冲液压技术，实现精准切断与高效生产，预计</w:t>
            </w:r>
            <w:r>
              <w:rPr>
                <w:rFonts w:hint="eastAsia"/>
                <w:color w:val="auto"/>
                <w:sz w:val="26"/>
                <w:szCs w:val="26"/>
                <w:highlight w:val="none"/>
                <w:lang w:eastAsia="zh-CN"/>
              </w:rPr>
              <w:t>冲液压</w:t>
            </w:r>
            <w:r>
              <w:rPr>
                <w:color w:val="auto"/>
                <w:sz w:val="26"/>
                <w:szCs w:val="26"/>
                <w:highlight w:val="none"/>
              </w:rPr>
              <w:t>年加工产能将增加至3万吨，且不良品率降低至0.2%以下。</w:t>
            </w:r>
            <w:r>
              <w:rPr>
                <w:rFonts w:hint="eastAsia"/>
                <w:color w:val="auto"/>
                <w:sz w:val="26"/>
                <w:szCs w:val="26"/>
                <w:highlight w:val="none"/>
              </w:rPr>
              <w:t>”</w:t>
            </w:r>
          </w:p>
          <w:p w14:paraId="26BFD6A3">
            <w:pPr>
              <w:adjustRightInd w:val="0"/>
              <w:snapToGrid w:val="0"/>
              <w:spacing w:line="480" w:lineRule="exact"/>
              <w:ind w:firstLine="520" w:firstLineChars="200"/>
              <w:rPr>
                <w:color w:val="auto"/>
                <w:sz w:val="26"/>
                <w:szCs w:val="26"/>
                <w:highlight w:val="none"/>
              </w:rPr>
            </w:pPr>
            <w:r>
              <w:rPr>
                <w:color w:val="auto"/>
                <w:sz w:val="26"/>
                <w:szCs w:val="26"/>
                <w:highlight w:val="none"/>
              </w:rPr>
              <w:t>根据</w:t>
            </w:r>
            <w:r>
              <w:rPr>
                <w:rFonts w:hint="eastAsia"/>
                <w:color w:val="auto"/>
                <w:sz w:val="26"/>
                <w:szCs w:val="26"/>
                <w:highlight w:val="none"/>
              </w:rPr>
              <w:t>“</w:t>
            </w:r>
            <w:r>
              <w:rPr>
                <w:rFonts w:hint="eastAsia"/>
                <w:color w:val="auto"/>
                <w:sz w:val="26"/>
                <w:szCs w:val="26"/>
                <w:highlight w:val="none"/>
                <w:lang w:eastAsia="zh-CN"/>
              </w:rPr>
              <w:t>激光切割自动化生产线改造项目</w:t>
            </w:r>
            <w:r>
              <w:rPr>
                <w:rFonts w:hint="eastAsia"/>
                <w:color w:val="auto"/>
                <w:sz w:val="26"/>
                <w:szCs w:val="26"/>
                <w:highlight w:val="none"/>
              </w:rPr>
              <w:t>”</w:t>
            </w:r>
            <w:r>
              <w:rPr>
                <w:color w:val="auto"/>
                <w:sz w:val="26"/>
                <w:szCs w:val="26"/>
                <w:highlight w:val="none"/>
              </w:rPr>
              <w:t>投资备案证中建设内容及规模为</w:t>
            </w:r>
            <w:r>
              <w:rPr>
                <w:rFonts w:hint="eastAsia"/>
                <w:color w:val="auto"/>
                <w:sz w:val="26"/>
                <w:szCs w:val="26"/>
                <w:highlight w:val="none"/>
              </w:rPr>
              <w:t>“</w:t>
            </w:r>
            <w:r>
              <w:rPr>
                <w:color w:val="auto"/>
                <w:sz w:val="26"/>
                <w:szCs w:val="26"/>
                <w:highlight w:val="none"/>
              </w:rPr>
              <w:t>该项目利用现有厂房，淘汰原有的老旧人工剪板材料的设备，新增激光切割机、激光切割控制系统、自动化工装、自动生产线等设备2套，形成年增产3万吨的生产能力/产值。</w:t>
            </w:r>
            <w:r>
              <w:rPr>
                <w:rFonts w:hint="eastAsia"/>
                <w:color w:val="auto"/>
                <w:sz w:val="26"/>
                <w:szCs w:val="26"/>
                <w:highlight w:val="none"/>
              </w:rPr>
              <w:t>”</w:t>
            </w:r>
          </w:p>
          <w:p w14:paraId="534ABFAA">
            <w:pPr>
              <w:adjustRightInd w:val="0"/>
              <w:snapToGrid w:val="0"/>
              <w:spacing w:line="480" w:lineRule="exact"/>
              <w:ind w:firstLine="520" w:firstLineChars="200"/>
              <w:rPr>
                <w:color w:val="auto"/>
                <w:sz w:val="26"/>
                <w:szCs w:val="26"/>
                <w:highlight w:val="none"/>
              </w:rPr>
            </w:pPr>
            <w:r>
              <w:rPr>
                <w:color w:val="auto"/>
                <w:sz w:val="26"/>
                <w:szCs w:val="26"/>
                <w:highlight w:val="none"/>
              </w:rPr>
              <w:t>根据</w:t>
            </w:r>
            <w:r>
              <w:rPr>
                <w:rFonts w:hint="eastAsia"/>
                <w:color w:val="auto"/>
                <w:sz w:val="26"/>
                <w:szCs w:val="26"/>
                <w:highlight w:val="none"/>
              </w:rPr>
              <w:t>“</w:t>
            </w:r>
            <w:r>
              <w:rPr>
                <w:color w:val="auto"/>
                <w:sz w:val="26"/>
                <w:szCs w:val="26"/>
                <w:highlight w:val="none"/>
              </w:rPr>
              <w:t>焊接自动化生产线改造项目</w:t>
            </w:r>
            <w:r>
              <w:rPr>
                <w:rFonts w:hint="eastAsia"/>
                <w:color w:val="auto"/>
                <w:sz w:val="26"/>
                <w:szCs w:val="26"/>
                <w:highlight w:val="none"/>
              </w:rPr>
              <w:t>”</w:t>
            </w:r>
            <w:r>
              <w:rPr>
                <w:color w:val="auto"/>
                <w:sz w:val="26"/>
                <w:szCs w:val="26"/>
                <w:highlight w:val="none"/>
              </w:rPr>
              <w:t>投资备案证中建设内容及规模为</w:t>
            </w:r>
            <w:r>
              <w:rPr>
                <w:rFonts w:hint="eastAsia"/>
                <w:color w:val="auto"/>
                <w:sz w:val="26"/>
                <w:szCs w:val="26"/>
                <w:highlight w:val="none"/>
              </w:rPr>
              <w:t>“</w:t>
            </w:r>
            <w:r>
              <w:rPr>
                <w:color w:val="auto"/>
                <w:sz w:val="26"/>
                <w:szCs w:val="26"/>
                <w:highlight w:val="none"/>
              </w:rPr>
              <w:t>该项目利用现有厂房，淘汰原有的人工悬</w:t>
            </w:r>
            <w:bookmarkStart w:id="30" w:name="hmcheck_f8787357e0b54a8aa5dab996e0f8ac2b"/>
            <w:r>
              <w:rPr>
                <w:color w:val="auto"/>
                <w:sz w:val="26"/>
                <w:szCs w:val="26"/>
                <w:highlight w:val="none"/>
                <w:shd w:val="clear" w:fill="FFAFAA"/>
              </w:rPr>
              <w:t>点</w:t>
            </w:r>
            <w:bookmarkEnd w:id="30"/>
            <w:r>
              <w:rPr>
                <w:color w:val="auto"/>
                <w:sz w:val="26"/>
                <w:szCs w:val="26"/>
                <w:highlight w:val="none"/>
              </w:rPr>
              <w:t>焊产线，新增悬点焊接机器人、控制系统、自动化工装、自</w:t>
            </w:r>
            <w:bookmarkStart w:id="31" w:name="hmcheck_41c0156173cd48b686eff8fbc0183f0b"/>
            <w:r>
              <w:rPr>
                <w:color w:val="auto"/>
                <w:sz w:val="26"/>
                <w:szCs w:val="26"/>
                <w:highlight w:val="none"/>
                <w:shd w:val="clear" w:fill="FFAFAA"/>
              </w:rPr>
              <w:t>动</w:t>
            </w:r>
            <w:bookmarkEnd w:id="31"/>
            <w:r>
              <w:rPr>
                <w:color w:val="auto"/>
                <w:sz w:val="26"/>
                <w:szCs w:val="26"/>
                <w:highlight w:val="none"/>
              </w:rPr>
              <w:t>生产线等设备形成4条自动化生产线，形成年增产15000吨的生产能力/产值。</w:t>
            </w:r>
            <w:r>
              <w:rPr>
                <w:rFonts w:hint="eastAsia"/>
                <w:color w:val="auto"/>
                <w:sz w:val="26"/>
                <w:szCs w:val="26"/>
                <w:highlight w:val="none"/>
              </w:rPr>
              <w:t>”</w:t>
            </w:r>
          </w:p>
          <w:p w14:paraId="6CC7D2C0">
            <w:pPr>
              <w:numPr>
                <w:ilvl w:val="-1"/>
                <w:numId w:val="0"/>
              </w:numPr>
              <w:adjustRightInd w:val="0"/>
              <w:snapToGrid w:val="0"/>
              <w:spacing w:line="480" w:lineRule="exact"/>
              <w:ind w:firstLine="520" w:firstLineChars="200"/>
              <w:rPr>
                <w:color w:val="auto"/>
                <w:sz w:val="26"/>
                <w:szCs w:val="26"/>
                <w:highlight w:val="none"/>
              </w:rPr>
            </w:pPr>
            <w:r>
              <w:rPr>
                <w:color w:val="auto"/>
                <w:sz w:val="26"/>
                <w:szCs w:val="26"/>
                <w:highlight w:val="none"/>
              </w:rPr>
              <w:t>结合上述建设内容，本次通过①改造框架式大型液压机</w:t>
            </w:r>
            <w:r>
              <w:rPr>
                <w:rFonts w:hint="eastAsia"/>
                <w:color w:val="auto"/>
                <w:sz w:val="26"/>
                <w:szCs w:val="26"/>
                <w:highlight w:val="none"/>
              </w:rPr>
              <w:t>、液压生产线自动化改造，提升产能至3万吨/年；②淘汰人工剪板、人工悬点焊生产线，新增3万吨/年激光切割、1.5万吨/年悬点焊接自动化生产线；</w:t>
            </w:r>
            <w:r>
              <w:rPr>
                <w:color w:val="auto"/>
                <w:sz w:val="26"/>
                <w:szCs w:val="26"/>
                <w:highlight w:val="none"/>
              </w:rPr>
              <w:t>最终实现全厂年产</w:t>
            </w:r>
            <w:r>
              <w:rPr>
                <w:rFonts w:hint="eastAsia"/>
                <w:color w:val="auto"/>
                <w:sz w:val="26"/>
                <w:szCs w:val="26"/>
                <w:highlight w:val="none"/>
              </w:rPr>
              <w:t>3</w:t>
            </w:r>
            <w:r>
              <w:rPr>
                <w:color w:val="auto"/>
                <w:sz w:val="26"/>
                <w:szCs w:val="26"/>
                <w:highlight w:val="none"/>
              </w:rPr>
              <w:t>万</w:t>
            </w:r>
            <w:r>
              <w:rPr>
                <w:rFonts w:hint="eastAsia"/>
                <w:color w:val="auto"/>
                <w:sz w:val="26"/>
                <w:szCs w:val="26"/>
                <w:highlight w:val="none"/>
              </w:rPr>
              <w:t>吨汽车配件（其中需焊接件占比50%）的产能（项目产能控制环节在于冲液压）</w:t>
            </w:r>
            <w:r>
              <w:rPr>
                <w:color w:val="auto"/>
                <w:sz w:val="26"/>
                <w:szCs w:val="26"/>
                <w:highlight w:val="none"/>
              </w:rPr>
              <w:t>。</w:t>
            </w:r>
          </w:p>
          <w:p w14:paraId="268D3197">
            <w:pPr>
              <w:numPr>
                <w:ilvl w:val="-1"/>
                <w:numId w:val="0"/>
              </w:numPr>
              <w:adjustRightInd w:val="0"/>
              <w:snapToGrid w:val="0"/>
              <w:spacing w:line="480" w:lineRule="exact"/>
              <w:ind w:firstLine="520" w:firstLineChars="200"/>
              <w:rPr>
                <w:color w:val="auto"/>
                <w:sz w:val="26"/>
                <w:szCs w:val="26"/>
                <w:highlight w:val="none"/>
              </w:rPr>
            </w:pPr>
            <w:r>
              <w:rPr>
                <w:rFonts w:hint="eastAsia"/>
                <w:color w:val="auto"/>
                <w:sz w:val="26"/>
                <w:szCs w:val="26"/>
                <w:highlight w:val="none"/>
                <w:lang w:eastAsia="zh-CN"/>
              </w:rPr>
              <w:t>（</w:t>
            </w:r>
            <w:r>
              <w:rPr>
                <w:rFonts w:hint="eastAsia"/>
                <w:color w:val="auto"/>
                <w:sz w:val="26"/>
                <w:szCs w:val="26"/>
                <w:highlight w:val="none"/>
                <w:lang w:val="en-US" w:eastAsia="zh-CN"/>
              </w:rPr>
              <w:t>3</w:t>
            </w:r>
            <w:r>
              <w:rPr>
                <w:rFonts w:hint="eastAsia"/>
                <w:color w:val="auto"/>
                <w:sz w:val="26"/>
                <w:szCs w:val="26"/>
                <w:highlight w:val="none"/>
                <w:lang w:eastAsia="zh-CN"/>
              </w:rPr>
              <w:t>）</w:t>
            </w:r>
            <w:r>
              <w:rPr>
                <w:color w:val="auto"/>
                <w:sz w:val="26"/>
                <w:szCs w:val="26"/>
                <w:highlight w:val="none"/>
              </w:rPr>
              <w:t>本项目租赁重庆友拓汽车零部件有限公司合川厂区工程建设项目</w:t>
            </w:r>
            <w:r>
              <w:rPr>
                <w:rFonts w:hint="eastAsia"/>
                <w:color w:val="auto"/>
                <w:sz w:val="26"/>
                <w:szCs w:val="26"/>
                <w:highlight w:val="none"/>
                <w:lang w:eastAsia="zh-CN"/>
              </w:rPr>
              <w:t>厂房及设备</w:t>
            </w:r>
            <w:r>
              <w:rPr>
                <w:color w:val="auto"/>
                <w:sz w:val="26"/>
                <w:szCs w:val="26"/>
                <w:highlight w:val="none"/>
              </w:rPr>
              <w:t>，并对其现有的生产线进行技术改造，改造内容包括液压生产线自动化改造、激光切割生产线自动化改造以及焊接生产线自动化改造；完成技术改造后，将全面替代原重庆友拓汽车零部件有限公司合川厂区工程建设项目，</w:t>
            </w:r>
            <w:r>
              <w:rPr>
                <w:rFonts w:hint="eastAsia"/>
                <w:color w:val="auto"/>
                <w:sz w:val="26"/>
                <w:szCs w:val="26"/>
                <w:highlight w:val="none"/>
                <w:lang w:eastAsia="zh-CN"/>
              </w:rPr>
              <w:t>租赁期间</w:t>
            </w:r>
            <w:r>
              <w:rPr>
                <w:color w:val="auto"/>
                <w:sz w:val="26"/>
                <w:szCs w:val="26"/>
                <w:highlight w:val="none"/>
              </w:rPr>
              <w:t>所有责任主体变更为重庆国周新能源汽车科技有限公司</w:t>
            </w:r>
            <w:r>
              <w:rPr>
                <w:rFonts w:hint="eastAsia"/>
                <w:color w:val="auto"/>
                <w:sz w:val="26"/>
                <w:szCs w:val="26"/>
                <w:highlight w:val="none"/>
                <w:lang w:eastAsia="zh-CN"/>
              </w:rPr>
              <w:t>，并承接现有工程相关环境保护手续</w:t>
            </w:r>
            <w:r>
              <w:rPr>
                <w:color w:val="auto"/>
                <w:sz w:val="26"/>
                <w:szCs w:val="26"/>
                <w:highlight w:val="none"/>
              </w:rPr>
              <w:t>。本次技改工程</w:t>
            </w:r>
            <w:r>
              <w:rPr>
                <w:rFonts w:hint="eastAsia"/>
                <w:color w:val="auto"/>
                <w:sz w:val="26"/>
                <w:szCs w:val="26"/>
                <w:highlight w:val="none"/>
              </w:rPr>
              <w:t>仅对部分设备进行改造，改造工程</w:t>
            </w:r>
            <w:r>
              <w:rPr>
                <w:color w:val="auto"/>
                <w:sz w:val="26"/>
                <w:szCs w:val="26"/>
                <w:highlight w:val="none"/>
              </w:rPr>
              <w:t>与利旧工程在平面布局上彼此联系紧密、难以实现明确的区域划分，且需依托</w:t>
            </w:r>
            <w:r>
              <w:rPr>
                <w:rFonts w:hint="eastAsia"/>
                <w:color w:val="auto"/>
                <w:sz w:val="26"/>
                <w:szCs w:val="26"/>
                <w:highlight w:val="none"/>
                <w:lang w:eastAsia="zh-CN"/>
              </w:rPr>
              <w:t>现有</w:t>
            </w:r>
            <w:r>
              <w:rPr>
                <w:rFonts w:hint="eastAsia"/>
                <w:color w:val="auto"/>
                <w:sz w:val="26"/>
                <w:szCs w:val="26"/>
                <w:highlight w:val="none"/>
              </w:rPr>
              <w:t>工程</w:t>
            </w:r>
            <w:r>
              <w:rPr>
                <w:rFonts w:hint="eastAsia"/>
                <w:color w:val="auto"/>
                <w:sz w:val="26"/>
                <w:szCs w:val="26"/>
                <w:highlight w:val="none"/>
                <w:lang w:eastAsia="zh-CN"/>
              </w:rPr>
              <w:t>部分生产设施</w:t>
            </w:r>
            <w:r>
              <w:rPr>
                <w:color w:val="auto"/>
                <w:sz w:val="26"/>
                <w:szCs w:val="26"/>
                <w:highlight w:val="none"/>
              </w:rPr>
              <w:t>方可</w:t>
            </w:r>
            <w:r>
              <w:rPr>
                <w:rFonts w:hint="eastAsia"/>
                <w:color w:val="auto"/>
                <w:sz w:val="26"/>
                <w:szCs w:val="26"/>
                <w:highlight w:val="none"/>
              </w:rPr>
              <w:t>达到3万吨/年的</w:t>
            </w:r>
            <w:r>
              <w:rPr>
                <w:color w:val="auto"/>
                <w:sz w:val="26"/>
                <w:szCs w:val="26"/>
                <w:highlight w:val="none"/>
              </w:rPr>
              <w:t>设计产能规模</w:t>
            </w:r>
            <w:r>
              <w:rPr>
                <w:rFonts w:hint="eastAsia"/>
                <w:color w:val="auto"/>
                <w:sz w:val="26"/>
                <w:szCs w:val="26"/>
                <w:highlight w:val="none"/>
              </w:rPr>
              <w:t>。</w:t>
            </w:r>
            <w:r>
              <w:rPr>
                <w:color w:val="auto"/>
                <w:sz w:val="26"/>
                <w:szCs w:val="26"/>
                <w:highlight w:val="none"/>
              </w:rPr>
              <w:t>故本次评价将</w:t>
            </w:r>
            <w:r>
              <w:rPr>
                <w:rFonts w:hint="eastAsia"/>
                <w:color w:val="auto"/>
                <w:sz w:val="26"/>
                <w:szCs w:val="26"/>
                <w:highlight w:val="none"/>
                <w:lang w:eastAsia="zh-CN"/>
              </w:rPr>
              <w:t>本次利旧的现有</w:t>
            </w:r>
            <w:r>
              <w:rPr>
                <w:color w:val="auto"/>
                <w:sz w:val="26"/>
                <w:szCs w:val="26"/>
                <w:highlight w:val="none"/>
              </w:rPr>
              <w:t>工程一并纳入评价范围，针对技改后</w:t>
            </w:r>
            <w:r>
              <w:rPr>
                <w:rFonts w:hint="eastAsia"/>
                <w:color w:val="auto"/>
                <w:sz w:val="26"/>
                <w:szCs w:val="26"/>
                <w:highlight w:val="none"/>
                <w:lang w:eastAsia="zh-CN"/>
              </w:rPr>
              <w:t>整体生产线</w:t>
            </w:r>
            <w:r>
              <w:rPr>
                <w:color w:val="auto"/>
                <w:sz w:val="26"/>
                <w:szCs w:val="26"/>
                <w:highlight w:val="none"/>
              </w:rPr>
              <w:t>进行评价，按照项目整体规模进行产排污分析、并</w:t>
            </w:r>
            <w:r>
              <w:rPr>
                <w:rFonts w:hint="eastAsia"/>
                <w:color w:val="auto"/>
                <w:sz w:val="26"/>
                <w:szCs w:val="26"/>
                <w:highlight w:val="none"/>
              </w:rPr>
              <w:t>按照现行管理要求重新</w:t>
            </w:r>
            <w:r>
              <w:rPr>
                <w:color w:val="auto"/>
                <w:sz w:val="26"/>
                <w:szCs w:val="26"/>
                <w:highlight w:val="none"/>
              </w:rPr>
              <w:t>提出相应的环保措施要求</w:t>
            </w:r>
            <w:r>
              <w:rPr>
                <w:rFonts w:hint="eastAsia"/>
                <w:color w:val="auto"/>
                <w:sz w:val="26"/>
                <w:szCs w:val="26"/>
                <w:highlight w:val="none"/>
                <w:lang w:eastAsia="zh-CN"/>
              </w:rPr>
              <w:t>。故</w:t>
            </w:r>
            <w:r>
              <w:rPr>
                <w:rFonts w:hint="eastAsia"/>
                <w:color w:val="auto"/>
                <w:sz w:val="26"/>
                <w:szCs w:val="26"/>
                <w:highlight w:val="none"/>
              </w:rPr>
              <w:t>对原有项目进行简单回顾</w:t>
            </w:r>
            <w:r>
              <w:rPr>
                <w:rFonts w:hint="eastAsia"/>
                <w:color w:val="auto"/>
                <w:sz w:val="26"/>
                <w:szCs w:val="26"/>
                <w:highlight w:val="none"/>
                <w:lang w:eastAsia="zh-CN"/>
              </w:rPr>
              <w:t>，重点回顾现有项目环保手续履行情况、工程建设内容、污染物实际排放总量，并识别与本项目有关（重点关注利旧工程）主要环境问题并提出整改措施。</w:t>
            </w:r>
          </w:p>
          <w:p w14:paraId="3A394641">
            <w:pPr>
              <w:autoSpaceDE w:val="0"/>
              <w:autoSpaceDN w:val="0"/>
              <w:adjustRightInd w:val="0"/>
              <w:snapToGrid w:val="0"/>
              <w:spacing w:line="480" w:lineRule="exact"/>
              <w:ind w:firstLine="522" w:firstLineChars="200"/>
              <w:textAlignment w:val="baseline"/>
              <w:rPr>
                <w:b/>
                <w:color w:val="auto"/>
                <w:kern w:val="0"/>
                <w:sz w:val="26"/>
                <w:szCs w:val="26"/>
                <w:highlight w:val="none"/>
              </w:rPr>
            </w:pPr>
            <w:r>
              <w:rPr>
                <w:rFonts w:hint="eastAsia"/>
                <w:b/>
                <w:color w:val="auto"/>
                <w:kern w:val="0"/>
                <w:sz w:val="26"/>
                <w:szCs w:val="26"/>
                <w:highlight w:val="none"/>
              </w:rPr>
              <w:t>2.2 项目</w:t>
            </w:r>
            <w:r>
              <w:rPr>
                <w:b/>
                <w:color w:val="auto"/>
                <w:kern w:val="0"/>
                <w:sz w:val="26"/>
                <w:szCs w:val="26"/>
                <w:highlight w:val="none"/>
              </w:rPr>
              <w:t>概况</w:t>
            </w:r>
          </w:p>
          <w:p w14:paraId="7FC01BC8">
            <w:pPr>
              <w:adjustRightInd w:val="0"/>
              <w:snapToGrid w:val="0"/>
              <w:spacing w:line="480" w:lineRule="exact"/>
              <w:ind w:firstLine="520" w:firstLineChars="200"/>
              <w:rPr>
                <w:bCs/>
                <w:color w:val="auto"/>
                <w:sz w:val="26"/>
                <w:szCs w:val="26"/>
                <w:highlight w:val="none"/>
              </w:rPr>
            </w:pPr>
            <w:r>
              <w:rPr>
                <w:rFonts w:hint="eastAsia"/>
                <w:bCs/>
                <w:color w:val="auto"/>
                <w:sz w:val="26"/>
                <w:szCs w:val="26"/>
                <w:highlight w:val="none"/>
              </w:rPr>
              <w:t>建设单位：</w:t>
            </w:r>
            <w:r>
              <w:rPr>
                <w:rFonts w:hint="eastAsia"/>
                <w:color w:val="auto"/>
                <w:sz w:val="26"/>
                <w:szCs w:val="26"/>
                <w:highlight w:val="none"/>
              </w:rPr>
              <w:t>重庆国周新能源汽车科技有限公司</w:t>
            </w:r>
          </w:p>
          <w:p w14:paraId="78DA5224">
            <w:pPr>
              <w:adjustRightInd w:val="0"/>
              <w:snapToGrid w:val="0"/>
              <w:spacing w:line="480" w:lineRule="exact"/>
              <w:ind w:firstLine="520" w:firstLineChars="200"/>
              <w:rPr>
                <w:bCs/>
                <w:color w:val="auto"/>
                <w:sz w:val="26"/>
                <w:szCs w:val="26"/>
                <w:highlight w:val="none"/>
              </w:rPr>
            </w:pPr>
            <w:r>
              <w:rPr>
                <w:rFonts w:hint="eastAsia"/>
                <w:bCs/>
                <w:color w:val="auto"/>
                <w:sz w:val="26"/>
                <w:szCs w:val="26"/>
                <w:highlight w:val="none"/>
              </w:rPr>
              <w:t>项目名称：液压生产线自动化改造项目、</w:t>
            </w:r>
            <w:r>
              <w:rPr>
                <w:rFonts w:hint="eastAsia"/>
                <w:bCs/>
                <w:color w:val="auto"/>
                <w:sz w:val="26"/>
                <w:szCs w:val="26"/>
                <w:highlight w:val="none"/>
                <w:lang w:eastAsia="zh-CN"/>
              </w:rPr>
              <w:t>激光切割自动化生产线改造项目</w:t>
            </w:r>
            <w:r>
              <w:rPr>
                <w:rFonts w:hint="eastAsia"/>
                <w:bCs/>
                <w:color w:val="auto"/>
                <w:sz w:val="26"/>
                <w:szCs w:val="26"/>
                <w:highlight w:val="none"/>
              </w:rPr>
              <w:t>、焊接自动化生产线改造项目</w:t>
            </w:r>
          </w:p>
          <w:p w14:paraId="508B2D36">
            <w:pPr>
              <w:adjustRightInd w:val="0"/>
              <w:snapToGrid w:val="0"/>
              <w:spacing w:line="480" w:lineRule="exact"/>
              <w:ind w:firstLine="520" w:firstLineChars="200"/>
              <w:rPr>
                <w:bCs/>
                <w:color w:val="auto"/>
                <w:sz w:val="26"/>
                <w:szCs w:val="26"/>
                <w:highlight w:val="none"/>
              </w:rPr>
            </w:pPr>
            <w:r>
              <w:rPr>
                <w:rFonts w:hint="eastAsia"/>
                <w:bCs/>
                <w:color w:val="auto"/>
                <w:sz w:val="26"/>
                <w:szCs w:val="26"/>
                <w:highlight w:val="none"/>
              </w:rPr>
              <w:t>建设性质：技术改造</w:t>
            </w:r>
          </w:p>
          <w:p w14:paraId="2A3F0A31">
            <w:pPr>
              <w:adjustRightInd w:val="0"/>
              <w:snapToGrid w:val="0"/>
              <w:spacing w:line="480" w:lineRule="exact"/>
              <w:ind w:firstLine="520" w:firstLineChars="200"/>
              <w:rPr>
                <w:rFonts w:hint="eastAsia" w:eastAsia="宋体"/>
                <w:color w:val="auto"/>
                <w:sz w:val="26"/>
                <w:szCs w:val="26"/>
                <w:highlight w:val="none"/>
                <w:lang w:eastAsia="zh-CN"/>
              </w:rPr>
            </w:pPr>
            <w:r>
              <w:rPr>
                <w:rFonts w:hint="eastAsia"/>
                <w:bCs/>
                <w:color w:val="auto"/>
                <w:sz w:val="26"/>
                <w:szCs w:val="26"/>
                <w:highlight w:val="none"/>
              </w:rPr>
              <w:t>建设地点：</w:t>
            </w:r>
            <w:r>
              <w:rPr>
                <w:rFonts w:hint="eastAsia"/>
                <w:color w:val="auto"/>
                <w:sz w:val="26"/>
                <w:szCs w:val="26"/>
                <w:highlight w:val="none"/>
              </w:rPr>
              <w:t>重庆市合川区土场镇</w:t>
            </w:r>
            <w:r>
              <w:rPr>
                <w:rFonts w:hint="eastAsia"/>
                <w:color w:val="auto"/>
                <w:sz w:val="26"/>
                <w:szCs w:val="26"/>
                <w:highlight w:val="none"/>
                <w:lang w:eastAsia="zh-CN"/>
              </w:rPr>
              <w:t>前石路4号</w:t>
            </w:r>
          </w:p>
          <w:p w14:paraId="5A452F35">
            <w:pPr>
              <w:adjustRightInd w:val="0"/>
              <w:snapToGrid w:val="0"/>
              <w:spacing w:line="480" w:lineRule="exact"/>
              <w:ind w:firstLine="520" w:firstLineChars="200"/>
              <w:rPr>
                <w:color w:val="auto"/>
                <w:sz w:val="26"/>
                <w:szCs w:val="26"/>
                <w:highlight w:val="none"/>
              </w:rPr>
            </w:pPr>
            <w:r>
              <w:rPr>
                <w:rFonts w:hint="eastAsia"/>
                <w:color w:val="auto"/>
                <w:sz w:val="26"/>
                <w:szCs w:val="26"/>
                <w:highlight w:val="none"/>
              </w:rPr>
              <w:t>建设内容及规模：拟租赁重庆友拓汽车零部件有限公司合川厂区工程建设项目</w:t>
            </w:r>
            <w:r>
              <w:rPr>
                <w:rFonts w:hint="eastAsia"/>
                <w:color w:val="auto"/>
                <w:sz w:val="26"/>
                <w:szCs w:val="26"/>
                <w:highlight w:val="none"/>
                <w:lang w:eastAsia="zh-CN"/>
              </w:rPr>
              <w:t>厂房及设备</w:t>
            </w:r>
            <w:r>
              <w:rPr>
                <w:rFonts w:hint="eastAsia"/>
                <w:color w:val="auto"/>
                <w:sz w:val="26"/>
                <w:szCs w:val="26"/>
                <w:highlight w:val="none"/>
              </w:rPr>
              <w:t>，并对其现有的生产线进行技术改造，改造内容包括液压生产线自动化改造、激光切割自动化生产线改造、焊接生产线自动化改造。技改后全厂达到年产3万吨汽车配件的生产能力。</w:t>
            </w:r>
          </w:p>
          <w:p w14:paraId="42E54F6B">
            <w:pPr>
              <w:adjustRightInd w:val="0"/>
              <w:snapToGrid w:val="0"/>
              <w:spacing w:line="480" w:lineRule="exact"/>
              <w:ind w:firstLine="520" w:firstLineChars="200"/>
              <w:rPr>
                <w:bCs/>
                <w:color w:val="auto"/>
                <w:sz w:val="26"/>
                <w:szCs w:val="26"/>
                <w:highlight w:val="none"/>
              </w:rPr>
            </w:pPr>
            <w:r>
              <w:rPr>
                <w:rFonts w:hint="eastAsia"/>
                <w:bCs/>
                <w:color w:val="auto"/>
                <w:sz w:val="26"/>
                <w:szCs w:val="26"/>
                <w:highlight w:val="none"/>
              </w:rPr>
              <w:t>用地</w:t>
            </w:r>
            <w:r>
              <w:rPr>
                <w:bCs/>
                <w:color w:val="auto"/>
                <w:sz w:val="26"/>
                <w:szCs w:val="26"/>
                <w:highlight w:val="none"/>
              </w:rPr>
              <w:t>面积</w:t>
            </w:r>
            <w:r>
              <w:rPr>
                <w:rFonts w:hint="eastAsia"/>
                <w:bCs/>
                <w:color w:val="auto"/>
                <w:sz w:val="26"/>
                <w:szCs w:val="26"/>
                <w:highlight w:val="none"/>
              </w:rPr>
              <w:t>：29912.17</w:t>
            </w:r>
            <w:r>
              <w:rPr>
                <w:bCs/>
                <w:color w:val="auto"/>
                <w:sz w:val="26"/>
                <w:szCs w:val="26"/>
                <w:highlight w:val="none"/>
              </w:rPr>
              <w:t>m</w:t>
            </w:r>
            <w:r>
              <w:rPr>
                <w:bCs/>
                <w:color w:val="auto"/>
                <w:sz w:val="26"/>
                <w:szCs w:val="26"/>
                <w:highlight w:val="none"/>
                <w:vertAlign w:val="superscript"/>
              </w:rPr>
              <w:t>2</w:t>
            </w:r>
            <w:r>
              <w:rPr>
                <w:rFonts w:hint="eastAsia"/>
                <w:bCs/>
                <w:color w:val="auto"/>
                <w:sz w:val="26"/>
                <w:szCs w:val="26"/>
                <w:highlight w:val="none"/>
              </w:rPr>
              <w:t>（其中新增用地面积为0）</w:t>
            </w:r>
          </w:p>
          <w:p w14:paraId="670EF868">
            <w:pPr>
              <w:adjustRightInd w:val="0"/>
              <w:snapToGrid w:val="0"/>
              <w:spacing w:line="480" w:lineRule="exact"/>
              <w:ind w:firstLine="520" w:firstLineChars="200"/>
              <w:rPr>
                <w:bCs/>
                <w:color w:val="auto"/>
                <w:sz w:val="26"/>
                <w:szCs w:val="26"/>
                <w:highlight w:val="none"/>
              </w:rPr>
            </w:pPr>
            <w:r>
              <w:rPr>
                <w:rFonts w:hint="eastAsia"/>
                <w:bCs/>
                <w:color w:val="auto"/>
                <w:sz w:val="26"/>
                <w:szCs w:val="26"/>
                <w:highlight w:val="none"/>
              </w:rPr>
              <w:t>总投资：</w:t>
            </w:r>
            <w:r>
              <w:rPr>
                <w:rFonts w:hint="eastAsia"/>
                <w:color w:val="auto"/>
                <w:sz w:val="26"/>
                <w:szCs w:val="26"/>
                <w:highlight w:val="none"/>
              </w:rPr>
              <w:t>3500</w:t>
            </w:r>
            <w:r>
              <w:rPr>
                <w:rFonts w:hint="eastAsia"/>
                <w:bCs/>
                <w:color w:val="auto"/>
                <w:sz w:val="26"/>
                <w:szCs w:val="26"/>
                <w:highlight w:val="none"/>
              </w:rPr>
              <w:t xml:space="preserve">万元，其中环保投资50万元，占比约1.4%。 </w:t>
            </w:r>
          </w:p>
          <w:p w14:paraId="6771FF99">
            <w:pPr>
              <w:adjustRightInd w:val="0"/>
              <w:snapToGrid w:val="0"/>
              <w:spacing w:line="480" w:lineRule="exact"/>
              <w:ind w:firstLine="520" w:firstLineChars="200"/>
              <w:rPr>
                <w:bCs/>
                <w:color w:val="auto"/>
                <w:sz w:val="26"/>
                <w:szCs w:val="26"/>
                <w:highlight w:val="none"/>
              </w:rPr>
            </w:pPr>
            <w:r>
              <w:rPr>
                <w:rFonts w:hint="eastAsia"/>
                <w:bCs/>
                <w:color w:val="auto"/>
                <w:sz w:val="26"/>
                <w:szCs w:val="26"/>
                <w:highlight w:val="none"/>
              </w:rPr>
              <w:t>劳动定员</w:t>
            </w:r>
            <w:r>
              <w:rPr>
                <w:bCs/>
                <w:color w:val="auto"/>
                <w:sz w:val="26"/>
                <w:szCs w:val="26"/>
                <w:highlight w:val="none"/>
              </w:rPr>
              <w:t>及工作制度</w:t>
            </w:r>
            <w:r>
              <w:rPr>
                <w:rFonts w:hint="eastAsia"/>
                <w:bCs/>
                <w:color w:val="auto"/>
                <w:sz w:val="26"/>
                <w:szCs w:val="26"/>
                <w:highlight w:val="none"/>
              </w:rPr>
              <w:t>：项目员工人数120人，实行两班制，8h/班，年工作300d。</w:t>
            </w:r>
          </w:p>
          <w:p w14:paraId="529FABF6">
            <w:pPr>
              <w:autoSpaceDE w:val="0"/>
              <w:autoSpaceDN w:val="0"/>
              <w:adjustRightInd w:val="0"/>
              <w:spacing w:line="480" w:lineRule="exact"/>
              <w:ind w:firstLine="522" w:firstLineChars="200"/>
              <w:textAlignment w:val="baseline"/>
              <w:rPr>
                <w:b/>
                <w:color w:val="auto"/>
                <w:kern w:val="0"/>
                <w:sz w:val="26"/>
                <w:szCs w:val="26"/>
                <w:highlight w:val="none"/>
              </w:rPr>
            </w:pPr>
            <w:r>
              <w:rPr>
                <w:rFonts w:hint="eastAsia"/>
                <w:b/>
                <w:color w:val="auto"/>
                <w:kern w:val="0"/>
                <w:sz w:val="26"/>
                <w:szCs w:val="26"/>
                <w:highlight w:val="none"/>
              </w:rPr>
              <w:t xml:space="preserve">2.3 项目组成 </w:t>
            </w:r>
          </w:p>
          <w:p w14:paraId="20300AA5">
            <w:pPr>
              <w:adjustRightInd w:val="0"/>
              <w:snapToGrid w:val="0"/>
              <w:spacing w:line="460" w:lineRule="exact"/>
              <w:ind w:firstLine="520" w:firstLineChars="200"/>
              <w:rPr>
                <w:bCs/>
                <w:color w:val="auto"/>
                <w:sz w:val="26"/>
                <w:szCs w:val="26"/>
                <w:highlight w:val="none"/>
              </w:rPr>
            </w:pPr>
            <w:r>
              <w:rPr>
                <w:rFonts w:hint="eastAsia"/>
                <w:bCs/>
                <w:color w:val="auto"/>
                <w:sz w:val="26"/>
                <w:szCs w:val="26"/>
                <w:highlight w:val="none"/>
              </w:rPr>
              <w:t>拟建项目主要建设内容包括主体工程、辅助工程、公用工程、储运工程和环保工程。项目组成详见表2</w:t>
            </w:r>
            <w:r>
              <w:rPr>
                <w:bCs/>
                <w:color w:val="auto"/>
                <w:sz w:val="26"/>
                <w:szCs w:val="26"/>
                <w:highlight w:val="none"/>
              </w:rPr>
              <w:t>.</w:t>
            </w:r>
            <w:r>
              <w:rPr>
                <w:rFonts w:hint="eastAsia"/>
                <w:bCs/>
                <w:color w:val="auto"/>
                <w:sz w:val="26"/>
                <w:szCs w:val="26"/>
                <w:highlight w:val="none"/>
              </w:rPr>
              <w:t>2</w:t>
            </w:r>
            <w:r>
              <w:rPr>
                <w:bCs/>
                <w:color w:val="auto"/>
                <w:sz w:val="26"/>
                <w:szCs w:val="26"/>
                <w:highlight w:val="none"/>
              </w:rPr>
              <w:t>-</w:t>
            </w:r>
            <w:r>
              <w:rPr>
                <w:rFonts w:hint="eastAsia"/>
                <w:bCs/>
                <w:color w:val="auto"/>
                <w:sz w:val="26"/>
                <w:szCs w:val="26"/>
                <w:highlight w:val="none"/>
              </w:rPr>
              <w:t>1。</w:t>
            </w:r>
          </w:p>
          <w:p w14:paraId="6E009EE3">
            <w:pPr>
              <w:autoSpaceDE w:val="0"/>
              <w:autoSpaceDN w:val="0"/>
              <w:adjustRightInd w:val="0"/>
              <w:ind w:firstLine="522" w:firstLineChars="200"/>
              <w:textAlignment w:val="baseline"/>
              <w:rPr>
                <w:b/>
                <w:color w:val="auto"/>
                <w:kern w:val="0"/>
                <w:sz w:val="26"/>
                <w:szCs w:val="26"/>
                <w:highlight w:val="none"/>
              </w:rPr>
            </w:pPr>
          </w:p>
          <w:p w14:paraId="7569934E">
            <w:pPr>
              <w:autoSpaceDE w:val="0"/>
              <w:autoSpaceDN w:val="0"/>
              <w:adjustRightInd w:val="0"/>
              <w:jc w:val="center"/>
              <w:textAlignment w:val="baseline"/>
              <w:rPr>
                <w:bCs/>
                <w:color w:val="auto"/>
                <w:kern w:val="0"/>
                <w:sz w:val="26"/>
                <w:szCs w:val="26"/>
                <w:highlight w:val="none"/>
              </w:rPr>
            </w:pPr>
            <w:r>
              <w:rPr>
                <w:rFonts w:hint="eastAsia"/>
                <w:bCs/>
                <w:color w:val="auto"/>
                <w:kern w:val="0"/>
                <w:sz w:val="26"/>
                <w:szCs w:val="26"/>
                <w:highlight w:val="none"/>
              </w:rPr>
              <w:t>表2.3</w:t>
            </w:r>
            <w:r>
              <w:rPr>
                <w:bCs/>
                <w:color w:val="auto"/>
                <w:kern w:val="0"/>
                <w:sz w:val="26"/>
                <w:szCs w:val="26"/>
                <w:highlight w:val="none"/>
              </w:rPr>
              <w:t>-1</w:t>
            </w:r>
            <w:r>
              <w:rPr>
                <w:rFonts w:hint="eastAsia"/>
                <w:bCs/>
                <w:color w:val="auto"/>
                <w:kern w:val="0"/>
                <w:sz w:val="26"/>
                <w:szCs w:val="26"/>
                <w:highlight w:val="none"/>
              </w:rPr>
              <w:t xml:space="preserve"> </w:t>
            </w:r>
            <w:r>
              <w:rPr>
                <w:bCs/>
                <w:color w:val="auto"/>
                <w:kern w:val="0"/>
                <w:sz w:val="26"/>
                <w:szCs w:val="26"/>
                <w:highlight w:val="none"/>
              </w:rPr>
              <w:t xml:space="preserve"> </w:t>
            </w:r>
            <w:r>
              <w:rPr>
                <w:rFonts w:hint="eastAsia"/>
                <w:bCs/>
                <w:color w:val="auto"/>
                <w:kern w:val="0"/>
                <w:sz w:val="26"/>
                <w:szCs w:val="26"/>
                <w:highlight w:val="none"/>
              </w:rPr>
              <w:t>项目</w:t>
            </w:r>
            <w:r>
              <w:rPr>
                <w:bCs/>
                <w:color w:val="auto"/>
                <w:kern w:val="0"/>
                <w:sz w:val="26"/>
                <w:szCs w:val="26"/>
                <w:highlight w:val="none"/>
              </w:rPr>
              <w:t>组成</w:t>
            </w:r>
            <w:r>
              <w:rPr>
                <w:rFonts w:hint="eastAsia"/>
                <w:bCs/>
                <w:color w:val="auto"/>
                <w:kern w:val="0"/>
                <w:sz w:val="26"/>
                <w:szCs w:val="26"/>
                <w:highlight w:val="none"/>
              </w:rPr>
              <w:t>一览</w:t>
            </w:r>
            <w:r>
              <w:rPr>
                <w:bCs/>
                <w:color w:val="auto"/>
                <w:kern w:val="0"/>
                <w:sz w:val="26"/>
                <w:szCs w:val="26"/>
                <w:highlight w:val="none"/>
              </w:rPr>
              <w:t>表</w:t>
            </w:r>
          </w:p>
          <w:tbl>
            <w:tblPr>
              <w:tblStyle w:val="16"/>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375"/>
              <w:gridCol w:w="815"/>
              <w:gridCol w:w="5850"/>
              <w:gridCol w:w="776"/>
            </w:tblGrid>
            <w:tr w14:paraId="7843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Align w:val="center"/>
                </w:tcPr>
                <w:p w14:paraId="41F8ED4E">
                  <w:pPr>
                    <w:jc w:val="center"/>
                    <w:rPr>
                      <w:rFonts w:eastAsiaTheme="minorEastAsia"/>
                      <w:color w:val="auto"/>
                      <w:sz w:val="22"/>
                      <w:szCs w:val="22"/>
                      <w:highlight w:val="none"/>
                    </w:rPr>
                  </w:pPr>
                  <w:r>
                    <w:rPr>
                      <w:rFonts w:eastAsiaTheme="minorEastAsia"/>
                      <w:color w:val="auto"/>
                      <w:sz w:val="22"/>
                      <w:szCs w:val="22"/>
                      <w:highlight w:val="none"/>
                    </w:rPr>
                    <w:t>类别</w:t>
                  </w:r>
                </w:p>
              </w:tc>
              <w:tc>
                <w:tcPr>
                  <w:tcW w:w="1190" w:type="dxa"/>
                  <w:gridSpan w:val="2"/>
                  <w:vAlign w:val="center"/>
                </w:tcPr>
                <w:p w14:paraId="5A98EE07">
                  <w:pPr>
                    <w:jc w:val="center"/>
                    <w:rPr>
                      <w:rFonts w:eastAsiaTheme="minorEastAsia"/>
                      <w:color w:val="auto"/>
                      <w:sz w:val="22"/>
                      <w:szCs w:val="22"/>
                      <w:highlight w:val="none"/>
                    </w:rPr>
                  </w:pPr>
                  <w:r>
                    <w:rPr>
                      <w:rFonts w:eastAsiaTheme="minorEastAsia"/>
                      <w:color w:val="auto"/>
                      <w:sz w:val="22"/>
                      <w:szCs w:val="22"/>
                      <w:highlight w:val="none"/>
                    </w:rPr>
                    <w:t>工程组成</w:t>
                  </w:r>
                </w:p>
              </w:tc>
              <w:tc>
                <w:tcPr>
                  <w:tcW w:w="5850" w:type="dxa"/>
                  <w:vAlign w:val="center"/>
                </w:tcPr>
                <w:p w14:paraId="4710A66A">
                  <w:pPr>
                    <w:jc w:val="center"/>
                    <w:rPr>
                      <w:rFonts w:eastAsiaTheme="minorEastAsia"/>
                      <w:color w:val="auto"/>
                      <w:sz w:val="22"/>
                      <w:szCs w:val="22"/>
                      <w:highlight w:val="none"/>
                    </w:rPr>
                  </w:pPr>
                  <w:r>
                    <w:rPr>
                      <w:rFonts w:eastAsiaTheme="minorEastAsia"/>
                      <w:color w:val="auto"/>
                      <w:sz w:val="22"/>
                      <w:szCs w:val="22"/>
                      <w:highlight w:val="none"/>
                    </w:rPr>
                    <w:t>主要建设内容</w:t>
                  </w:r>
                </w:p>
              </w:tc>
              <w:tc>
                <w:tcPr>
                  <w:tcW w:w="776" w:type="dxa"/>
                  <w:vAlign w:val="center"/>
                </w:tcPr>
                <w:p w14:paraId="5DCA5A74">
                  <w:pPr>
                    <w:jc w:val="center"/>
                    <w:rPr>
                      <w:rFonts w:eastAsiaTheme="minorEastAsia"/>
                      <w:color w:val="auto"/>
                      <w:sz w:val="22"/>
                      <w:szCs w:val="22"/>
                      <w:highlight w:val="none"/>
                    </w:rPr>
                  </w:pPr>
                  <w:r>
                    <w:rPr>
                      <w:rFonts w:eastAsiaTheme="minorEastAsia"/>
                      <w:color w:val="auto"/>
                      <w:sz w:val="22"/>
                      <w:szCs w:val="22"/>
                      <w:highlight w:val="none"/>
                    </w:rPr>
                    <w:t>备注</w:t>
                  </w:r>
                </w:p>
              </w:tc>
            </w:tr>
            <w:tr w14:paraId="6A366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restart"/>
                  <w:vAlign w:val="center"/>
                </w:tcPr>
                <w:p w14:paraId="735D5426">
                  <w:pPr>
                    <w:jc w:val="center"/>
                    <w:rPr>
                      <w:rFonts w:eastAsiaTheme="minorEastAsia"/>
                      <w:color w:val="auto"/>
                      <w:sz w:val="22"/>
                      <w:szCs w:val="22"/>
                      <w:highlight w:val="none"/>
                    </w:rPr>
                  </w:pPr>
                  <w:r>
                    <w:rPr>
                      <w:rFonts w:eastAsiaTheme="minorEastAsia"/>
                      <w:color w:val="auto"/>
                      <w:sz w:val="22"/>
                      <w:szCs w:val="22"/>
                      <w:highlight w:val="none"/>
                    </w:rPr>
                    <w:t>主体工程</w:t>
                  </w:r>
                </w:p>
              </w:tc>
              <w:tc>
                <w:tcPr>
                  <w:tcW w:w="375" w:type="dxa"/>
                  <w:vMerge w:val="restart"/>
                  <w:vAlign w:val="center"/>
                </w:tcPr>
                <w:p w14:paraId="082F6D6B">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生产厂房</w:t>
                  </w:r>
                </w:p>
              </w:tc>
              <w:tc>
                <w:tcPr>
                  <w:tcW w:w="815" w:type="dxa"/>
                  <w:vAlign w:val="center"/>
                </w:tcPr>
                <w:p w14:paraId="0FAC2B24">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总体</w:t>
                  </w:r>
                </w:p>
              </w:tc>
              <w:tc>
                <w:tcPr>
                  <w:tcW w:w="5850" w:type="dxa"/>
                  <w:vAlign w:val="center"/>
                </w:tcPr>
                <w:p w14:paraId="69AD5C24">
                  <w:pPr>
                    <w:pStyle w:val="55"/>
                    <w:spacing w:line="240" w:lineRule="auto"/>
                    <w:jc w:val="both"/>
                    <w:rPr>
                      <w:rFonts w:ascii="Times New Roman" w:hAnsi="Times New Roman" w:eastAsiaTheme="minorEastAsia"/>
                      <w:color w:val="auto"/>
                      <w:sz w:val="22"/>
                      <w:szCs w:val="22"/>
                      <w:highlight w:val="none"/>
                    </w:rPr>
                  </w:pPr>
                  <w:r>
                    <w:rPr>
                      <w:rFonts w:ascii="Times New Roman" w:hAnsi="Times New Roman" w:eastAsiaTheme="minorEastAsia"/>
                      <w:color w:val="auto"/>
                      <w:sz w:val="22"/>
                      <w:szCs w:val="22"/>
                      <w:highlight w:val="none"/>
                    </w:rPr>
                    <w:t>位于厂区中部，共1F，高9m，占地面积约15565m</w:t>
                  </w:r>
                  <w:r>
                    <w:rPr>
                      <w:rFonts w:ascii="Times New Roman" w:hAnsi="Times New Roman" w:eastAsiaTheme="minorEastAsia"/>
                      <w:color w:val="auto"/>
                      <w:sz w:val="22"/>
                      <w:szCs w:val="22"/>
                      <w:highlight w:val="none"/>
                      <w:vertAlign w:val="superscript"/>
                    </w:rPr>
                    <w:t>2</w:t>
                  </w:r>
                  <w:r>
                    <w:rPr>
                      <w:rFonts w:ascii="Times New Roman" w:hAnsi="Times New Roman" w:eastAsiaTheme="minorEastAsia"/>
                      <w:color w:val="auto"/>
                      <w:sz w:val="22"/>
                      <w:szCs w:val="22"/>
                      <w:highlight w:val="none"/>
                    </w:rPr>
                    <w:t>，采用钢结构。主要布设激光切割生产线2条、冲液压生产线3条、焊接生产线4条。各区域配套设置通道、半成品暂存区及成品暂存区。</w:t>
                  </w:r>
                </w:p>
              </w:tc>
              <w:tc>
                <w:tcPr>
                  <w:tcW w:w="776" w:type="dxa"/>
                  <w:vAlign w:val="center"/>
                </w:tcPr>
                <w:p w14:paraId="3FFA90B2">
                  <w:pPr>
                    <w:pStyle w:val="55"/>
                    <w:spacing w:line="240" w:lineRule="auto"/>
                    <w:jc w:val="both"/>
                    <w:rPr>
                      <w:rFonts w:ascii="Times New Roman" w:hAnsi="Times New Roman" w:eastAsiaTheme="minorEastAsia"/>
                      <w:color w:val="auto"/>
                      <w:sz w:val="22"/>
                      <w:szCs w:val="22"/>
                      <w:highlight w:val="none"/>
                    </w:rPr>
                  </w:pPr>
                  <w:r>
                    <w:rPr>
                      <w:rFonts w:ascii="Times New Roman" w:hAnsi="Times New Roman" w:eastAsiaTheme="minorEastAsia"/>
                      <w:color w:val="auto"/>
                      <w:sz w:val="22"/>
                      <w:szCs w:val="22"/>
                      <w:highlight w:val="none"/>
                    </w:rPr>
                    <w:t>利旧+改造</w:t>
                  </w:r>
                  <w:r>
                    <w:rPr>
                      <w:rFonts w:hint="eastAsia" w:ascii="Times New Roman" w:hAnsi="Times New Roman" w:eastAsiaTheme="minorEastAsia"/>
                      <w:color w:val="auto"/>
                      <w:sz w:val="22"/>
                      <w:szCs w:val="22"/>
                      <w:highlight w:val="none"/>
                    </w:rPr>
                    <w:t>+新建</w:t>
                  </w:r>
                </w:p>
              </w:tc>
            </w:tr>
            <w:tr w14:paraId="74541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339FBEFB">
                  <w:pPr>
                    <w:jc w:val="center"/>
                    <w:rPr>
                      <w:rFonts w:eastAsiaTheme="minorEastAsia"/>
                      <w:color w:val="auto"/>
                      <w:sz w:val="22"/>
                      <w:szCs w:val="22"/>
                      <w:highlight w:val="none"/>
                    </w:rPr>
                  </w:pPr>
                </w:p>
              </w:tc>
              <w:tc>
                <w:tcPr>
                  <w:tcW w:w="375" w:type="dxa"/>
                  <w:vMerge w:val="continue"/>
                  <w:vAlign w:val="center"/>
                </w:tcPr>
                <w:p w14:paraId="21B4A8F7">
                  <w:pPr>
                    <w:pStyle w:val="71"/>
                    <w:jc w:val="center"/>
                    <w:textAlignment w:val="center"/>
                    <w:rPr>
                      <w:rFonts w:eastAsiaTheme="minorEastAsia"/>
                      <w:color w:val="auto"/>
                      <w:sz w:val="22"/>
                      <w:szCs w:val="22"/>
                      <w:highlight w:val="none"/>
                    </w:rPr>
                  </w:pPr>
                </w:p>
              </w:tc>
              <w:tc>
                <w:tcPr>
                  <w:tcW w:w="815" w:type="dxa"/>
                  <w:vMerge w:val="restart"/>
                  <w:vAlign w:val="center"/>
                </w:tcPr>
                <w:p w14:paraId="741C2A87">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激光切割生产线</w:t>
                  </w:r>
                </w:p>
              </w:tc>
              <w:tc>
                <w:tcPr>
                  <w:tcW w:w="5850" w:type="dxa"/>
                  <w:vAlign w:val="center"/>
                </w:tcPr>
                <w:p w14:paraId="0489007B">
                  <w:pPr>
                    <w:pStyle w:val="71"/>
                    <w:jc w:val="both"/>
                    <w:textAlignment w:val="center"/>
                    <w:rPr>
                      <w:rFonts w:eastAsiaTheme="minorEastAsia"/>
                      <w:color w:val="auto"/>
                      <w:sz w:val="22"/>
                      <w:szCs w:val="22"/>
                      <w:highlight w:val="none"/>
                    </w:rPr>
                  </w:pPr>
                  <w:r>
                    <w:rPr>
                      <w:rFonts w:hint="eastAsia"/>
                      <w:color w:val="auto"/>
                      <w:sz w:val="22"/>
                      <w:szCs w:val="22"/>
                      <w:highlight w:val="none"/>
                      <w:lang w:eastAsia="zh-CN"/>
                    </w:rPr>
                    <w:t>包括2D激光切割区、3D激光切割区、剪板区、开卷区。利用原有剪板区、开卷区，</w:t>
                  </w:r>
                  <w:r>
                    <w:rPr>
                      <w:rFonts w:hint="eastAsia"/>
                      <w:color w:val="auto"/>
                      <w:sz w:val="22"/>
                      <w:szCs w:val="22"/>
                      <w:highlight w:val="none"/>
                    </w:rPr>
                    <w:t>淘汰原有的老旧人工切割材料的设备，新增激光切割机、激光切割控制系统、自动化工装、自动生产线等设备2套，用于原材料切割。</w:t>
                  </w:r>
                </w:p>
              </w:tc>
              <w:tc>
                <w:tcPr>
                  <w:tcW w:w="776" w:type="dxa"/>
                  <w:vAlign w:val="center"/>
                </w:tcPr>
                <w:p w14:paraId="67766838">
                  <w:pPr>
                    <w:pStyle w:val="55"/>
                    <w:spacing w:line="240" w:lineRule="auto"/>
                    <w:jc w:val="both"/>
                    <w:rPr>
                      <w:rFonts w:ascii="Times New Roman" w:hAnsi="Times New Roman" w:eastAsiaTheme="minorEastAsia"/>
                      <w:color w:val="auto"/>
                      <w:sz w:val="22"/>
                      <w:szCs w:val="22"/>
                      <w:highlight w:val="none"/>
                    </w:rPr>
                  </w:pPr>
                  <w:r>
                    <w:rPr>
                      <w:rFonts w:ascii="Times New Roman" w:hAnsi="Times New Roman" w:eastAsiaTheme="minorEastAsia"/>
                      <w:color w:val="auto"/>
                      <w:sz w:val="22"/>
                      <w:szCs w:val="22"/>
                      <w:highlight w:val="none"/>
                    </w:rPr>
                    <w:t>利旧+</w:t>
                  </w:r>
                  <w:r>
                    <w:rPr>
                      <w:rFonts w:hint="eastAsia" w:ascii="Times New Roman" w:hAnsi="Times New Roman" w:eastAsiaTheme="minorEastAsia"/>
                      <w:color w:val="auto"/>
                      <w:sz w:val="22"/>
                      <w:szCs w:val="22"/>
                      <w:highlight w:val="none"/>
                    </w:rPr>
                    <w:t>淘汰+新建</w:t>
                  </w:r>
                </w:p>
              </w:tc>
            </w:tr>
            <w:tr w14:paraId="4B90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772438C7">
                  <w:pPr>
                    <w:jc w:val="center"/>
                    <w:rPr>
                      <w:rFonts w:eastAsiaTheme="minorEastAsia"/>
                      <w:color w:val="auto"/>
                      <w:sz w:val="22"/>
                      <w:szCs w:val="22"/>
                      <w:highlight w:val="none"/>
                    </w:rPr>
                  </w:pPr>
                </w:p>
              </w:tc>
              <w:tc>
                <w:tcPr>
                  <w:tcW w:w="375" w:type="dxa"/>
                  <w:vMerge w:val="continue"/>
                  <w:vAlign w:val="center"/>
                </w:tcPr>
                <w:p w14:paraId="04779587">
                  <w:pPr>
                    <w:pStyle w:val="71"/>
                    <w:jc w:val="center"/>
                    <w:textAlignment w:val="center"/>
                    <w:rPr>
                      <w:rFonts w:eastAsiaTheme="minorEastAsia"/>
                      <w:color w:val="auto"/>
                      <w:sz w:val="22"/>
                      <w:szCs w:val="22"/>
                      <w:highlight w:val="none"/>
                    </w:rPr>
                  </w:pPr>
                </w:p>
              </w:tc>
              <w:tc>
                <w:tcPr>
                  <w:tcW w:w="815" w:type="dxa"/>
                  <w:vMerge w:val="continue"/>
                  <w:vAlign w:val="center"/>
                </w:tcPr>
                <w:p w14:paraId="13E8354E">
                  <w:pPr>
                    <w:pStyle w:val="71"/>
                    <w:jc w:val="center"/>
                    <w:textAlignment w:val="center"/>
                    <w:rPr>
                      <w:rFonts w:eastAsiaTheme="minorEastAsia"/>
                      <w:color w:val="auto"/>
                      <w:sz w:val="22"/>
                      <w:szCs w:val="22"/>
                      <w:highlight w:val="none"/>
                    </w:rPr>
                  </w:pPr>
                </w:p>
              </w:tc>
              <w:tc>
                <w:tcPr>
                  <w:tcW w:w="5850" w:type="dxa"/>
                  <w:vAlign w:val="center"/>
                </w:tcPr>
                <w:p w14:paraId="1C5834BE">
                  <w:pPr>
                    <w:pStyle w:val="71"/>
                    <w:jc w:val="both"/>
                    <w:textAlignment w:val="center"/>
                    <w:rPr>
                      <w:rFonts w:eastAsiaTheme="minorEastAsia"/>
                      <w:color w:val="auto"/>
                      <w:sz w:val="22"/>
                      <w:szCs w:val="22"/>
                      <w:highlight w:val="none"/>
                    </w:rPr>
                  </w:pPr>
                  <w:r>
                    <w:rPr>
                      <w:rFonts w:hint="eastAsia"/>
                      <w:color w:val="auto"/>
                      <w:sz w:val="22"/>
                      <w:szCs w:val="22"/>
                      <w:highlight w:val="none"/>
                    </w:rPr>
                    <w:t>①2D激光切割区：位于生产车间西南部，占地面积约372m</w:t>
                  </w:r>
                  <w:r>
                    <w:rPr>
                      <w:rFonts w:hint="eastAsia"/>
                      <w:color w:val="auto"/>
                      <w:sz w:val="22"/>
                      <w:szCs w:val="22"/>
                      <w:highlight w:val="none"/>
                      <w:vertAlign w:val="superscript"/>
                    </w:rPr>
                    <w:t>2</w:t>
                  </w:r>
                  <w:r>
                    <w:rPr>
                      <w:rFonts w:hint="eastAsia"/>
                      <w:color w:val="auto"/>
                      <w:sz w:val="22"/>
                      <w:szCs w:val="22"/>
                      <w:highlight w:val="none"/>
                    </w:rPr>
                    <w:t>，设置二维激光切割设备1套。</w:t>
                  </w:r>
                </w:p>
              </w:tc>
              <w:tc>
                <w:tcPr>
                  <w:tcW w:w="776" w:type="dxa"/>
                  <w:vMerge w:val="restart"/>
                  <w:vAlign w:val="center"/>
                </w:tcPr>
                <w:p w14:paraId="3D9D206C">
                  <w:pPr>
                    <w:pStyle w:val="55"/>
                    <w:spacing w:line="240" w:lineRule="auto"/>
                    <w:jc w:val="both"/>
                    <w:rPr>
                      <w:rFonts w:ascii="Times New Roman" w:hAnsi="Times New Roman" w:eastAsiaTheme="minorEastAsia"/>
                      <w:color w:val="auto"/>
                      <w:sz w:val="22"/>
                      <w:szCs w:val="22"/>
                      <w:highlight w:val="none"/>
                    </w:rPr>
                  </w:pPr>
                  <w:r>
                    <w:rPr>
                      <w:rFonts w:ascii="Times New Roman" w:hAnsi="Times New Roman" w:eastAsiaTheme="minorEastAsia"/>
                      <w:color w:val="auto"/>
                      <w:sz w:val="22"/>
                      <w:szCs w:val="22"/>
                      <w:highlight w:val="none"/>
                    </w:rPr>
                    <w:t>淘汰+新建</w:t>
                  </w:r>
                </w:p>
              </w:tc>
            </w:tr>
            <w:tr w14:paraId="6721C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1DFD2780">
                  <w:pPr>
                    <w:jc w:val="center"/>
                    <w:rPr>
                      <w:rFonts w:eastAsiaTheme="minorEastAsia"/>
                      <w:color w:val="auto"/>
                      <w:sz w:val="22"/>
                      <w:szCs w:val="22"/>
                      <w:highlight w:val="none"/>
                    </w:rPr>
                  </w:pPr>
                </w:p>
              </w:tc>
              <w:tc>
                <w:tcPr>
                  <w:tcW w:w="375" w:type="dxa"/>
                  <w:vMerge w:val="continue"/>
                  <w:vAlign w:val="center"/>
                </w:tcPr>
                <w:p w14:paraId="6258CC77">
                  <w:pPr>
                    <w:pStyle w:val="71"/>
                    <w:jc w:val="center"/>
                    <w:textAlignment w:val="center"/>
                    <w:rPr>
                      <w:rFonts w:eastAsiaTheme="minorEastAsia"/>
                      <w:color w:val="auto"/>
                      <w:sz w:val="22"/>
                      <w:szCs w:val="22"/>
                      <w:highlight w:val="none"/>
                    </w:rPr>
                  </w:pPr>
                </w:p>
              </w:tc>
              <w:tc>
                <w:tcPr>
                  <w:tcW w:w="815" w:type="dxa"/>
                  <w:vMerge w:val="continue"/>
                  <w:vAlign w:val="center"/>
                </w:tcPr>
                <w:p w14:paraId="5477D53B">
                  <w:pPr>
                    <w:pStyle w:val="71"/>
                    <w:jc w:val="center"/>
                    <w:textAlignment w:val="center"/>
                    <w:rPr>
                      <w:rFonts w:eastAsiaTheme="minorEastAsia"/>
                      <w:color w:val="auto"/>
                      <w:sz w:val="22"/>
                      <w:szCs w:val="22"/>
                      <w:highlight w:val="none"/>
                    </w:rPr>
                  </w:pPr>
                </w:p>
              </w:tc>
              <w:tc>
                <w:tcPr>
                  <w:tcW w:w="5850" w:type="dxa"/>
                  <w:vAlign w:val="center"/>
                </w:tcPr>
                <w:p w14:paraId="4D4F0083">
                  <w:pPr>
                    <w:pStyle w:val="71"/>
                    <w:jc w:val="both"/>
                    <w:textAlignment w:val="center"/>
                    <w:rPr>
                      <w:rFonts w:eastAsiaTheme="minorEastAsia"/>
                      <w:color w:val="auto"/>
                      <w:sz w:val="22"/>
                      <w:szCs w:val="22"/>
                      <w:highlight w:val="none"/>
                    </w:rPr>
                  </w:pPr>
                  <w:r>
                    <w:rPr>
                      <w:rFonts w:hint="eastAsia"/>
                      <w:color w:val="auto"/>
                      <w:sz w:val="22"/>
                      <w:szCs w:val="22"/>
                      <w:highlight w:val="none"/>
                    </w:rPr>
                    <w:t>②3D激光切割区：位于生产车间东北部，占地面积约1920m</w:t>
                  </w:r>
                  <w:r>
                    <w:rPr>
                      <w:rFonts w:hint="eastAsia"/>
                      <w:color w:val="auto"/>
                      <w:sz w:val="22"/>
                      <w:szCs w:val="22"/>
                      <w:highlight w:val="none"/>
                      <w:vertAlign w:val="superscript"/>
                    </w:rPr>
                    <w:t>2</w:t>
                  </w:r>
                  <w:r>
                    <w:rPr>
                      <w:rFonts w:hint="eastAsia"/>
                      <w:color w:val="auto"/>
                      <w:sz w:val="22"/>
                      <w:szCs w:val="22"/>
                      <w:highlight w:val="none"/>
                    </w:rPr>
                    <w:t>，设置三维五轴激光切割设备1套。</w:t>
                  </w:r>
                </w:p>
              </w:tc>
              <w:tc>
                <w:tcPr>
                  <w:tcW w:w="776" w:type="dxa"/>
                  <w:vMerge w:val="continue"/>
                  <w:vAlign w:val="center"/>
                </w:tcPr>
                <w:p w14:paraId="4D4DA4FB">
                  <w:pPr>
                    <w:pStyle w:val="55"/>
                    <w:spacing w:line="240" w:lineRule="auto"/>
                    <w:jc w:val="both"/>
                    <w:rPr>
                      <w:rFonts w:ascii="Times New Roman" w:hAnsi="Times New Roman" w:eastAsiaTheme="minorEastAsia"/>
                      <w:color w:val="auto"/>
                      <w:sz w:val="22"/>
                      <w:szCs w:val="22"/>
                      <w:highlight w:val="none"/>
                    </w:rPr>
                  </w:pPr>
                </w:p>
              </w:tc>
            </w:tr>
            <w:tr w14:paraId="4430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0E587FE3">
                  <w:pPr>
                    <w:jc w:val="center"/>
                    <w:rPr>
                      <w:rFonts w:eastAsiaTheme="minorEastAsia"/>
                      <w:color w:val="auto"/>
                      <w:sz w:val="22"/>
                      <w:szCs w:val="22"/>
                      <w:highlight w:val="none"/>
                    </w:rPr>
                  </w:pPr>
                </w:p>
              </w:tc>
              <w:tc>
                <w:tcPr>
                  <w:tcW w:w="375" w:type="dxa"/>
                  <w:vMerge w:val="continue"/>
                  <w:vAlign w:val="center"/>
                </w:tcPr>
                <w:p w14:paraId="72B4BF00">
                  <w:pPr>
                    <w:pStyle w:val="71"/>
                    <w:jc w:val="center"/>
                    <w:textAlignment w:val="center"/>
                    <w:rPr>
                      <w:rFonts w:eastAsiaTheme="minorEastAsia"/>
                      <w:color w:val="auto"/>
                      <w:sz w:val="22"/>
                      <w:szCs w:val="22"/>
                      <w:highlight w:val="none"/>
                    </w:rPr>
                  </w:pPr>
                </w:p>
              </w:tc>
              <w:tc>
                <w:tcPr>
                  <w:tcW w:w="815" w:type="dxa"/>
                  <w:vMerge w:val="continue"/>
                  <w:vAlign w:val="center"/>
                </w:tcPr>
                <w:p w14:paraId="4E13343B">
                  <w:pPr>
                    <w:pStyle w:val="71"/>
                    <w:jc w:val="center"/>
                    <w:textAlignment w:val="center"/>
                    <w:rPr>
                      <w:rFonts w:eastAsiaTheme="minorEastAsia"/>
                      <w:color w:val="auto"/>
                      <w:sz w:val="22"/>
                      <w:szCs w:val="22"/>
                      <w:highlight w:val="none"/>
                    </w:rPr>
                  </w:pPr>
                </w:p>
              </w:tc>
              <w:tc>
                <w:tcPr>
                  <w:tcW w:w="5850" w:type="dxa"/>
                  <w:vAlign w:val="center"/>
                </w:tcPr>
                <w:p w14:paraId="6701D427">
                  <w:pPr>
                    <w:pStyle w:val="71"/>
                    <w:jc w:val="both"/>
                    <w:textAlignment w:val="center"/>
                    <w:rPr>
                      <w:rFonts w:eastAsiaTheme="minorEastAsia"/>
                      <w:color w:val="auto"/>
                      <w:sz w:val="22"/>
                      <w:szCs w:val="22"/>
                      <w:highlight w:val="none"/>
                    </w:rPr>
                  </w:pPr>
                  <w:r>
                    <w:rPr>
                      <w:rFonts w:hint="eastAsia"/>
                      <w:color w:val="auto"/>
                      <w:sz w:val="22"/>
                      <w:szCs w:val="22"/>
                      <w:highlight w:val="none"/>
                    </w:rPr>
                    <w:t>③剪板区：位于生产车间西南部，2D激光切割旁，占地面积约228m</w:t>
                  </w:r>
                  <w:r>
                    <w:rPr>
                      <w:rFonts w:hint="eastAsia"/>
                      <w:color w:val="auto"/>
                      <w:sz w:val="22"/>
                      <w:szCs w:val="22"/>
                      <w:highlight w:val="none"/>
                      <w:vertAlign w:val="superscript"/>
                    </w:rPr>
                    <w:t>2</w:t>
                  </w:r>
                  <w:r>
                    <w:rPr>
                      <w:rFonts w:hint="eastAsia"/>
                      <w:color w:val="auto"/>
                      <w:sz w:val="22"/>
                      <w:szCs w:val="22"/>
                      <w:highlight w:val="none"/>
                    </w:rPr>
                    <w:t>，利用原有设备（包括剪板机2台）。</w:t>
                  </w:r>
                </w:p>
              </w:tc>
              <w:tc>
                <w:tcPr>
                  <w:tcW w:w="776" w:type="dxa"/>
                  <w:vMerge w:val="restart"/>
                  <w:vAlign w:val="center"/>
                </w:tcPr>
                <w:p w14:paraId="6BFD5EC5">
                  <w:pPr>
                    <w:pStyle w:val="55"/>
                    <w:spacing w:line="240" w:lineRule="auto"/>
                    <w:jc w:val="both"/>
                    <w:rPr>
                      <w:rFonts w:ascii="Times New Roman" w:hAnsi="Times New Roman" w:eastAsiaTheme="minorEastAsia"/>
                      <w:color w:val="auto"/>
                      <w:sz w:val="22"/>
                      <w:szCs w:val="22"/>
                      <w:highlight w:val="none"/>
                    </w:rPr>
                  </w:pPr>
                  <w:r>
                    <w:rPr>
                      <w:rFonts w:hint="eastAsia" w:ascii="Times New Roman" w:hAnsi="Times New Roman" w:eastAsiaTheme="minorEastAsia"/>
                      <w:color w:val="auto"/>
                      <w:sz w:val="22"/>
                      <w:szCs w:val="22"/>
                      <w:highlight w:val="none"/>
                    </w:rPr>
                    <w:t>利旧</w:t>
                  </w:r>
                </w:p>
              </w:tc>
            </w:tr>
            <w:tr w14:paraId="3FEC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dxa"/>
                  <w:vMerge w:val="continue"/>
                  <w:vAlign w:val="center"/>
                </w:tcPr>
                <w:p w14:paraId="7DBF73AF">
                  <w:pPr>
                    <w:jc w:val="center"/>
                    <w:rPr>
                      <w:rFonts w:eastAsiaTheme="minorEastAsia"/>
                      <w:color w:val="auto"/>
                      <w:sz w:val="22"/>
                      <w:szCs w:val="22"/>
                      <w:highlight w:val="none"/>
                    </w:rPr>
                  </w:pPr>
                </w:p>
              </w:tc>
              <w:tc>
                <w:tcPr>
                  <w:tcW w:w="375" w:type="dxa"/>
                  <w:vMerge w:val="continue"/>
                  <w:vAlign w:val="center"/>
                </w:tcPr>
                <w:p w14:paraId="6DD19AE8">
                  <w:pPr>
                    <w:pStyle w:val="71"/>
                    <w:jc w:val="center"/>
                    <w:textAlignment w:val="center"/>
                    <w:rPr>
                      <w:rFonts w:eastAsiaTheme="minorEastAsia"/>
                      <w:color w:val="auto"/>
                      <w:sz w:val="22"/>
                      <w:szCs w:val="22"/>
                      <w:highlight w:val="none"/>
                    </w:rPr>
                  </w:pPr>
                </w:p>
              </w:tc>
              <w:tc>
                <w:tcPr>
                  <w:tcW w:w="815" w:type="dxa"/>
                  <w:vMerge w:val="continue"/>
                  <w:vAlign w:val="center"/>
                </w:tcPr>
                <w:p w14:paraId="07364AD2">
                  <w:pPr>
                    <w:pStyle w:val="71"/>
                    <w:jc w:val="center"/>
                    <w:textAlignment w:val="center"/>
                    <w:rPr>
                      <w:rFonts w:eastAsiaTheme="minorEastAsia"/>
                      <w:color w:val="auto"/>
                      <w:sz w:val="22"/>
                      <w:szCs w:val="22"/>
                      <w:highlight w:val="none"/>
                    </w:rPr>
                  </w:pPr>
                </w:p>
              </w:tc>
              <w:tc>
                <w:tcPr>
                  <w:tcW w:w="5850" w:type="dxa"/>
                  <w:vAlign w:val="center"/>
                </w:tcPr>
                <w:p w14:paraId="2BA3C9A7">
                  <w:pPr>
                    <w:pStyle w:val="71"/>
                    <w:jc w:val="both"/>
                    <w:textAlignment w:val="center"/>
                    <w:rPr>
                      <w:rFonts w:eastAsiaTheme="minorEastAsia"/>
                      <w:color w:val="auto"/>
                      <w:sz w:val="22"/>
                      <w:szCs w:val="22"/>
                      <w:highlight w:val="none"/>
                    </w:rPr>
                  </w:pPr>
                  <w:r>
                    <w:rPr>
                      <w:rFonts w:hint="eastAsia"/>
                      <w:color w:val="auto"/>
                      <w:sz w:val="22"/>
                      <w:szCs w:val="22"/>
                      <w:highlight w:val="none"/>
                    </w:rPr>
                    <w:fldChar w:fldCharType="begin"/>
                  </w:r>
                  <w:r>
                    <w:rPr>
                      <w:rFonts w:hint="eastAsia"/>
                      <w:color w:val="auto"/>
                      <w:sz w:val="22"/>
                      <w:szCs w:val="22"/>
                      <w:highlight w:val="none"/>
                    </w:rPr>
                    <w:instrText xml:space="preserve"> = 4 \* GB3 \* MERGEFORMAT </w:instrText>
                  </w:r>
                  <w:r>
                    <w:rPr>
                      <w:rFonts w:hint="eastAsia"/>
                      <w:color w:val="auto"/>
                      <w:sz w:val="22"/>
                      <w:szCs w:val="22"/>
                      <w:highlight w:val="none"/>
                    </w:rPr>
                    <w:fldChar w:fldCharType="separate"/>
                  </w:r>
                  <w:r>
                    <w:rPr>
                      <w:rFonts w:hint="eastAsia"/>
                      <w:color w:val="auto"/>
                      <w:sz w:val="22"/>
                      <w:szCs w:val="22"/>
                      <w:highlight w:val="none"/>
                    </w:rPr>
                    <w:t>④</w:t>
                  </w:r>
                  <w:r>
                    <w:rPr>
                      <w:rFonts w:hint="eastAsia"/>
                      <w:color w:val="auto"/>
                      <w:sz w:val="22"/>
                      <w:szCs w:val="22"/>
                      <w:highlight w:val="none"/>
                    </w:rPr>
                    <w:fldChar w:fldCharType="end"/>
                  </w:r>
                  <w:r>
                    <w:rPr>
                      <w:rFonts w:hint="eastAsia"/>
                      <w:color w:val="auto"/>
                      <w:sz w:val="22"/>
                      <w:szCs w:val="22"/>
                      <w:highlight w:val="none"/>
                    </w:rPr>
                    <w:t>开卷区：位于生产车间西南部，2D激光切割旁，占地面积约300m</w:t>
                  </w:r>
                  <w:r>
                    <w:rPr>
                      <w:rFonts w:hint="eastAsia"/>
                      <w:color w:val="auto"/>
                      <w:sz w:val="22"/>
                      <w:szCs w:val="22"/>
                      <w:highlight w:val="none"/>
                      <w:vertAlign w:val="superscript"/>
                    </w:rPr>
                    <w:t>2</w:t>
                  </w:r>
                  <w:r>
                    <w:rPr>
                      <w:rFonts w:hint="eastAsia"/>
                      <w:color w:val="auto"/>
                      <w:sz w:val="22"/>
                      <w:szCs w:val="22"/>
                      <w:highlight w:val="none"/>
                    </w:rPr>
                    <w:t>，利用原有设备（包括开卷机2台），用于钢卷展开，以进行进一步切割/剪切加工。</w:t>
                  </w:r>
                </w:p>
              </w:tc>
              <w:tc>
                <w:tcPr>
                  <w:tcW w:w="776" w:type="dxa"/>
                  <w:vMerge w:val="continue"/>
                  <w:vAlign w:val="center"/>
                </w:tcPr>
                <w:p w14:paraId="4BA131CE">
                  <w:pPr>
                    <w:pStyle w:val="55"/>
                    <w:spacing w:line="240" w:lineRule="auto"/>
                    <w:jc w:val="both"/>
                    <w:rPr>
                      <w:rFonts w:ascii="Times New Roman" w:hAnsi="Times New Roman" w:eastAsiaTheme="minorEastAsia"/>
                      <w:color w:val="auto"/>
                      <w:sz w:val="22"/>
                      <w:szCs w:val="22"/>
                      <w:highlight w:val="none"/>
                    </w:rPr>
                  </w:pPr>
                </w:p>
              </w:tc>
            </w:tr>
            <w:tr w14:paraId="76C1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6E95FFA6">
                  <w:pPr>
                    <w:jc w:val="center"/>
                    <w:rPr>
                      <w:rFonts w:eastAsiaTheme="minorEastAsia"/>
                      <w:color w:val="auto"/>
                      <w:sz w:val="22"/>
                      <w:szCs w:val="22"/>
                      <w:highlight w:val="none"/>
                    </w:rPr>
                  </w:pPr>
                </w:p>
              </w:tc>
              <w:tc>
                <w:tcPr>
                  <w:tcW w:w="375" w:type="dxa"/>
                  <w:vMerge w:val="continue"/>
                  <w:vAlign w:val="center"/>
                </w:tcPr>
                <w:p w14:paraId="30079E5A">
                  <w:pPr>
                    <w:pStyle w:val="71"/>
                    <w:jc w:val="center"/>
                    <w:textAlignment w:val="center"/>
                    <w:rPr>
                      <w:rFonts w:eastAsiaTheme="minorEastAsia"/>
                      <w:color w:val="auto"/>
                      <w:sz w:val="22"/>
                      <w:szCs w:val="22"/>
                      <w:highlight w:val="none"/>
                    </w:rPr>
                  </w:pPr>
                </w:p>
              </w:tc>
              <w:tc>
                <w:tcPr>
                  <w:tcW w:w="815" w:type="dxa"/>
                  <w:vMerge w:val="restart"/>
                  <w:vAlign w:val="center"/>
                </w:tcPr>
                <w:p w14:paraId="5B30C005">
                  <w:pPr>
                    <w:pStyle w:val="71"/>
                    <w:jc w:val="center"/>
                    <w:textAlignment w:val="center"/>
                    <w:rPr>
                      <w:rFonts w:eastAsiaTheme="minorEastAsia"/>
                      <w:color w:val="auto"/>
                      <w:sz w:val="22"/>
                      <w:szCs w:val="22"/>
                      <w:highlight w:val="none"/>
                    </w:rPr>
                  </w:pPr>
                  <w:r>
                    <w:rPr>
                      <w:color w:val="auto"/>
                      <w:highlight w:val="none"/>
                    </w:rPr>
                    <w:t>冲液压压生产线</w:t>
                  </w:r>
                </w:p>
              </w:tc>
              <w:tc>
                <w:tcPr>
                  <w:tcW w:w="5850" w:type="dxa"/>
                  <w:vAlign w:val="center"/>
                </w:tcPr>
                <w:p w14:paraId="2733B8F3">
                  <w:pPr>
                    <w:pStyle w:val="71"/>
                    <w:jc w:val="both"/>
                    <w:textAlignment w:val="center"/>
                    <w:rPr>
                      <w:color w:val="auto"/>
                      <w:sz w:val="22"/>
                      <w:szCs w:val="22"/>
                      <w:highlight w:val="none"/>
                    </w:rPr>
                  </w:pPr>
                  <w:r>
                    <w:rPr>
                      <w:color w:val="auto"/>
                      <w:sz w:val="22"/>
                      <w:szCs w:val="22"/>
                      <w:highlight w:val="none"/>
                    </w:rPr>
                    <w:t>包括大型迪斯油压生产线、中型冲液压生产线、小型冲液压生产线，用于工件冲压。</w:t>
                  </w:r>
                  <w:r>
                    <w:rPr>
                      <w:rFonts w:hint="eastAsia"/>
                      <w:color w:val="auto"/>
                      <w:sz w:val="22"/>
                      <w:szCs w:val="22"/>
                      <w:highlight w:val="none"/>
                      <w:lang w:eastAsia="zh-CN"/>
                    </w:rPr>
                    <w:t>利用原有的中型冲液压生产线、小型冲液压生产线，对大型油压生产线进行改造。</w:t>
                  </w:r>
                  <w:r>
                    <w:rPr>
                      <w:color w:val="auto"/>
                      <w:sz w:val="22"/>
                      <w:szCs w:val="22"/>
                      <w:highlight w:val="none"/>
                    </w:rPr>
                    <w:t>生产线附近配备有模具存放区、模具检修区，用于模具存放、检修。</w:t>
                  </w:r>
                </w:p>
              </w:tc>
              <w:tc>
                <w:tcPr>
                  <w:tcW w:w="776" w:type="dxa"/>
                  <w:vAlign w:val="center"/>
                </w:tcPr>
                <w:p w14:paraId="6E5822D5">
                  <w:pPr>
                    <w:pStyle w:val="55"/>
                    <w:spacing w:line="240" w:lineRule="auto"/>
                    <w:rPr>
                      <w:rFonts w:ascii="Times New Roman" w:hAnsi="Times New Roman" w:eastAsiaTheme="minorEastAsia"/>
                      <w:color w:val="auto"/>
                      <w:sz w:val="22"/>
                      <w:szCs w:val="22"/>
                      <w:highlight w:val="none"/>
                    </w:rPr>
                  </w:pPr>
                  <w:r>
                    <w:rPr>
                      <w:rFonts w:ascii="Times New Roman" w:hAnsi="Times New Roman" w:eastAsiaTheme="minorEastAsia"/>
                      <w:color w:val="auto"/>
                      <w:sz w:val="22"/>
                      <w:szCs w:val="22"/>
                      <w:highlight w:val="none"/>
                    </w:rPr>
                    <w:t>利旧+改造</w:t>
                  </w:r>
                </w:p>
              </w:tc>
            </w:tr>
            <w:tr w14:paraId="3DE16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4389F11E">
                  <w:pPr>
                    <w:jc w:val="center"/>
                    <w:rPr>
                      <w:rFonts w:eastAsiaTheme="minorEastAsia"/>
                      <w:color w:val="auto"/>
                      <w:sz w:val="22"/>
                      <w:szCs w:val="22"/>
                      <w:highlight w:val="none"/>
                    </w:rPr>
                  </w:pPr>
                </w:p>
              </w:tc>
              <w:tc>
                <w:tcPr>
                  <w:tcW w:w="375" w:type="dxa"/>
                  <w:vMerge w:val="continue"/>
                  <w:vAlign w:val="center"/>
                </w:tcPr>
                <w:p w14:paraId="6AA16E2B">
                  <w:pPr>
                    <w:pStyle w:val="71"/>
                    <w:jc w:val="center"/>
                    <w:textAlignment w:val="center"/>
                    <w:rPr>
                      <w:rFonts w:eastAsiaTheme="minorEastAsia"/>
                      <w:color w:val="auto"/>
                      <w:sz w:val="22"/>
                      <w:szCs w:val="22"/>
                      <w:highlight w:val="none"/>
                    </w:rPr>
                  </w:pPr>
                </w:p>
              </w:tc>
              <w:tc>
                <w:tcPr>
                  <w:tcW w:w="815" w:type="dxa"/>
                  <w:vMerge w:val="continue"/>
                  <w:vAlign w:val="center"/>
                </w:tcPr>
                <w:p w14:paraId="63E84FA0">
                  <w:pPr>
                    <w:pStyle w:val="71"/>
                    <w:jc w:val="center"/>
                    <w:textAlignment w:val="center"/>
                    <w:rPr>
                      <w:color w:val="auto"/>
                      <w:highlight w:val="none"/>
                    </w:rPr>
                  </w:pPr>
                </w:p>
              </w:tc>
              <w:tc>
                <w:tcPr>
                  <w:tcW w:w="5850" w:type="dxa"/>
                  <w:vAlign w:val="center"/>
                </w:tcPr>
                <w:p w14:paraId="183960A1">
                  <w:pPr>
                    <w:pStyle w:val="71"/>
                    <w:jc w:val="both"/>
                    <w:textAlignment w:val="center"/>
                    <w:rPr>
                      <w:color w:val="auto"/>
                      <w:sz w:val="22"/>
                      <w:szCs w:val="22"/>
                      <w:highlight w:val="none"/>
                    </w:rPr>
                  </w:pPr>
                  <w:r>
                    <w:rPr>
                      <w:color w:val="auto"/>
                      <w:sz w:val="22"/>
                      <w:szCs w:val="22"/>
                      <w:highlight w:val="none"/>
                    </w:rPr>
                    <w:t>①大型迪斯油压生产线：位于生产车间中部，本次技改对原有4台框架式大型液压机进行改造，并增加KUKA多功能机器人6台、自动化搬运系统、自动化工装、自动生产线及废料输送线、ERP/MES软件投入等形成1条液压自动化生产线。</w:t>
                  </w:r>
                </w:p>
              </w:tc>
              <w:tc>
                <w:tcPr>
                  <w:tcW w:w="776" w:type="dxa"/>
                  <w:vAlign w:val="center"/>
                </w:tcPr>
                <w:p w14:paraId="5C37ADAD">
                  <w:pPr>
                    <w:pStyle w:val="55"/>
                    <w:spacing w:line="240" w:lineRule="auto"/>
                    <w:rPr>
                      <w:rFonts w:ascii="Times New Roman" w:hAnsi="Times New Roman" w:eastAsiaTheme="minorEastAsia"/>
                      <w:color w:val="auto"/>
                      <w:sz w:val="22"/>
                      <w:szCs w:val="22"/>
                      <w:highlight w:val="none"/>
                    </w:rPr>
                  </w:pPr>
                  <w:r>
                    <w:rPr>
                      <w:rFonts w:ascii="Times New Roman" w:hAnsi="Times New Roman" w:eastAsiaTheme="minorEastAsia"/>
                      <w:color w:val="auto"/>
                      <w:sz w:val="22"/>
                      <w:szCs w:val="22"/>
                      <w:highlight w:val="none"/>
                    </w:rPr>
                    <w:t>改造</w:t>
                  </w:r>
                </w:p>
              </w:tc>
            </w:tr>
            <w:tr w14:paraId="4A46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dxa"/>
                  <w:vMerge w:val="continue"/>
                  <w:vAlign w:val="center"/>
                </w:tcPr>
                <w:p w14:paraId="4B04ABD4">
                  <w:pPr>
                    <w:jc w:val="center"/>
                    <w:rPr>
                      <w:rFonts w:eastAsiaTheme="minorEastAsia"/>
                      <w:color w:val="auto"/>
                      <w:sz w:val="22"/>
                      <w:szCs w:val="22"/>
                      <w:highlight w:val="none"/>
                    </w:rPr>
                  </w:pPr>
                </w:p>
              </w:tc>
              <w:tc>
                <w:tcPr>
                  <w:tcW w:w="375" w:type="dxa"/>
                  <w:vMerge w:val="continue"/>
                  <w:vAlign w:val="center"/>
                </w:tcPr>
                <w:p w14:paraId="08DC3F98">
                  <w:pPr>
                    <w:pStyle w:val="71"/>
                    <w:jc w:val="center"/>
                    <w:textAlignment w:val="center"/>
                    <w:rPr>
                      <w:rFonts w:eastAsiaTheme="minorEastAsia"/>
                      <w:color w:val="auto"/>
                      <w:sz w:val="22"/>
                      <w:szCs w:val="22"/>
                      <w:highlight w:val="none"/>
                    </w:rPr>
                  </w:pPr>
                </w:p>
              </w:tc>
              <w:tc>
                <w:tcPr>
                  <w:tcW w:w="815" w:type="dxa"/>
                  <w:vMerge w:val="continue"/>
                  <w:vAlign w:val="center"/>
                </w:tcPr>
                <w:p w14:paraId="287EAE7A">
                  <w:pPr>
                    <w:pStyle w:val="71"/>
                    <w:jc w:val="center"/>
                    <w:textAlignment w:val="center"/>
                    <w:rPr>
                      <w:color w:val="auto"/>
                      <w:highlight w:val="none"/>
                    </w:rPr>
                  </w:pPr>
                </w:p>
              </w:tc>
              <w:tc>
                <w:tcPr>
                  <w:tcW w:w="5850" w:type="dxa"/>
                  <w:vAlign w:val="center"/>
                </w:tcPr>
                <w:p w14:paraId="704A86EC">
                  <w:pPr>
                    <w:pStyle w:val="71"/>
                    <w:jc w:val="both"/>
                    <w:textAlignment w:val="center"/>
                    <w:rPr>
                      <w:color w:val="auto"/>
                      <w:sz w:val="22"/>
                      <w:szCs w:val="22"/>
                      <w:highlight w:val="none"/>
                    </w:rPr>
                  </w:pPr>
                  <w:r>
                    <w:rPr>
                      <w:color w:val="auto"/>
                      <w:sz w:val="22"/>
                      <w:szCs w:val="22"/>
                      <w:highlight w:val="none"/>
                    </w:rPr>
                    <w:t>②中型冲液压生产线：位于生产车间中部、迪斯油压生产线西侧，利用原有设备（包括中型机械冲床4台、中型液压机4台）。</w:t>
                  </w:r>
                </w:p>
              </w:tc>
              <w:tc>
                <w:tcPr>
                  <w:tcW w:w="776" w:type="dxa"/>
                  <w:vAlign w:val="center"/>
                </w:tcPr>
                <w:p w14:paraId="46B3848F">
                  <w:pPr>
                    <w:pStyle w:val="55"/>
                    <w:spacing w:line="240" w:lineRule="auto"/>
                    <w:rPr>
                      <w:rFonts w:ascii="Times New Roman" w:hAnsi="Times New Roman" w:eastAsiaTheme="minorEastAsia"/>
                      <w:color w:val="auto"/>
                      <w:sz w:val="22"/>
                      <w:szCs w:val="22"/>
                      <w:highlight w:val="none"/>
                    </w:rPr>
                  </w:pPr>
                  <w:r>
                    <w:rPr>
                      <w:rFonts w:ascii="Times New Roman" w:hAnsi="Times New Roman" w:eastAsiaTheme="minorEastAsia"/>
                      <w:color w:val="auto"/>
                      <w:sz w:val="22"/>
                      <w:szCs w:val="22"/>
                      <w:highlight w:val="none"/>
                    </w:rPr>
                    <w:t>利旧</w:t>
                  </w:r>
                </w:p>
              </w:tc>
            </w:tr>
            <w:tr w14:paraId="053A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49577F2A">
                  <w:pPr>
                    <w:jc w:val="center"/>
                    <w:rPr>
                      <w:rFonts w:eastAsiaTheme="minorEastAsia"/>
                      <w:color w:val="auto"/>
                      <w:sz w:val="22"/>
                      <w:szCs w:val="22"/>
                      <w:highlight w:val="none"/>
                    </w:rPr>
                  </w:pPr>
                </w:p>
              </w:tc>
              <w:tc>
                <w:tcPr>
                  <w:tcW w:w="375" w:type="dxa"/>
                  <w:vMerge w:val="continue"/>
                  <w:vAlign w:val="center"/>
                </w:tcPr>
                <w:p w14:paraId="74EF1152">
                  <w:pPr>
                    <w:pStyle w:val="71"/>
                    <w:jc w:val="center"/>
                    <w:textAlignment w:val="center"/>
                    <w:rPr>
                      <w:rFonts w:eastAsiaTheme="minorEastAsia"/>
                      <w:color w:val="auto"/>
                      <w:sz w:val="22"/>
                      <w:szCs w:val="22"/>
                      <w:highlight w:val="none"/>
                    </w:rPr>
                  </w:pPr>
                </w:p>
              </w:tc>
              <w:tc>
                <w:tcPr>
                  <w:tcW w:w="815" w:type="dxa"/>
                  <w:vMerge w:val="continue"/>
                  <w:vAlign w:val="center"/>
                </w:tcPr>
                <w:p w14:paraId="733C4177">
                  <w:pPr>
                    <w:pStyle w:val="71"/>
                    <w:jc w:val="center"/>
                    <w:textAlignment w:val="center"/>
                    <w:rPr>
                      <w:color w:val="auto"/>
                      <w:highlight w:val="none"/>
                    </w:rPr>
                  </w:pPr>
                </w:p>
              </w:tc>
              <w:tc>
                <w:tcPr>
                  <w:tcW w:w="5850" w:type="dxa"/>
                  <w:vAlign w:val="center"/>
                </w:tcPr>
                <w:p w14:paraId="7008EE24">
                  <w:pPr>
                    <w:pStyle w:val="71"/>
                    <w:jc w:val="both"/>
                    <w:textAlignment w:val="center"/>
                    <w:rPr>
                      <w:color w:val="auto"/>
                      <w:sz w:val="22"/>
                      <w:szCs w:val="22"/>
                      <w:highlight w:val="none"/>
                    </w:rPr>
                  </w:pPr>
                  <w:r>
                    <w:rPr>
                      <w:color w:val="auto"/>
                      <w:sz w:val="22"/>
                      <w:szCs w:val="22"/>
                      <w:highlight w:val="none"/>
                    </w:rPr>
                    <w:t>③小型冲压生产线：位于生产车间西北部、迪斯油压生产线西侧，利用原有设备（包括冲床</w:t>
                  </w:r>
                  <w:r>
                    <w:rPr>
                      <w:rFonts w:hint="eastAsia"/>
                      <w:color w:val="auto"/>
                      <w:sz w:val="22"/>
                      <w:szCs w:val="22"/>
                      <w:highlight w:val="none"/>
                    </w:rPr>
                    <w:t>10</w:t>
                  </w:r>
                  <w:r>
                    <w:rPr>
                      <w:color w:val="auto"/>
                      <w:sz w:val="22"/>
                      <w:szCs w:val="22"/>
                      <w:highlight w:val="none"/>
                    </w:rPr>
                    <w:t>台）。</w:t>
                  </w:r>
                </w:p>
              </w:tc>
              <w:tc>
                <w:tcPr>
                  <w:tcW w:w="776" w:type="dxa"/>
                  <w:vAlign w:val="center"/>
                </w:tcPr>
                <w:p w14:paraId="28F00CFD">
                  <w:pPr>
                    <w:pStyle w:val="55"/>
                    <w:spacing w:line="240" w:lineRule="auto"/>
                    <w:rPr>
                      <w:rFonts w:ascii="Times New Roman" w:hAnsi="Times New Roman" w:eastAsiaTheme="minorEastAsia"/>
                      <w:color w:val="auto"/>
                      <w:sz w:val="22"/>
                      <w:szCs w:val="22"/>
                      <w:highlight w:val="none"/>
                    </w:rPr>
                  </w:pPr>
                  <w:r>
                    <w:rPr>
                      <w:rFonts w:ascii="Times New Roman" w:hAnsi="Times New Roman" w:eastAsiaTheme="minorEastAsia"/>
                      <w:color w:val="auto"/>
                      <w:sz w:val="22"/>
                      <w:szCs w:val="22"/>
                      <w:highlight w:val="none"/>
                    </w:rPr>
                    <w:t>利旧</w:t>
                  </w:r>
                </w:p>
              </w:tc>
            </w:tr>
            <w:tr w14:paraId="76300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5DF213C9">
                  <w:pPr>
                    <w:jc w:val="center"/>
                    <w:rPr>
                      <w:rFonts w:eastAsiaTheme="minorEastAsia"/>
                      <w:color w:val="auto"/>
                      <w:sz w:val="22"/>
                      <w:szCs w:val="22"/>
                      <w:highlight w:val="none"/>
                    </w:rPr>
                  </w:pPr>
                </w:p>
              </w:tc>
              <w:tc>
                <w:tcPr>
                  <w:tcW w:w="375" w:type="dxa"/>
                  <w:vMerge w:val="continue"/>
                  <w:vAlign w:val="center"/>
                </w:tcPr>
                <w:p w14:paraId="2C946F71">
                  <w:pPr>
                    <w:pStyle w:val="71"/>
                    <w:jc w:val="center"/>
                    <w:textAlignment w:val="center"/>
                    <w:rPr>
                      <w:rFonts w:eastAsiaTheme="minorEastAsia"/>
                      <w:color w:val="auto"/>
                      <w:sz w:val="22"/>
                      <w:szCs w:val="22"/>
                      <w:highlight w:val="none"/>
                    </w:rPr>
                  </w:pPr>
                </w:p>
              </w:tc>
              <w:tc>
                <w:tcPr>
                  <w:tcW w:w="815" w:type="dxa"/>
                  <w:vMerge w:val="restart"/>
                  <w:vAlign w:val="center"/>
                </w:tcPr>
                <w:p w14:paraId="690B6AB3">
                  <w:pPr>
                    <w:pStyle w:val="71"/>
                    <w:jc w:val="center"/>
                    <w:textAlignment w:val="center"/>
                    <w:rPr>
                      <w:color w:val="auto"/>
                      <w:sz w:val="22"/>
                      <w:szCs w:val="22"/>
                      <w:highlight w:val="none"/>
                    </w:rPr>
                  </w:pPr>
                  <w:r>
                    <w:rPr>
                      <w:color w:val="auto"/>
                      <w:sz w:val="22"/>
                      <w:szCs w:val="22"/>
                      <w:highlight w:val="none"/>
                    </w:rPr>
                    <w:t>焊接生产线</w:t>
                  </w:r>
                </w:p>
              </w:tc>
              <w:tc>
                <w:tcPr>
                  <w:tcW w:w="5850" w:type="dxa"/>
                  <w:vAlign w:val="center"/>
                </w:tcPr>
                <w:p w14:paraId="3A26485A">
                  <w:pPr>
                    <w:pStyle w:val="71"/>
                    <w:jc w:val="both"/>
                    <w:textAlignment w:val="center"/>
                    <w:rPr>
                      <w:color w:val="auto"/>
                      <w:sz w:val="22"/>
                      <w:szCs w:val="22"/>
                      <w:highlight w:val="none"/>
                    </w:rPr>
                  </w:pPr>
                  <w:r>
                    <w:rPr>
                      <w:rFonts w:hint="eastAsia"/>
                      <w:color w:val="auto"/>
                      <w:sz w:val="22"/>
                      <w:szCs w:val="22"/>
                      <w:highlight w:val="none"/>
                    </w:rPr>
                    <w:t>包括悬点焊区、弧焊区、X30P尾门焊接区、ME11焊接区、</w:t>
                  </w:r>
                  <w:bookmarkStart w:id="32" w:name="hmcheck_87430ddbfbe34063bfa12dab98c86633"/>
                  <w:r>
                    <w:rPr>
                      <w:rFonts w:hint="eastAsia"/>
                      <w:color w:val="auto"/>
                      <w:sz w:val="22"/>
                      <w:szCs w:val="22"/>
                      <w:highlight w:val="none"/>
                      <w:shd w:val="clear" w:fill="FFAFAA"/>
                    </w:rPr>
                    <w:t>滚边</w:t>
                  </w:r>
                  <w:bookmarkEnd w:id="32"/>
                  <w:r>
                    <w:rPr>
                      <w:rFonts w:hint="eastAsia"/>
                      <w:color w:val="auto"/>
                      <w:sz w:val="22"/>
                      <w:szCs w:val="22"/>
                      <w:highlight w:val="none"/>
                    </w:rPr>
                    <w:t>/打胶区</w:t>
                  </w:r>
                  <w:r>
                    <w:rPr>
                      <w:rFonts w:hint="eastAsia"/>
                      <w:color w:val="auto"/>
                      <w:sz w:val="22"/>
                      <w:szCs w:val="22"/>
                      <w:highlight w:val="none"/>
                      <w:lang w:eastAsia="zh-CN"/>
                    </w:rPr>
                    <w:t>。</w:t>
                  </w:r>
                  <w:r>
                    <w:rPr>
                      <w:color w:val="auto"/>
                      <w:sz w:val="22"/>
                      <w:szCs w:val="22"/>
                      <w:highlight w:val="none"/>
                    </w:rPr>
                    <w:t>淘汰原有的人工焊产线，新增焊接机器人、控制系统、自动化工装、自动生产线等设备形成自动化生产线。</w:t>
                  </w:r>
                </w:p>
              </w:tc>
              <w:tc>
                <w:tcPr>
                  <w:tcW w:w="776" w:type="dxa"/>
                  <w:vAlign w:val="center"/>
                </w:tcPr>
                <w:p w14:paraId="4EF9A188">
                  <w:pPr>
                    <w:pStyle w:val="55"/>
                    <w:spacing w:line="240" w:lineRule="auto"/>
                    <w:rPr>
                      <w:rFonts w:ascii="Times New Roman" w:hAnsi="Times New Roman" w:eastAsiaTheme="minorEastAsia"/>
                      <w:color w:val="auto"/>
                      <w:sz w:val="22"/>
                      <w:szCs w:val="22"/>
                      <w:highlight w:val="none"/>
                    </w:rPr>
                  </w:pPr>
                  <w:r>
                    <w:rPr>
                      <w:rFonts w:hint="eastAsia" w:ascii="Times New Roman" w:hAnsi="Times New Roman" w:eastAsiaTheme="minorEastAsia"/>
                      <w:color w:val="auto"/>
                      <w:sz w:val="22"/>
                      <w:szCs w:val="22"/>
                      <w:highlight w:val="none"/>
                      <w:lang w:eastAsia="zh-CN"/>
                    </w:rPr>
                    <w:t>淘汰</w:t>
                  </w:r>
                  <w:r>
                    <w:rPr>
                      <w:rFonts w:ascii="Times New Roman" w:hAnsi="Times New Roman" w:eastAsiaTheme="minorEastAsia"/>
                      <w:color w:val="auto"/>
                      <w:sz w:val="22"/>
                      <w:szCs w:val="22"/>
                      <w:highlight w:val="none"/>
                    </w:rPr>
                    <w:t>+新建</w:t>
                  </w:r>
                </w:p>
              </w:tc>
            </w:tr>
            <w:tr w14:paraId="67D9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4C21E118">
                  <w:pPr>
                    <w:jc w:val="center"/>
                    <w:rPr>
                      <w:rFonts w:eastAsiaTheme="minorEastAsia"/>
                      <w:color w:val="auto"/>
                      <w:sz w:val="22"/>
                      <w:szCs w:val="22"/>
                      <w:highlight w:val="none"/>
                    </w:rPr>
                  </w:pPr>
                </w:p>
              </w:tc>
              <w:tc>
                <w:tcPr>
                  <w:tcW w:w="375" w:type="dxa"/>
                  <w:vMerge w:val="continue"/>
                  <w:vAlign w:val="center"/>
                </w:tcPr>
                <w:p w14:paraId="33C80A50">
                  <w:pPr>
                    <w:pStyle w:val="71"/>
                    <w:jc w:val="center"/>
                    <w:textAlignment w:val="center"/>
                    <w:rPr>
                      <w:rFonts w:eastAsiaTheme="minorEastAsia"/>
                      <w:color w:val="auto"/>
                      <w:sz w:val="22"/>
                      <w:szCs w:val="22"/>
                      <w:highlight w:val="none"/>
                    </w:rPr>
                  </w:pPr>
                </w:p>
              </w:tc>
              <w:tc>
                <w:tcPr>
                  <w:tcW w:w="815" w:type="dxa"/>
                  <w:vMerge w:val="continue"/>
                  <w:vAlign w:val="center"/>
                </w:tcPr>
                <w:p w14:paraId="7FCCF2DF">
                  <w:pPr>
                    <w:pStyle w:val="71"/>
                    <w:jc w:val="center"/>
                    <w:textAlignment w:val="center"/>
                    <w:rPr>
                      <w:color w:val="auto"/>
                      <w:highlight w:val="none"/>
                    </w:rPr>
                  </w:pPr>
                </w:p>
              </w:tc>
              <w:tc>
                <w:tcPr>
                  <w:tcW w:w="5850" w:type="dxa"/>
                  <w:vAlign w:val="center"/>
                </w:tcPr>
                <w:p w14:paraId="1615371E">
                  <w:pPr>
                    <w:pStyle w:val="71"/>
                    <w:jc w:val="both"/>
                    <w:textAlignment w:val="center"/>
                    <w:rPr>
                      <w:color w:val="auto"/>
                      <w:sz w:val="22"/>
                      <w:szCs w:val="22"/>
                      <w:highlight w:val="none"/>
                    </w:rPr>
                  </w:pPr>
                  <w:r>
                    <w:rPr>
                      <w:color w:val="auto"/>
                      <w:sz w:val="22"/>
                      <w:szCs w:val="22"/>
                      <w:highlight w:val="none"/>
                    </w:rPr>
                    <w:t>①悬点焊区位于生产车间西侧，占地面积约192m</w:t>
                  </w:r>
                  <w:r>
                    <w:rPr>
                      <w:color w:val="auto"/>
                      <w:sz w:val="22"/>
                      <w:szCs w:val="22"/>
                      <w:highlight w:val="none"/>
                      <w:vertAlign w:val="superscript"/>
                    </w:rPr>
                    <w:t>2</w:t>
                  </w:r>
                  <w:r>
                    <w:rPr>
                      <w:color w:val="auto"/>
                      <w:sz w:val="22"/>
                      <w:szCs w:val="22"/>
                      <w:highlight w:val="none"/>
                    </w:rPr>
                    <w:t>，设置点焊机器人2台。</w:t>
                  </w:r>
                </w:p>
              </w:tc>
              <w:tc>
                <w:tcPr>
                  <w:tcW w:w="776" w:type="dxa"/>
                  <w:vMerge w:val="restart"/>
                  <w:vAlign w:val="center"/>
                </w:tcPr>
                <w:p w14:paraId="39AB970E">
                  <w:pPr>
                    <w:pStyle w:val="55"/>
                    <w:spacing w:line="240" w:lineRule="auto"/>
                    <w:rPr>
                      <w:rFonts w:ascii="Times New Roman" w:hAnsi="Times New Roman" w:eastAsiaTheme="minorEastAsia"/>
                      <w:color w:val="auto"/>
                      <w:sz w:val="22"/>
                      <w:szCs w:val="22"/>
                      <w:highlight w:val="none"/>
                    </w:rPr>
                  </w:pPr>
                  <w:r>
                    <w:rPr>
                      <w:rFonts w:ascii="Times New Roman" w:hAnsi="Times New Roman" w:eastAsiaTheme="minorEastAsia"/>
                      <w:color w:val="auto"/>
                      <w:sz w:val="22"/>
                      <w:szCs w:val="22"/>
                      <w:highlight w:val="none"/>
                    </w:rPr>
                    <w:t>淘汰+新建</w:t>
                  </w:r>
                </w:p>
              </w:tc>
            </w:tr>
            <w:tr w14:paraId="6E8C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1AC0BDDE">
                  <w:pPr>
                    <w:jc w:val="center"/>
                    <w:rPr>
                      <w:rFonts w:eastAsiaTheme="minorEastAsia"/>
                      <w:color w:val="auto"/>
                      <w:sz w:val="22"/>
                      <w:szCs w:val="22"/>
                      <w:highlight w:val="none"/>
                    </w:rPr>
                  </w:pPr>
                </w:p>
              </w:tc>
              <w:tc>
                <w:tcPr>
                  <w:tcW w:w="375" w:type="dxa"/>
                  <w:vMerge w:val="continue"/>
                  <w:vAlign w:val="center"/>
                </w:tcPr>
                <w:p w14:paraId="722F0579">
                  <w:pPr>
                    <w:pStyle w:val="71"/>
                    <w:jc w:val="center"/>
                    <w:textAlignment w:val="center"/>
                    <w:rPr>
                      <w:rFonts w:eastAsiaTheme="minorEastAsia"/>
                      <w:color w:val="auto"/>
                      <w:sz w:val="22"/>
                      <w:szCs w:val="22"/>
                      <w:highlight w:val="none"/>
                    </w:rPr>
                  </w:pPr>
                </w:p>
              </w:tc>
              <w:tc>
                <w:tcPr>
                  <w:tcW w:w="815" w:type="dxa"/>
                  <w:vMerge w:val="continue"/>
                  <w:vAlign w:val="center"/>
                </w:tcPr>
                <w:p w14:paraId="35A1EB5F">
                  <w:pPr>
                    <w:pStyle w:val="71"/>
                    <w:jc w:val="center"/>
                    <w:textAlignment w:val="center"/>
                    <w:rPr>
                      <w:color w:val="auto"/>
                      <w:highlight w:val="none"/>
                    </w:rPr>
                  </w:pPr>
                </w:p>
              </w:tc>
              <w:tc>
                <w:tcPr>
                  <w:tcW w:w="5850" w:type="dxa"/>
                  <w:vAlign w:val="center"/>
                </w:tcPr>
                <w:p w14:paraId="69BB838B">
                  <w:pPr>
                    <w:pStyle w:val="71"/>
                    <w:jc w:val="both"/>
                    <w:textAlignment w:val="center"/>
                    <w:rPr>
                      <w:color w:val="auto"/>
                      <w:sz w:val="22"/>
                      <w:szCs w:val="22"/>
                      <w:highlight w:val="none"/>
                    </w:rPr>
                  </w:pPr>
                  <w:r>
                    <w:rPr>
                      <w:color w:val="auto"/>
                      <w:sz w:val="22"/>
                      <w:szCs w:val="22"/>
                      <w:highlight w:val="none"/>
                    </w:rPr>
                    <w:t>②弧焊区</w:t>
                  </w:r>
                  <w:r>
                    <w:rPr>
                      <w:rFonts w:hint="eastAsia"/>
                      <w:color w:val="auto"/>
                      <w:sz w:val="22"/>
                      <w:szCs w:val="22"/>
                      <w:highlight w:val="none"/>
                      <w:lang w:eastAsia="zh-CN"/>
                    </w:rPr>
                    <w:t>位于</w:t>
                  </w:r>
                  <w:r>
                    <w:rPr>
                      <w:color w:val="auto"/>
                      <w:sz w:val="22"/>
                      <w:szCs w:val="22"/>
                      <w:highlight w:val="none"/>
                    </w:rPr>
                    <w:t>生产车间西侧，悬</w:t>
                  </w:r>
                  <w:bookmarkStart w:id="33" w:name="hmcheck_7570ab2957494bd2bfa48d9c9eab4145"/>
                  <w:r>
                    <w:rPr>
                      <w:color w:val="auto"/>
                      <w:sz w:val="22"/>
                      <w:szCs w:val="22"/>
                      <w:highlight w:val="none"/>
                      <w:shd w:val="clear" w:fill="FFAFAA"/>
                    </w:rPr>
                    <w:t>点焊</w:t>
                  </w:r>
                  <w:bookmarkEnd w:id="33"/>
                  <w:r>
                    <w:rPr>
                      <w:color w:val="auto"/>
                      <w:sz w:val="22"/>
                      <w:szCs w:val="22"/>
                      <w:highlight w:val="none"/>
                    </w:rPr>
                    <w:t>区东侧，占地面积约382m</w:t>
                  </w:r>
                  <w:r>
                    <w:rPr>
                      <w:color w:val="auto"/>
                      <w:sz w:val="22"/>
                      <w:szCs w:val="22"/>
                      <w:highlight w:val="none"/>
                      <w:vertAlign w:val="superscript"/>
                    </w:rPr>
                    <w:t>2</w:t>
                  </w:r>
                  <w:r>
                    <w:rPr>
                      <w:color w:val="auto"/>
                      <w:sz w:val="22"/>
                      <w:szCs w:val="22"/>
                      <w:highlight w:val="none"/>
                    </w:rPr>
                    <w:t>，设置</w:t>
                  </w:r>
                  <w:r>
                    <w:rPr>
                      <w:rFonts w:hint="eastAsia"/>
                      <w:color w:val="auto"/>
                      <w:sz w:val="22"/>
                      <w:szCs w:val="22"/>
                      <w:highlight w:val="none"/>
                    </w:rPr>
                    <w:t>封闭式弧焊间</w:t>
                  </w:r>
                  <w:r>
                    <w:rPr>
                      <w:color w:val="auto"/>
                      <w:sz w:val="22"/>
                      <w:szCs w:val="22"/>
                      <w:highlight w:val="none"/>
                    </w:rPr>
                    <w:t>2个，</w:t>
                  </w:r>
                  <w:r>
                    <w:rPr>
                      <w:rFonts w:hint="eastAsia"/>
                      <w:color w:val="auto"/>
                      <w:sz w:val="22"/>
                      <w:szCs w:val="22"/>
                      <w:highlight w:val="none"/>
                    </w:rPr>
                    <w:t>设弧焊机器人3台</w:t>
                  </w:r>
                  <w:r>
                    <w:rPr>
                      <w:color w:val="auto"/>
                      <w:sz w:val="22"/>
                      <w:szCs w:val="22"/>
                      <w:highlight w:val="none"/>
                    </w:rPr>
                    <w:t>。</w:t>
                  </w:r>
                </w:p>
              </w:tc>
              <w:tc>
                <w:tcPr>
                  <w:tcW w:w="776" w:type="dxa"/>
                  <w:vMerge w:val="continue"/>
                  <w:vAlign w:val="center"/>
                </w:tcPr>
                <w:p w14:paraId="7FA36EFB">
                  <w:pPr>
                    <w:pStyle w:val="55"/>
                    <w:spacing w:line="240" w:lineRule="auto"/>
                    <w:rPr>
                      <w:rFonts w:ascii="Times New Roman" w:hAnsi="Times New Roman" w:eastAsiaTheme="minorEastAsia"/>
                      <w:color w:val="auto"/>
                      <w:sz w:val="22"/>
                      <w:szCs w:val="22"/>
                      <w:highlight w:val="none"/>
                    </w:rPr>
                  </w:pPr>
                </w:p>
              </w:tc>
            </w:tr>
            <w:tr w14:paraId="3BC3A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45FE9384">
                  <w:pPr>
                    <w:jc w:val="center"/>
                    <w:rPr>
                      <w:rFonts w:eastAsiaTheme="minorEastAsia"/>
                      <w:color w:val="auto"/>
                      <w:sz w:val="22"/>
                      <w:szCs w:val="22"/>
                      <w:highlight w:val="none"/>
                    </w:rPr>
                  </w:pPr>
                </w:p>
              </w:tc>
              <w:tc>
                <w:tcPr>
                  <w:tcW w:w="375" w:type="dxa"/>
                  <w:vMerge w:val="continue"/>
                  <w:vAlign w:val="center"/>
                </w:tcPr>
                <w:p w14:paraId="10F6B378">
                  <w:pPr>
                    <w:pStyle w:val="71"/>
                    <w:jc w:val="center"/>
                    <w:textAlignment w:val="center"/>
                    <w:rPr>
                      <w:rFonts w:eastAsiaTheme="minorEastAsia"/>
                      <w:color w:val="auto"/>
                      <w:sz w:val="22"/>
                      <w:szCs w:val="22"/>
                      <w:highlight w:val="none"/>
                    </w:rPr>
                  </w:pPr>
                </w:p>
              </w:tc>
              <w:tc>
                <w:tcPr>
                  <w:tcW w:w="815" w:type="dxa"/>
                  <w:vMerge w:val="continue"/>
                  <w:vAlign w:val="center"/>
                </w:tcPr>
                <w:p w14:paraId="36F967C2">
                  <w:pPr>
                    <w:pStyle w:val="71"/>
                    <w:jc w:val="center"/>
                    <w:textAlignment w:val="center"/>
                    <w:rPr>
                      <w:color w:val="auto"/>
                      <w:sz w:val="22"/>
                      <w:szCs w:val="22"/>
                      <w:highlight w:val="none"/>
                    </w:rPr>
                  </w:pPr>
                </w:p>
              </w:tc>
              <w:tc>
                <w:tcPr>
                  <w:tcW w:w="5850" w:type="dxa"/>
                  <w:vAlign w:val="center"/>
                </w:tcPr>
                <w:p w14:paraId="5D48B027">
                  <w:pPr>
                    <w:pStyle w:val="71"/>
                    <w:jc w:val="both"/>
                    <w:textAlignment w:val="center"/>
                    <w:rPr>
                      <w:color w:val="auto"/>
                      <w:sz w:val="22"/>
                      <w:szCs w:val="22"/>
                      <w:highlight w:val="none"/>
                    </w:rPr>
                  </w:pPr>
                  <w:r>
                    <w:rPr>
                      <w:color w:val="auto"/>
                      <w:sz w:val="22"/>
                      <w:szCs w:val="22"/>
                      <w:highlight w:val="none"/>
                    </w:rPr>
                    <w:t>③X30P尾门焊接区、ME11焊接区：位于生产车间中偏东部，占地面积约1740m</w:t>
                  </w:r>
                  <w:r>
                    <w:rPr>
                      <w:color w:val="auto"/>
                      <w:sz w:val="22"/>
                      <w:szCs w:val="22"/>
                      <w:highlight w:val="none"/>
                      <w:vertAlign w:val="superscript"/>
                    </w:rPr>
                    <w:t>2</w:t>
                  </w:r>
                  <w:r>
                    <w:rPr>
                      <w:color w:val="auto"/>
                      <w:sz w:val="22"/>
                      <w:szCs w:val="22"/>
                      <w:highlight w:val="none"/>
                    </w:rPr>
                    <w:t>，设置点焊机器人</w:t>
                  </w:r>
                  <w:r>
                    <w:rPr>
                      <w:rFonts w:hint="eastAsia"/>
                      <w:color w:val="auto"/>
                      <w:sz w:val="22"/>
                      <w:szCs w:val="22"/>
                      <w:highlight w:val="none"/>
                    </w:rPr>
                    <w:t>4</w:t>
                  </w:r>
                  <w:r>
                    <w:rPr>
                      <w:color w:val="auto"/>
                      <w:sz w:val="22"/>
                      <w:szCs w:val="22"/>
                      <w:highlight w:val="none"/>
                    </w:rPr>
                    <w:t>台。</w:t>
                  </w:r>
                </w:p>
              </w:tc>
              <w:tc>
                <w:tcPr>
                  <w:tcW w:w="776" w:type="dxa"/>
                  <w:vMerge w:val="continue"/>
                  <w:vAlign w:val="center"/>
                </w:tcPr>
                <w:p w14:paraId="27FAEEE9">
                  <w:pPr>
                    <w:pStyle w:val="55"/>
                    <w:spacing w:line="240" w:lineRule="auto"/>
                    <w:rPr>
                      <w:rFonts w:ascii="Times New Roman" w:hAnsi="Times New Roman" w:eastAsiaTheme="minorEastAsia"/>
                      <w:color w:val="auto"/>
                      <w:sz w:val="22"/>
                      <w:szCs w:val="22"/>
                      <w:highlight w:val="none"/>
                    </w:rPr>
                  </w:pPr>
                </w:p>
              </w:tc>
            </w:tr>
            <w:tr w14:paraId="5F79F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3DB23C92">
                  <w:pPr>
                    <w:jc w:val="center"/>
                    <w:rPr>
                      <w:rFonts w:eastAsiaTheme="minorEastAsia"/>
                      <w:color w:val="auto"/>
                      <w:sz w:val="22"/>
                      <w:szCs w:val="22"/>
                      <w:highlight w:val="none"/>
                    </w:rPr>
                  </w:pPr>
                </w:p>
              </w:tc>
              <w:tc>
                <w:tcPr>
                  <w:tcW w:w="375" w:type="dxa"/>
                  <w:vMerge w:val="continue"/>
                  <w:vAlign w:val="center"/>
                </w:tcPr>
                <w:p w14:paraId="6E8CDA2B">
                  <w:pPr>
                    <w:pStyle w:val="71"/>
                    <w:jc w:val="center"/>
                    <w:textAlignment w:val="center"/>
                    <w:rPr>
                      <w:rFonts w:eastAsiaTheme="minorEastAsia"/>
                      <w:color w:val="auto"/>
                      <w:sz w:val="22"/>
                      <w:szCs w:val="22"/>
                      <w:highlight w:val="none"/>
                    </w:rPr>
                  </w:pPr>
                </w:p>
              </w:tc>
              <w:tc>
                <w:tcPr>
                  <w:tcW w:w="815" w:type="dxa"/>
                  <w:vMerge w:val="continue"/>
                  <w:vAlign w:val="center"/>
                </w:tcPr>
                <w:p w14:paraId="270B5D4D">
                  <w:pPr>
                    <w:pStyle w:val="71"/>
                    <w:jc w:val="center"/>
                    <w:textAlignment w:val="center"/>
                    <w:rPr>
                      <w:color w:val="auto"/>
                      <w:sz w:val="22"/>
                      <w:szCs w:val="22"/>
                      <w:highlight w:val="none"/>
                    </w:rPr>
                  </w:pPr>
                </w:p>
              </w:tc>
              <w:tc>
                <w:tcPr>
                  <w:tcW w:w="5850" w:type="dxa"/>
                  <w:vAlign w:val="center"/>
                </w:tcPr>
                <w:p w14:paraId="47A7D33E">
                  <w:pPr>
                    <w:pStyle w:val="71"/>
                    <w:jc w:val="both"/>
                    <w:textAlignment w:val="center"/>
                    <w:rPr>
                      <w:color w:val="auto"/>
                      <w:sz w:val="22"/>
                      <w:szCs w:val="22"/>
                      <w:highlight w:val="none"/>
                    </w:rPr>
                  </w:pPr>
                  <w:r>
                    <w:rPr>
                      <w:color w:val="auto"/>
                      <w:sz w:val="22"/>
                      <w:szCs w:val="22"/>
                      <w:highlight w:val="none"/>
                    </w:rPr>
                    <w:t>④</w:t>
                  </w:r>
                  <w:bookmarkStart w:id="34" w:name="hmcheck_79688efdf3bb420790585667407b0dbd"/>
                  <w:r>
                    <w:rPr>
                      <w:color w:val="auto"/>
                      <w:sz w:val="22"/>
                      <w:szCs w:val="22"/>
                      <w:highlight w:val="none"/>
                      <w:shd w:val="clear" w:fill="FFAFAA"/>
                    </w:rPr>
                    <w:t>滚边</w:t>
                  </w:r>
                  <w:bookmarkEnd w:id="34"/>
                  <w:r>
                    <w:rPr>
                      <w:color w:val="auto"/>
                      <w:sz w:val="22"/>
                      <w:szCs w:val="22"/>
                      <w:highlight w:val="none"/>
                    </w:rPr>
                    <w:t>/打胶区：位于生产车间中偏东南部，占地面积约640m</w:t>
                  </w:r>
                  <w:r>
                    <w:rPr>
                      <w:color w:val="auto"/>
                      <w:sz w:val="22"/>
                      <w:szCs w:val="22"/>
                      <w:highlight w:val="none"/>
                      <w:vertAlign w:val="superscript"/>
                    </w:rPr>
                    <w:t>2</w:t>
                  </w:r>
                  <w:r>
                    <w:rPr>
                      <w:color w:val="auto"/>
                      <w:sz w:val="22"/>
                      <w:szCs w:val="22"/>
                      <w:highlight w:val="none"/>
                    </w:rPr>
                    <w:t>。设置</w:t>
                  </w:r>
                  <w:bookmarkStart w:id="35" w:name="hmcheck_89ebd7ec428242b0a8ff2c090e7dd28f"/>
                  <w:r>
                    <w:rPr>
                      <w:color w:val="auto"/>
                      <w:sz w:val="22"/>
                      <w:szCs w:val="22"/>
                      <w:highlight w:val="none"/>
                      <w:shd w:val="clear" w:fill="FFAFAA"/>
                    </w:rPr>
                    <w:t>滚边</w:t>
                  </w:r>
                  <w:bookmarkEnd w:id="35"/>
                  <w:r>
                    <w:rPr>
                      <w:color w:val="auto"/>
                      <w:sz w:val="22"/>
                      <w:szCs w:val="22"/>
                      <w:highlight w:val="none"/>
                    </w:rPr>
                    <w:t>打胶机器人2台，用于ME11发盖侧围前门外摆门总成包边</w:t>
                  </w:r>
                  <w:r>
                    <w:rPr>
                      <w:rFonts w:hint="eastAsia"/>
                      <w:color w:val="auto"/>
                      <w:sz w:val="22"/>
                      <w:szCs w:val="22"/>
                      <w:highlight w:val="none"/>
                    </w:rPr>
                    <w:t>打胶</w:t>
                  </w:r>
                  <w:r>
                    <w:rPr>
                      <w:color w:val="auto"/>
                      <w:sz w:val="22"/>
                      <w:szCs w:val="22"/>
                      <w:highlight w:val="none"/>
                    </w:rPr>
                    <w:t>。</w:t>
                  </w:r>
                </w:p>
              </w:tc>
              <w:tc>
                <w:tcPr>
                  <w:tcW w:w="776" w:type="dxa"/>
                  <w:vAlign w:val="center"/>
                </w:tcPr>
                <w:p w14:paraId="559AFA8D">
                  <w:pPr>
                    <w:pStyle w:val="55"/>
                    <w:spacing w:line="240" w:lineRule="auto"/>
                    <w:rPr>
                      <w:rFonts w:ascii="Times New Roman" w:hAnsi="Times New Roman" w:eastAsiaTheme="minorEastAsia"/>
                      <w:color w:val="auto"/>
                      <w:sz w:val="22"/>
                      <w:szCs w:val="22"/>
                      <w:highlight w:val="none"/>
                    </w:rPr>
                  </w:pPr>
                  <w:r>
                    <w:rPr>
                      <w:rFonts w:hint="eastAsia" w:ascii="Times New Roman" w:hAnsi="Times New Roman" w:eastAsiaTheme="minorEastAsia"/>
                      <w:color w:val="auto"/>
                      <w:sz w:val="22"/>
                      <w:szCs w:val="22"/>
                      <w:highlight w:val="none"/>
                    </w:rPr>
                    <w:t>新建</w:t>
                  </w:r>
                </w:p>
              </w:tc>
            </w:tr>
            <w:tr w14:paraId="3544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6D5FDFDB">
                  <w:pPr>
                    <w:jc w:val="center"/>
                    <w:rPr>
                      <w:rFonts w:eastAsiaTheme="minorEastAsia"/>
                      <w:color w:val="auto"/>
                      <w:sz w:val="22"/>
                      <w:szCs w:val="22"/>
                      <w:highlight w:val="none"/>
                    </w:rPr>
                  </w:pPr>
                </w:p>
              </w:tc>
              <w:tc>
                <w:tcPr>
                  <w:tcW w:w="375" w:type="dxa"/>
                  <w:vMerge w:val="continue"/>
                  <w:vAlign w:val="center"/>
                </w:tcPr>
                <w:p w14:paraId="3D6C5A4C">
                  <w:pPr>
                    <w:pStyle w:val="71"/>
                    <w:jc w:val="center"/>
                    <w:textAlignment w:val="center"/>
                    <w:rPr>
                      <w:rFonts w:eastAsiaTheme="minorEastAsia"/>
                      <w:color w:val="auto"/>
                      <w:sz w:val="22"/>
                      <w:szCs w:val="22"/>
                      <w:highlight w:val="none"/>
                    </w:rPr>
                  </w:pPr>
                </w:p>
              </w:tc>
              <w:tc>
                <w:tcPr>
                  <w:tcW w:w="815" w:type="dxa"/>
                  <w:vAlign w:val="center"/>
                </w:tcPr>
                <w:p w14:paraId="3456A2F8">
                  <w:pPr>
                    <w:pStyle w:val="71"/>
                    <w:jc w:val="center"/>
                    <w:textAlignment w:val="center"/>
                    <w:rPr>
                      <w:rFonts w:hint="eastAsia" w:eastAsia="宋体"/>
                      <w:color w:val="auto"/>
                      <w:sz w:val="22"/>
                      <w:szCs w:val="22"/>
                      <w:highlight w:val="none"/>
                      <w:lang w:eastAsia="zh-CN"/>
                    </w:rPr>
                  </w:pPr>
                  <w:r>
                    <w:rPr>
                      <w:rFonts w:hint="eastAsia"/>
                      <w:color w:val="auto"/>
                      <w:sz w:val="22"/>
                      <w:szCs w:val="22"/>
                      <w:highlight w:val="none"/>
                      <w:lang w:eastAsia="zh-CN"/>
                    </w:rPr>
                    <w:t>不合格产品挽救系统</w:t>
                  </w:r>
                </w:p>
              </w:tc>
              <w:tc>
                <w:tcPr>
                  <w:tcW w:w="5850" w:type="dxa"/>
                  <w:vAlign w:val="center"/>
                </w:tcPr>
                <w:p w14:paraId="05DC2C23">
                  <w:pPr>
                    <w:pStyle w:val="71"/>
                    <w:jc w:val="both"/>
                    <w:textAlignment w:val="center"/>
                    <w:rPr>
                      <w:color w:val="auto"/>
                      <w:sz w:val="22"/>
                      <w:szCs w:val="22"/>
                      <w:highlight w:val="none"/>
                    </w:rPr>
                  </w:pPr>
                  <w:r>
                    <w:rPr>
                      <w:rFonts w:hint="eastAsia"/>
                      <w:color w:val="auto"/>
                      <w:sz w:val="22"/>
                      <w:szCs w:val="22"/>
                      <w:highlight w:val="none"/>
                    </w:rPr>
                    <w:t>共配有移动式二保弧焊机8台、便携式打磨机4台（利用原有设备），用于少量不合格产品</w:t>
                  </w:r>
                  <w:r>
                    <w:rPr>
                      <w:rFonts w:hint="eastAsia"/>
                      <w:color w:val="auto"/>
                      <w:sz w:val="22"/>
                      <w:szCs w:val="22"/>
                      <w:highlight w:val="none"/>
                      <w:lang w:eastAsia="zh-CN"/>
                    </w:rPr>
                    <w:t>的</w:t>
                  </w:r>
                  <w:r>
                    <w:rPr>
                      <w:rFonts w:hint="eastAsia"/>
                      <w:color w:val="auto"/>
                      <w:sz w:val="22"/>
                      <w:szCs w:val="22"/>
                      <w:highlight w:val="none"/>
                    </w:rPr>
                    <w:t>补焊、打磨</w:t>
                  </w:r>
                  <w:r>
                    <w:rPr>
                      <w:rFonts w:hint="eastAsia"/>
                      <w:color w:val="auto"/>
                      <w:sz w:val="22"/>
                      <w:szCs w:val="22"/>
                      <w:highlight w:val="none"/>
                      <w:lang w:eastAsia="zh-CN"/>
                    </w:rPr>
                    <w:t>，工位不固定</w:t>
                  </w:r>
                  <w:r>
                    <w:rPr>
                      <w:rFonts w:hint="eastAsia"/>
                      <w:color w:val="auto"/>
                      <w:sz w:val="22"/>
                      <w:szCs w:val="22"/>
                      <w:highlight w:val="none"/>
                    </w:rPr>
                    <w:t>。</w:t>
                  </w:r>
                </w:p>
              </w:tc>
              <w:tc>
                <w:tcPr>
                  <w:tcW w:w="776" w:type="dxa"/>
                  <w:vAlign w:val="center"/>
                </w:tcPr>
                <w:p w14:paraId="10BDF285">
                  <w:pPr>
                    <w:pStyle w:val="55"/>
                    <w:spacing w:line="240" w:lineRule="auto"/>
                    <w:rPr>
                      <w:rFonts w:hint="eastAsia" w:ascii="Times New Roman" w:hAnsi="Times New Roman" w:eastAsiaTheme="minorEastAsia"/>
                      <w:color w:val="auto"/>
                      <w:sz w:val="22"/>
                      <w:szCs w:val="22"/>
                      <w:highlight w:val="none"/>
                      <w:lang w:eastAsia="zh-CN"/>
                    </w:rPr>
                  </w:pPr>
                  <w:r>
                    <w:rPr>
                      <w:rFonts w:hint="eastAsia" w:ascii="Times New Roman" w:hAnsi="Times New Roman" w:eastAsiaTheme="minorEastAsia"/>
                      <w:color w:val="auto"/>
                      <w:sz w:val="22"/>
                      <w:szCs w:val="22"/>
                      <w:highlight w:val="none"/>
                      <w:lang w:eastAsia="zh-CN"/>
                    </w:rPr>
                    <w:t>利旧</w:t>
                  </w:r>
                </w:p>
              </w:tc>
            </w:tr>
            <w:tr w14:paraId="613C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2DEFC2A5">
                  <w:pPr>
                    <w:jc w:val="center"/>
                    <w:rPr>
                      <w:rFonts w:eastAsiaTheme="minorEastAsia"/>
                      <w:color w:val="auto"/>
                      <w:sz w:val="22"/>
                      <w:szCs w:val="22"/>
                      <w:highlight w:val="none"/>
                    </w:rPr>
                  </w:pPr>
                </w:p>
              </w:tc>
              <w:tc>
                <w:tcPr>
                  <w:tcW w:w="375" w:type="dxa"/>
                  <w:vMerge w:val="continue"/>
                  <w:vAlign w:val="center"/>
                </w:tcPr>
                <w:p w14:paraId="3872B225">
                  <w:pPr>
                    <w:pStyle w:val="71"/>
                    <w:jc w:val="center"/>
                    <w:textAlignment w:val="center"/>
                    <w:rPr>
                      <w:color w:val="auto"/>
                      <w:sz w:val="22"/>
                      <w:szCs w:val="22"/>
                      <w:highlight w:val="none"/>
                    </w:rPr>
                  </w:pPr>
                </w:p>
              </w:tc>
              <w:tc>
                <w:tcPr>
                  <w:tcW w:w="815" w:type="dxa"/>
                  <w:vAlign w:val="center"/>
                </w:tcPr>
                <w:p w14:paraId="5DD9BA0A">
                  <w:pPr>
                    <w:pStyle w:val="71"/>
                    <w:jc w:val="center"/>
                    <w:textAlignment w:val="center"/>
                    <w:rPr>
                      <w:color w:val="auto"/>
                      <w:sz w:val="22"/>
                      <w:szCs w:val="22"/>
                      <w:highlight w:val="none"/>
                    </w:rPr>
                  </w:pPr>
                  <w:r>
                    <w:rPr>
                      <w:color w:val="auto"/>
                      <w:sz w:val="22"/>
                      <w:szCs w:val="22"/>
                      <w:highlight w:val="none"/>
                    </w:rPr>
                    <w:t>废金属传输及压块打包系统</w:t>
                  </w:r>
                </w:p>
              </w:tc>
              <w:tc>
                <w:tcPr>
                  <w:tcW w:w="5850" w:type="dxa"/>
                  <w:vAlign w:val="center"/>
                </w:tcPr>
                <w:p w14:paraId="66FD7EBE">
                  <w:pPr>
                    <w:pStyle w:val="71"/>
                    <w:jc w:val="both"/>
                    <w:textAlignment w:val="center"/>
                    <w:rPr>
                      <w:color w:val="auto"/>
                      <w:sz w:val="22"/>
                      <w:szCs w:val="22"/>
                      <w:highlight w:val="none"/>
                    </w:rPr>
                  </w:pPr>
                  <w:r>
                    <w:rPr>
                      <w:color w:val="auto"/>
                      <w:sz w:val="22"/>
                      <w:szCs w:val="22"/>
                      <w:highlight w:val="none"/>
                    </w:rPr>
                    <w:t>废金属传输及压块打包系统由废金属回收口、底部传输装置以及终端压块设备3部分组成。各自动生产线设备底部均设置有废金属回收口，产生的废金属料由回收口掉落入厂房底部传输装置，通过传输皮带运送至终端压块设备，压块设备位于厂房外北侧，废金属料压块打包后暂存于一般固废暂存间定期外售处理。</w:t>
                  </w:r>
                </w:p>
              </w:tc>
              <w:tc>
                <w:tcPr>
                  <w:tcW w:w="776" w:type="dxa"/>
                  <w:vAlign w:val="center"/>
                </w:tcPr>
                <w:p w14:paraId="3155E810">
                  <w:pPr>
                    <w:pStyle w:val="55"/>
                    <w:spacing w:line="240" w:lineRule="auto"/>
                    <w:rPr>
                      <w:rFonts w:ascii="Times New Roman" w:hAnsi="Times New Roman" w:eastAsiaTheme="minorEastAsia"/>
                      <w:color w:val="auto"/>
                      <w:sz w:val="22"/>
                      <w:szCs w:val="22"/>
                      <w:highlight w:val="none"/>
                    </w:rPr>
                  </w:pPr>
                  <w:r>
                    <w:rPr>
                      <w:rFonts w:ascii="Times New Roman" w:hAnsi="Times New Roman" w:eastAsiaTheme="minorEastAsia"/>
                      <w:color w:val="auto"/>
                      <w:sz w:val="22"/>
                      <w:szCs w:val="22"/>
                      <w:highlight w:val="none"/>
                    </w:rPr>
                    <w:t>新建</w:t>
                  </w:r>
                </w:p>
              </w:tc>
            </w:tr>
            <w:tr w14:paraId="5C43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1C8FD56B">
                  <w:pPr>
                    <w:jc w:val="center"/>
                    <w:rPr>
                      <w:rFonts w:eastAsiaTheme="minorEastAsia"/>
                      <w:color w:val="auto"/>
                      <w:sz w:val="22"/>
                      <w:szCs w:val="22"/>
                      <w:highlight w:val="none"/>
                    </w:rPr>
                  </w:pPr>
                </w:p>
              </w:tc>
              <w:tc>
                <w:tcPr>
                  <w:tcW w:w="375" w:type="dxa"/>
                  <w:vMerge w:val="continue"/>
                  <w:vAlign w:val="center"/>
                </w:tcPr>
                <w:p w14:paraId="562AF56F">
                  <w:pPr>
                    <w:pStyle w:val="71"/>
                    <w:jc w:val="center"/>
                    <w:textAlignment w:val="center"/>
                    <w:rPr>
                      <w:color w:val="auto"/>
                      <w:sz w:val="22"/>
                      <w:szCs w:val="22"/>
                      <w:highlight w:val="none"/>
                    </w:rPr>
                  </w:pPr>
                </w:p>
              </w:tc>
              <w:tc>
                <w:tcPr>
                  <w:tcW w:w="815" w:type="dxa"/>
                  <w:vAlign w:val="center"/>
                </w:tcPr>
                <w:p w14:paraId="44A890B3">
                  <w:pPr>
                    <w:pStyle w:val="71"/>
                    <w:jc w:val="center"/>
                    <w:textAlignment w:val="center"/>
                    <w:rPr>
                      <w:color w:val="auto"/>
                      <w:sz w:val="22"/>
                      <w:szCs w:val="22"/>
                      <w:highlight w:val="none"/>
                    </w:rPr>
                  </w:pPr>
                  <w:r>
                    <w:rPr>
                      <w:color w:val="auto"/>
                      <w:sz w:val="22"/>
                      <w:szCs w:val="22"/>
                      <w:highlight w:val="none"/>
                    </w:rPr>
                    <w:t>检验区</w:t>
                  </w:r>
                </w:p>
              </w:tc>
              <w:tc>
                <w:tcPr>
                  <w:tcW w:w="5850" w:type="dxa"/>
                  <w:vAlign w:val="center"/>
                </w:tcPr>
                <w:p w14:paraId="23ADD488">
                  <w:pPr>
                    <w:pStyle w:val="71"/>
                    <w:jc w:val="both"/>
                    <w:textAlignment w:val="center"/>
                    <w:rPr>
                      <w:color w:val="auto"/>
                      <w:sz w:val="22"/>
                      <w:szCs w:val="22"/>
                      <w:highlight w:val="none"/>
                    </w:rPr>
                  </w:pPr>
                  <w:r>
                    <w:rPr>
                      <w:color w:val="auto"/>
                      <w:sz w:val="22"/>
                      <w:szCs w:val="22"/>
                      <w:highlight w:val="none"/>
                    </w:rPr>
                    <w:t>位于生产厂房内中部偏北侧，占地面积约68m</w:t>
                  </w:r>
                  <w:r>
                    <w:rPr>
                      <w:color w:val="auto"/>
                      <w:sz w:val="22"/>
                      <w:szCs w:val="22"/>
                      <w:highlight w:val="none"/>
                      <w:vertAlign w:val="superscript"/>
                    </w:rPr>
                    <w:t>2</w:t>
                  </w:r>
                  <w:r>
                    <w:rPr>
                      <w:color w:val="auto"/>
                      <w:sz w:val="22"/>
                      <w:szCs w:val="22"/>
                      <w:highlight w:val="none"/>
                    </w:rPr>
                    <w:t>，用于产品检验工序</w:t>
                  </w:r>
                  <w:r>
                    <w:rPr>
                      <w:rFonts w:hint="eastAsia"/>
                      <w:color w:val="auto"/>
                      <w:sz w:val="22"/>
                      <w:szCs w:val="22"/>
                      <w:highlight w:val="none"/>
                      <w:lang w:eastAsia="zh-CN"/>
                    </w:rPr>
                    <w:t>，人工查看工件外观</w:t>
                  </w:r>
                  <w:r>
                    <w:rPr>
                      <w:color w:val="auto"/>
                      <w:sz w:val="22"/>
                      <w:szCs w:val="22"/>
                      <w:highlight w:val="none"/>
                    </w:rPr>
                    <w:t>。</w:t>
                  </w:r>
                </w:p>
              </w:tc>
              <w:tc>
                <w:tcPr>
                  <w:tcW w:w="776" w:type="dxa"/>
                  <w:vAlign w:val="center"/>
                </w:tcPr>
                <w:p w14:paraId="18D3FFB4">
                  <w:pPr>
                    <w:pStyle w:val="55"/>
                    <w:spacing w:line="240" w:lineRule="auto"/>
                    <w:rPr>
                      <w:rFonts w:ascii="Times New Roman" w:hAnsi="Times New Roman" w:eastAsiaTheme="minorEastAsia"/>
                      <w:color w:val="auto"/>
                      <w:sz w:val="22"/>
                      <w:szCs w:val="22"/>
                      <w:highlight w:val="none"/>
                    </w:rPr>
                  </w:pPr>
                  <w:r>
                    <w:rPr>
                      <w:rFonts w:ascii="Times New Roman" w:hAnsi="Times New Roman" w:eastAsiaTheme="minorEastAsia"/>
                      <w:color w:val="auto"/>
                      <w:sz w:val="22"/>
                      <w:szCs w:val="22"/>
                      <w:highlight w:val="none"/>
                    </w:rPr>
                    <w:t>功能调整</w:t>
                  </w:r>
                </w:p>
              </w:tc>
            </w:tr>
            <w:tr w14:paraId="6120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restart"/>
                  <w:vAlign w:val="center"/>
                </w:tcPr>
                <w:p w14:paraId="47A7B4CE">
                  <w:pPr>
                    <w:jc w:val="center"/>
                    <w:rPr>
                      <w:rFonts w:eastAsiaTheme="minorEastAsia"/>
                      <w:color w:val="auto"/>
                      <w:sz w:val="22"/>
                      <w:szCs w:val="22"/>
                      <w:highlight w:val="none"/>
                    </w:rPr>
                  </w:pPr>
                  <w:r>
                    <w:rPr>
                      <w:rFonts w:eastAsiaTheme="minorEastAsia"/>
                      <w:color w:val="auto"/>
                      <w:sz w:val="22"/>
                      <w:szCs w:val="22"/>
                      <w:highlight w:val="none"/>
                    </w:rPr>
                    <w:t>辅助工程</w:t>
                  </w:r>
                </w:p>
              </w:tc>
              <w:tc>
                <w:tcPr>
                  <w:tcW w:w="1190" w:type="dxa"/>
                  <w:gridSpan w:val="2"/>
                  <w:vAlign w:val="center"/>
                </w:tcPr>
                <w:p w14:paraId="131A61F8">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办公楼</w:t>
                  </w:r>
                </w:p>
              </w:tc>
              <w:tc>
                <w:tcPr>
                  <w:tcW w:w="5850" w:type="dxa"/>
                  <w:vAlign w:val="center"/>
                </w:tcPr>
                <w:p w14:paraId="43259C4B">
                  <w:pPr>
                    <w:pStyle w:val="55"/>
                    <w:spacing w:line="240" w:lineRule="auto"/>
                    <w:jc w:val="both"/>
                    <w:rPr>
                      <w:rFonts w:ascii="Times New Roman" w:hAnsi="Times New Roman" w:eastAsiaTheme="minorEastAsia"/>
                      <w:color w:val="auto"/>
                      <w:sz w:val="22"/>
                      <w:szCs w:val="22"/>
                      <w:highlight w:val="none"/>
                    </w:rPr>
                  </w:pPr>
                  <w:r>
                    <w:rPr>
                      <w:rFonts w:ascii="Times New Roman" w:hAnsi="Times New Roman" w:eastAsiaTheme="minorEastAsia"/>
                      <w:color w:val="auto"/>
                      <w:sz w:val="22"/>
                      <w:szCs w:val="22"/>
                      <w:highlight w:val="none"/>
                    </w:rPr>
                    <w:t>位于</w:t>
                  </w:r>
                  <w:r>
                    <w:rPr>
                      <w:rFonts w:hint="eastAsia" w:ascii="Times New Roman" w:hAnsi="Times New Roman" w:eastAsiaTheme="minorEastAsia"/>
                      <w:color w:val="auto"/>
                      <w:sz w:val="22"/>
                      <w:szCs w:val="22"/>
                      <w:highlight w:val="none"/>
                    </w:rPr>
                    <w:t>厂区南边，</w:t>
                  </w:r>
                  <w:r>
                    <w:rPr>
                      <w:rFonts w:ascii="Times New Roman" w:hAnsi="Times New Roman" w:eastAsiaTheme="minorEastAsia"/>
                      <w:color w:val="auto"/>
                      <w:sz w:val="22"/>
                      <w:szCs w:val="22"/>
                      <w:highlight w:val="none"/>
                    </w:rPr>
                    <w:t>生产厂房外南侧</w:t>
                  </w:r>
                  <w:r>
                    <w:rPr>
                      <w:rFonts w:hint="eastAsia" w:ascii="Times New Roman" w:hAnsi="Times New Roman" w:eastAsiaTheme="minorEastAsia"/>
                      <w:color w:val="auto"/>
                      <w:sz w:val="22"/>
                      <w:szCs w:val="22"/>
                      <w:highlight w:val="none"/>
                    </w:rPr>
                    <w:t>（紧邻）</w:t>
                  </w:r>
                  <w:r>
                    <w:rPr>
                      <w:rFonts w:ascii="Times New Roman" w:hAnsi="Times New Roman" w:eastAsiaTheme="minorEastAsia"/>
                      <w:color w:val="auto"/>
                      <w:sz w:val="22"/>
                      <w:szCs w:val="22"/>
                      <w:highlight w:val="none"/>
                    </w:rPr>
                    <w:t>，共3F，建筑面积</w:t>
                  </w:r>
                  <w:r>
                    <w:rPr>
                      <w:rFonts w:hint="eastAsia" w:ascii="Times New Roman" w:hAnsi="Times New Roman" w:eastAsiaTheme="minorEastAsia"/>
                      <w:color w:val="auto"/>
                      <w:sz w:val="22"/>
                      <w:szCs w:val="22"/>
                      <w:highlight w:val="none"/>
                    </w:rPr>
                    <w:t>3604.43</w:t>
                  </w:r>
                  <w:r>
                    <w:rPr>
                      <w:rFonts w:ascii="Times New Roman" w:hAnsi="Times New Roman" w:eastAsiaTheme="minorEastAsia"/>
                      <w:color w:val="auto"/>
                      <w:sz w:val="22"/>
                      <w:szCs w:val="22"/>
                      <w:highlight w:val="none"/>
                    </w:rPr>
                    <w:t>m</w:t>
                  </w:r>
                  <w:r>
                    <w:rPr>
                      <w:rFonts w:ascii="Times New Roman" w:hAnsi="Times New Roman" w:eastAsiaTheme="minorEastAsia"/>
                      <w:color w:val="auto"/>
                      <w:sz w:val="22"/>
                      <w:szCs w:val="22"/>
                      <w:highlight w:val="none"/>
                      <w:vertAlign w:val="superscript"/>
                    </w:rPr>
                    <w:t>2</w:t>
                  </w:r>
                  <w:r>
                    <w:rPr>
                      <w:rFonts w:ascii="Times New Roman" w:hAnsi="Times New Roman" w:eastAsiaTheme="minorEastAsia"/>
                      <w:color w:val="auto"/>
                      <w:sz w:val="22"/>
                      <w:szCs w:val="22"/>
                      <w:highlight w:val="none"/>
                    </w:rPr>
                    <w:t>，采用钢筋混凝土框架结构，用于行政办公</w:t>
                  </w:r>
                  <w:r>
                    <w:rPr>
                      <w:rFonts w:hint="eastAsia" w:ascii="Times New Roman" w:hAnsi="Times New Roman" w:eastAsiaTheme="minorEastAsia"/>
                      <w:color w:val="auto"/>
                      <w:sz w:val="22"/>
                      <w:szCs w:val="22"/>
                      <w:highlight w:val="none"/>
                    </w:rPr>
                    <w:t>和管理用房</w:t>
                  </w:r>
                  <w:r>
                    <w:rPr>
                      <w:rFonts w:ascii="Times New Roman" w:hAnsi="Times New Roman" w:eastAsiaTheme="minorEastAsia"/>
                      <w:color w:val="auto"/>
                      <w:sz w:val="22"/>
                      <w:szCs w:val="22"/>
                      <w:highlight w:val="none"/>
                    </w:rPr>
                    <w:t>。</w:t>
                  </w:r>
                </w:p>
              </w:tc>
              <w:tc>
                <w:tcPr>
                  <w:tcW w:w="776" w:type="dxa"/>
                  <w:vAlign w:val="center"/>
                </w:tcPr>
                <w:p w14:paraId="5F8986D4">
                  <w:pPr>
                    <w:pStyle w:val="55"/>
                    <w:spacing w:line="240" w:lineRule="auto"/>
                    <w:rPr>
                      <w:rFonts w:ascii="Times New Roman" w:hAnsi="Times New Roman" w:eastAsiaTheme="minorEastAsia"/>
                      <w:color w:val="auto"/>
                      <w:sz w:val="22"/>
                      <w:szCs w:val="22"/>
                      <w:highlight w:val="none"/>
                    </w:rPr>
                  </w:pPr>
                  <w:r>
                    <w:rPr>
                      <w:rFonts w:hint="eastAsia" w:ascii="Times New Roman" w:hAnsi="Times New Roman" w:eastAsiaTheme="minorEastAsia"/>
                      <w:color w:val="auto"/>
                      <w:sz w:val="22"/>
                      <w:szCs w:val="22"/>
                      <w:highlight w:val="none"/>
                    </w:rPr>
                    <w:t>利旧</w:t>
                  </w:r>
                </w:p>
              </w:tc>
            </w:tr>
            <w:tr w14:paraId="273A8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4C316F04">
                  <w:pPr>
                    <w:jc w:val="center"/>
                    <w:rPr>
                      <w:rFonts w:eastAsiaTheme="minorEastAsia"/>
                      <w:color w:val="auto"/>
                      <w:sz w:val="22"/>
                      <w:szCs w:val="22"/>
                      <w:highlight w:val="none"/>
                    </w:rPr>
                  </w:pPr>
                </w:p>
              </w:tc>
              <w:tc>
                <w:tcPr>
                  <w:tcW w:w="1190" w:type="dxa"/>
                  <w:gridSpan w:val="2"/>
                  <w:vAlign w:val="center"/>
                </w:tcPr>
                <w:p w14:paraId="2476CB9A">
                  <w:pPr>
                    <w:pStyle w:val="71"/>
                    <w:jc w:val="center"/>
                    <w:textAlignment w:val="center"/>
                    <w:rPr>
                      <w:rFonts w:eastAsiaTheme="minorEastAsia"/>
                      <w:color w:val="auto"/>
                      <w:sz w:val="22"/>
                      <w:szCs w:val="22"/>
                      <w:highlight w:val="none"/>
                    </w:rPr>
                  </w:pPr>
                  <w:r>
                    <w:rPr>
                      <w:rFonts w:hint="eastAsia" w:eastAsiaTheme="minorEastAsia"/>
                      <w:color w:val="auto"/>
                      <w:sz w:val="22"/>
                      <w:szCs w:val="22"/>
                      <w:highlight w:val="none"/>
                    </w:rPr>
                    <w:t>门卫室</w:t>
                  </w:r>
                </w:p>
              </w:tc>
              <w:tc>
                <w:tcPr>
                  <w:tcW w:w="5850" w:type="dxa"/>
                  <w:vAlign w:val="center"/>
                </w:tcPr>
                <w:p w14:paraId="27B88BDC">
                  <w:pPr>
                    <w:pStyle w:val="55"/>
                    <w:spacing w:line="240" w:lineRule="auto"/>
                    <w:jc w:val="both"/>
                    <w:rPr>
                      <w:rFonts w:ascii="Times New Roman" w:hAnsi="Times New Roman" w:eastAsiaTheme="minorEastAsia"/>
                      <w:color w:val="auto"/>
                      <w:sz w:val="22"/>
                      <w:szCs w:val="22"/>
                      <w:highlight w:val="none"/>
                    </w:rPr>
                  </w:pPr>
                  <w:r>
                    <w:rPr>
                      <w:rFonts w:hint="eastAsia" w:ascii="Times New Roman" w:hAnsi="Times New Roman" w:eastAsiaTheme="minorEastAsia"/>
                      <w:color w:val="auto"/>
                      <w:sz w:val="22"/>
                      <w:szCs w:val="22"/>
                      <w:highlight w:val="none"/>
                      <w:lang w:val="en-US" w:eastAsia="zh-CN"/>
                    </w:rPr>
                    <w:t>2处，分别</w:t>
                  </w:r>
                  <w:r>
                    <w:rPr>
                      <w:rFonts w:hint="eastAsia" w:ascii="Times New Roman" w:hAnsi="Times New Roman" w:eastAsiaTheme="minorEastAsia"/>
                      <w:color w:val="auto"/>
                      <w:sz w:val="22"/>
                      <w:szCs w:val="22"/>
                      <w:highlight w:val="none"/>
                    </w:rPr>
                    <w:t>位于厂区</w:t>
                  </w:r>
                  <w:r>
                    <w:rPr>
                      <w:rFonts w:hint="eastAsia" w:ascii="Times New Roman" w:hAnsi="Times New Roman" w:eastAsiaTheme="minorEastAsia"/>
                      <w:color w:val="auto"/>
                      <w:sz w:val="22"/>
                      <w:szCs w:val="22"/>
                      <w:highlight w:val="none"/>
                      <w:lang w:eastAsia="zh-CN"/>
                    </w:rPr>
                    <w:t>西北、</w:t>
                  </w:r>
                  <w:r>
                    <w:rPr>
                      <w:rFonts w:hint="eastAsia" w:ascii="Times New Roman" w:hAnsi="Times New Roman" w:eastAsiaTheme="minorEastAsia"/>
                      <w:color w:val="auto"/>
                      <w:sz w:val="22"/>
                      <w:szCs w:val="22"/>
                      <w:highlight w:val="none"/>
                    </w:rPr>
                    <w:t>东南边，占地面积32.4m</w:t>
                  </w:r>
                  <w:r>
                    <w:rPr>
                      <w:rFonts w:hint="eastAsia" w:ascii="Times New Roman" w:hAnsi="Times New Roman" w:eastAsiaTheme="minorEastAsia"/>
                      <w:color w:val="auto"/>
                      <w:sz w:val="22"/>
                      <w:szCs w:val="22"/>
                      <w:highlight w:val="none"/>
                      <w:vertAlign w:val="superscript"/>
                    </w:rPr>
                    <w:t>2</w:t>
                  </w:r>
                  <w:r>
                    <w:rPr>
                      <w:rFonts w:hint="eastAsia" w:ascii="Times New Roman" w:hAnsi="Times New Roman" w:eastAsiaTheme="minorEastAsia"/>
                      <w:color w:val="auto"/>
                      <w:sz w:val="22"/>
                      <w:szCs w:val="22"/>
                      <w:highlight w:val="none"/>
                    </w:rPr>
                    <w:t>。</w:t>
                  </w:r>
                </w:p>
              </w:tc>
              <w:tc>
                <w:tcPr>
                  <w:tcW w:w="776" w:type="dxa"/>
                  <w:vAlign w:val="center"/>
                </w:tcPr>
                <w:p w14:paraId="4138D99B">
                  <w:pPr>
                    <w:pStyle w:val="55"/>
                    <w:spacing w:line="240" w:lineRule="auto"/>
                    <w:rPr>
                      <w:rFonts w:ascii="Times New Roman" w:hAnsi="Times New Roman" w:eastAsiaTheme="minorEastAsia"/>
                      <w:color w:val="auto"/>
                      <w:sz w:val="22"/>
                      <w:szCs w:val="22"/>
                      <w:highlight w:val="none"/>
                    </w:rPr>
                  </w:pPr>
                  <w:r>
                    <w:rPr>
                      <w:rFonts w:hint="eastAsia" w:ascii="Times New Roman" w:hAnsi="Times New Roman" w:eastAsiaTheme="minorEastAsia"/>
                      <w:color w:val="auto"/>
                      <w:sz w:val="22"/>
                      <w:szCs w:val="22"/>
                      <w:highlight w:val="none"/>
                    </w:rPr>
                    <w:t>利旧</w:t>
                  </w:r>
                </w:p>
              </w:tc>
            </w:tr>
            <w:tr w14:paraId="5726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54135909">
                  <w:pPr>
                    <w:jc w:val="center"/>
                    <w:rPr>
                      <w:rFonts w:eastAsiaTheme="minorEastAsia"/>
                      <w:color w:val="auto"/>
                      <w:sz w:val="22"/>
                      <w:szCs w:val="22"/>
                      <w:highlight w:val="none"/>
                    </w:rPr>
                  </w:pPr>
                </w:p>
              </w:tc>
              <w:tc>
                <w:tcPr>
                  <w:tcW w:w="1190" w:type="dxa"/>
                  <w:gridSpan w:val="2"/>
                  <w:vAlign w:val="center"/>
                </w:tcPr>
                <w:p w14:paraId="46B6F4AF">
                  <w:pPr>
                    <w:pStyle w:val="71"/>
                    <w:jc w:val="center"/>
                    <w:textAlignment w:val="center"/>
                    <w:rPr>
                      <w:rFonts w:eastAsiaTheme="minorEastAsia"/>
                      <w:color w:val="auto"/>
                      <w:sz w:val="22"/>
                      <w:szCs w:val="22"/>
                      <w:highlight w:val="none"/>
                    </w:rPr>
                  </w:pPr>
                  <w:r>
                    <w:rPr>
                      <w:rFonts w:hint="eastAsia" w:eastAsiaTheme="minorEastAsia"/>
                      <w:color w:val="auto"/>
                      <w:sz w:val="22"/>
                      <w:szCs w:val="22"/>
                      <w:highlight w:val="none"/>
                    </w:rPr>
                    <w:t>道路、物流场地</w:t>
                  </w:r>
                </w:p>
              </w:tc>
              <w:tc>
                <w:tcPr>
                  <w:tcW w:w="5850" w:type="dxa"/>
                  <w:vAlign w:val="center"/>
                </w:tcPr>
                <w:p w14:paraId="5F4A746C">
                  <w:pPr>
                    <w:pStyle w:val="55"/>
                    <w:spacing w:line="240" w:lineRule="auto"/>
                    <w:jc w:val="both"/>
                    <w:rPr>
                      <w:rFonts w:ascii="Times New Roman" w:hAnsi="Times New Roman" w:eastAsiaTheme="minorEastAsia"/>
                      <w:color w:val="auto"/>
                      <w:sz w:val="22"/>
                      <w:szCs w:val="22"/>
                      <w:highlight w:val="none"/>
                    </w:rPr>
                  </w:pPr>
                  <w:r>
                    <w:rPr>
                      <w:rFonts w:hint="eastAsia" w:ascii="Times New Roman" w:hAnsi="Times New Roman" w:eastAsiaTheme="minorEastAsia"/>
                      <w:color w:val="auto"/>
                      <w:sz w:val="22"/>
                      <w:szCs w:val="22"/>
                      <w:highlight w:val="none"/>
                    </w:rPr>
                    <w:t>位于生产厂房外四周，用于装卸和运输货物。</w:t>
                  </w:r>
                </w:p>
              </w:tc>
              <w:tc>
                <w:tcPr>
                  <w:tcW w:w="776" w:type="dxa"/>
                  <w:vAlign w:val="center"/>
                </w:tcPr>
                <w:p w14:paraId="240FC4A3">
                  <w:pPr>
                    <w:pStyle w:val="55"/>
                    <w:spacing w:line="240" w:lineRule="auto"/>
                    <w:rPr>
                      <w:rFonts w:ascii="Times New Roman" w:hAnsi="Times New Roman" w:eastAsiaTheme="minorEastAsia"/>
                      <w:color w:val="auto"/>
                      <w:sz w:val="22"/>
                      <w:szCs w:val="22"/>
                      <w:highlight w:val="none"/>
                    </w:rPr>
                  </w:pPr>
                  <w:r>
                    <w:rPr>
                      <w:rFonts w:hint="eastAsia" w:ascii="Times New Roman" w:hAnsi="Times New Roman" w:eastAsiaTheme="minorEastAsia"/>
                      <w:color w:val="auto"/>
                      <w:sz w:val="22"/>
                      <w:szCs w:val="22"/>
                      <w:highlight w:val="none"/>
                    </w:rPr>
                    <w:t>利旧</w:t>
                  </w:r>
                </w:p>
              </w:tc>
            </w:tr>
            <w:tr w14:paraId="5664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1FD3A4FA">
                  <w:pPr>
                    <w:jc w:val="center"/>
                    <w:rPr>
                      <w:rFonts w:eastAsiaTheme="minorEastAsia"/>
                      <w:color w:val="auto"/>
                      <w:sz w:val="22"/>
                      <w:szCs w:val="22"/>
                      <w:highlight w:val="none"/>
                    </w:rPr>
                  </w:pPr>
                </w:p>
              </w:tc>
              <w:tc>
                <w:tcPr>
                  <w:tcW w:w="1190" w:type="dxa"/>
                  <w:gridSpan w:val="2"/>
                  <w:vAlign w:val="center"/>
                </w:tcPr>
                <w:p w14:paraId="72C902FE">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配电房</w:t>
                  </w:r>
                </w:p>
              </w:tc>
              <w:tc>
                <w:tcPr>
                  <w:tcW w:w="5850" w:type="dxa"/>
                  <w:vAlign w:val="center"/>
                </w:tcPr>
                <w:p w14:paraId="6AD10F6A">
                  <w:pPr>
                    <w:pStyle w:val="71"/>
                    <w:textAlignment w:val="center"/>
                    <w:rPr>
                      <w:rFonts w:eastAsiaTheme="minorEastAsia"/>
                      <w:color w:val="auto"/>
                      <w:sz w:val="22"/>
                      <w:szCs w:val="22"/>
                      <w:highlight w:val="none"/>
                    </w:rPr>
                  </w:pPr>
                  <w:r>
                    <w:rPr>
                      <w:rFonts w:eastAsiaTheme="minorEastAsia"/>
                      <w:color w:val="auto"/>
                      <w:sz w:val="22"/>
                      <w:szCs w:val="22"/>
                      <w:highlight w:val="none"/>
                    </w:rPr>
                    <w:t>位于生产厂房外西侧，为企业提供稳定电力，避免因电压不稳导致停产或设备损坏。</w:t>
                  </w:r>
                </w:p>
              </w:tc>
              <w:tc>
                <w:tcPr>
                  <w:tcW w:w="776" w:type="dxa"/>
                  <w:vAlign w:val="center"/>
                </w:tcPr>
                <w:p w14:paraId="35B938F3">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利旧</w:t>
                  </w:r>
                </w:p>
              </w:tc>
            </w:tr>
            <w:tr w14:paraId="4CEBD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258A15F1">
                  <w:pPr>
                    <w:jc w:val="center"/>
                    <w:rPr>
                      <w:rFonts w:eastAsiaTheme="minorEastAsia"/>
                      <w:color w:val="auto"/>
                      <w:sz w:val="22"/>
                      <w:szCs w:val="22"/>
                      <w:highlight w:val="none"/>
                    </w:rPr>
                  </w:pPr>
                </w:p>
              </w:tc>
              <w:tc>
                <w:tcPr>
                  <w:tcW w:w="1190" w:type="dxa"/>
                  <w:gridSpan w:val="2"/>
                  <w:vAlign w:val="center"/>
                </w:tcPr>
                <w:p w14:paraId="67CF79F8">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空压机房</w:t>
                  </w:r>
                </w:p>
              </w:tc>
              <w:tc>
                <w:tcPr>
                  <w:tcW w:w="5850" w:type="dxa"/>
                  <w:vAlign w:val="center"/>
                </w:tcPr>
                <w:p w14:paraId="71779783">
                  <w:pPr>
                    <w:pStyle w:val="71"/>
                    <w:textAlignment w:val="center"/>
                    <w:rPr>
                      <w:rFonts w:eastAsiaTheme="minorEastAsia"/>
                      <w:color w:val="auto"/>
                      <w:sz w:val="22"/>
                      <w:szCs w:val="22"/>
                      <w:highlight w:val="none"/>
                    </w:rPr>
                  </w:pPr>
                  <w:r>
                    <w:rPr>
                      <w:rFonts w:eastAsiaTheme="minorEastAsia"/>
                      <w:color w:val="auto"/>
                      <w:sz w:val="22"/>
                      <w:szCs w:val="22"/>
                      <w:highlight w:val="none"/>
                    </w:rPr>
                    <w:t>位于生产厂房外北侧，建筑面积约14m</w:t>
                  </w:r>
                  <w:r>
                    <w:rPr>
                      <w:rFonts w:eastAsiaTheme="minorEastAsia"/>
                      <w:color w:val="auto"/>
                      <w:sz w:val="22"/>
                      <w:szCs w:val="22"/>
                      <w:highlight w:val="none"/>
                      <w:vertAlign w:val="superscript"/>
                    </w:rPr>
                    <w:t>2</w:t>
                  </w:r>
                  <w:r>
                    <w:rPr>
                      <w:rFonts w:eastAsiaTheme="minorEastAsia"/>
                      <w:color w:val="auto"/>
                      <w:sz w:val="22"/>
                      <w:szCs w:val="22"/>
                      <w:highlight w:val="none"/>
                    </w:rPr>
                    <w:t>，布置1台螺杆式空压机，用于提供仪表用气。</w:t>
                  </w:r>
                </w:p>
              </w:tc>
              <w:tc>
                <w:tcPr>
                  <w:tcW w:w="776" w:type="dxa"/>
                  <w:vAlign w:val="center"/>
                </w:tcPr>
                <w:p w14:paraId="2B02E029">
                  <w:pPr>
                    <w:pStyle w:val="71"/>
                    <w:jc w:val="center"/>
                    <w:textAlignment w:val="center"/>
                    <w:rPr>
                      <w:rFonts w:eastAsiaTheme="minorEastAsia"/>
                      <w:color w:val="auto"/>
                      <w:sz w:val="22"/>
                      <w:szCs w:val="22"/>
                      <w:highlight w:val="none"/>
                    </w:rPr>
                  </w:pPr>
                  <w:r>
                    <w:rPr>
                      <w:rFonts w:hint="eastAsia" w:eastAsiaTheme="minorEastAsia"/>
                      <w:color w:val="auto"/>
                      <w:sz w:val="22"/>
                      <w:szCs w:val="22"/>
                      <w:highlight w:val="none"/>
                    </w:rPr>
                    <w:t>利旧</w:t>
                  </w:r>
                </w:p>
              </w:tc>
            </w:tr>
            <w:tr w14:paraId="35FC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5CB38E23">
                  <w:pPr>
                    <w:jc w:val="center"/>
                    <w:rPr>
                      <w:rFonts w:eastAsiaTheme="minorEastAsia"/>
                      <w:color w:val="auto"/>
                      <w:sz w:val="22"/>
                      <w:szCs w:val="22"/>
                      <w:highlight w:val="none"/>
                    </w:rPr>
                  </w:pPr>
                </w:p>
              </w:tc>
              <w:tc>
                <w:tcPr>
                  <w:tcW w:w="1190" w:type="dxa"/>
                  <w:gridSpan w:val="2"/>
                  <w:vAlign w:val="center"/>
                </w:tcPr>
                <w:p w14:paraId="780A6943">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冷却塔</w:t>
                  </w:r>
                </w:p>
              </w:tc>
              <w:tc>
                <w:tcPr>
                  <w:tcW w:w="5850" w:type="dxa"/>
                  <w:vAlign w:val="center"/>
                </w:tcPr>
                <w:p w14:paraId="06FE453C">
                  <w:pPr>
                    <w:pStyle w:val="71"/>
                    <w:textAlignment w:val="center"/>
                    <w:rPr>
                      <w:rFonts w:eastAsiaTheme="minorEastAsia"/>
                      <w:color w:val="auto"/>
                      <w:sz w:val="22"/>
                      <w:szCs w:val="22"/>
                      <w:highlight w:val="none"/>
                    </w:rPr>
                  </w:pPr>
                  <w:r>
                    <w:rPr>
                      <w:rFonts w:eastAsiaTheme="minorEastAsia"/>
                      <w:color w:val="auto"/>
                      <w:sz w:val="22"/>
                      <w:szCs w:val="22"/>
                      <w:highlight w:val="none"/>
                    </w:rPr>
                    <w:t>2座，分别在生产厂房外北侧、西侧各设置1座冷却塔，</w:t>
                  </w:r>
                  <w:r>
                    <w:rPr>
                      <w:rFonts w:hint="eastAsia" w:eastAsiaTheme="minorEastAsia"/>
                      <w:color w:val="auto"/>
                      <w:sz w:val="22"/>
                      <w:szCs w:val="22"/>
                      <w:highlight w:val="none"/>
                    </w:rPr>
                    <w:t>配套冷却水箱容积为35m³，</w:t>
                  </w:r>
                  <w:r>
                    <w:rPr>
                      <w:rFonts w:eastAsiaTheme="minorEastAsia"/>
                      <w:color w:val="auto"/>
                      <w:sz w:val="22"/>
                      <w:szCs w:val="22"/>
                      <w:highlight w:val="none"/>
                    </w:rPr>
                    <w:t>厂内设置水冷系统，为</w:t>
                  </w:r>
                  <w:r>
                    <w:rPr>
                      <w:rFonts w:hint="eastAsia" w:eastAsiaTheme="minorEastAsia"/>
                      <w:color w:val="auto"/>
                      <w:sz w:val="22"/>
                      <w:szCs w:val="22"/>
                      <w:highlight w:val="none"/>
                    </w:rPr>
                    <w:t>液压机</w:t>
                  </w:r>
                  <w:r>
                    <w:rPr>
                      <w:rFonts w:eastAsiaTheme="minorEastAsia"/>
                      <w:color w:val="auto"/>
                      <w:sz w:val="22"/>
                      <w:szCs w:val="22"/>
                      <w:highlight w:val="none"/>
                    </w:rPr>
                    <w:t>提供水冷降温。</w:t>
                  </w:r>
                </w:p>
              </w:tc>
              <w:tc>
                <w:tcPr>
                  <w:tcW w:w="776" w:type="dxa"/>
                  <w:vAlign w:val="center"/>
                </w:tcPr>
                <w:p w14:paraId="42AE663E">
                  <w:pPr>
                    <w:pStyle w:val="71"/>
                    <w:jc w:val="center"/>
                    <w:textAlignment w:val="center"/>
                    <w:rPr>
                      <w:rFonts w:eastAsiaTheme="minorEastAsia"/>
                      <w:color w:val="auto"/>
                      <w:sz w:val="22"/>
                      <w:szCs w:val="22"/>
                      <w:highlight w:val="none"/>
                    </w:rPr>
                  </w:pPr>
                  <w:r>
                    <w:rPr>
                      <w:rFonts w:eastAsiaTheme="minorEastAsia"/>
                      <w:color w:val="auto"/>
                      <w:highlight w:val="none"/>
                    </w:rPr>
                    <w:t>新建</w:t>
                  </w:r>
                </w:p>
              </w:tc>
            </w:tr>
            <w:tr w14:paraId="2874E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restart"/>
                  <w:vAlign w:val="center"/>
                </w:tcPr>
                <w:p w14:paraId="4F2D9C4F">
                  <w:pPr>
                    <w:jc w:val="center"/>
                    <w:rPr>
                      <w:rFonts w:eastAsiaTheme="minorEastAsia"/>
                      <w:color w:val="auto"/>
                      <w:sz w:val="22"/>
                      <w:szCs w:val="22"/>
                      <w:highlight w:val="none"/>
                    </w:rPr>
                  </w:pPr>
                  <w:r>
                    <w:rPr>
                      <w:rFonts w:eastAsiaTheme="minorEastAsia"/>
                      <w:color w:val="auto"/>
                      <w:sz w:val="22"/>
                      <w:szCs w:val="22"/>
                      <w:highlight w:val="none"/>
                    </w:rPr>
                    <w:t>储运工程</w:t>
                  </w:r>
                </w:p>
              </w:tc>
              <w:tc>
                <w:tcPr>
                  <w:tcW w:w="1190" w:type="dxa"/>
                  <w:gridSpan w:val="2"/>
                  <w:vAlign w:val="center"/>
                </w:tcPr>
                <w:p w14:paraId="28BBD6A8">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原料区</w:t>
                  </w:r>
                </w:p>
              </w:tc>
              <w:tc>
                <w:tcPr>
                  <w:tcW w:w="5850" w:type="dxa"/>
                  <w:vAlign w:val="center"/>
                </w:tcPr>
                <w:p w14:paraId="0AE0410F">
                  <w:pPr>
                    <w:pStyle w:val="55"/>
                    <w:spacing w:line="240" w:lineRule="auto"/>
                    <w:jc w:val="both"/>
                    <w:rPr>
                      <w:rFonts w:ascii="Times New Roman" w:hAnsi="Times New Roman" w:eastAsiaTheme="minorEastAsia"/>
                      <w:color w:val="auto"/>
                      <w:sz w:val="22"/>
                      <w:szCs w:val="22"/>
                      <w:highlight w:val="none"/>
                    </w:rPr>
                  </w:pPr>
                  <w:r>
                    <w:rPr>
                      <w:rFonts w:ascii="Times New Roman" w:hAnsi="Times New Roman" w:eastAsiaTheme="minorEastAsia"/>
                      <w:color w:val="auto"/>
                      <w:sz w:val="22"/>
                      <w:szCs w:val="22"/>
                      <w:highlight w:val="none"/>
                    </w:rPr>
                    <w:t>原料区位于生产厂房内西南侧</w:t>
                  </w:r>
                  <w:r>
                    <w:rPr>
                      <w:rFonts w:hint="eastAsia" w:ascii="Times New Roman" w:hAnsi="Times New Roman" w:eastAsiaTheme="minorEastAsia"/>
                      <w:color w:val="auto"/>
                      <w:sz w:val="22"/>
                      <w:szCs w:val="22"/>
                      <w:highlight w:val="none"/>
                    </w:rPr>
                    <w:t>卷料区、板料区</w:t>
                  </w:r>
                  <w:r>
                    <w:rPr>
                      <w:rFonts w:ascii="Times New Roman" w:hAnsi="Times New Roman" w:eastAsiaTheme="minorEastAsia"/>
                      <w:color w:val="auto"/>
                      <w:sz w:val="22"/>
                      <w:szCs w:val="22"/>
                      <w:highlight w:val="none"/>
                    </w:rPr>
                    <w:t>，占地面积约</w:t>
                  </w:r>
                  <w:r>
                    <w:rPr>
                      <w:rFonts w:hint="eastAsia" w:ascii="Times New Roman" w:hAnsi="Times New Roman" w:eastAsiaTheme="minorEastAsia"/>
                      <w:color w:val="auto"/>
                      <w:sz w:val="22"/>
                      <w:szCs w:val="22"/>
                      <w:highlight w:val="none"/>
                    </w:rPr>
                    <w:t>300</w:t>
                  </w:r>
                  <w:r>
                    <w:rPr>
                      <w:rFonts w:ascii="Times New Roman" w:hAnsi="Times New Roman" w:eastAsiaTheme="minorEastAsia"/>
                      <w:color w:val="auto"/>
                      <w:sz w:val="22"/>
                      <w:szCs w:val="22"/>
                      <w:highlight w:val="none"/>
                    </w:rPr>
                    <w:t>m</w:t>
                  </w:r>
                  <w:r>
                    <w:rPr>
                      <w:rFonts w:ascii="Times New Roman" w:hAnsi="Times New Roman" w:eastAsiaTheme="minorEastAsia"/>
                      <w:color w:val="auto"/>
                      <w:sz w:val="22"/>
                      <w:szCs w:val="22"/>
                      <w:highlight w:val="none"/>
                      <w:vertAlign w:val="superscript"/>
                    </w:rPr>
                    <w:t>2</w:t>
                  </w:r>
                  <w:r>
                    <w:rPr>
                      <w:rFonts w:ascii="Times New Roman" w:hAnsi="Times New Roman" w:eastAsiaTheme="minorEastAsia"/>
                      <w:color w:val="auto"/>
                      <w:sz w:val="22"/>
                      <w:szCs w:val="22"/>
                      <w:highlight w:val="none"/>
                    </w:rPr>
                    <w:t>，用于存放钢卷及钢板。</w:t>
                  </w:r>
                </w:p>
              </w:tc>
              <w:tc>
                <w:tcPr>
                  <w:tcW w:w="776" w:type="dxa"/>
                  <w:vAlign w:val="center"/>
                </w:tcPr>
                <w:p w14:paraId="7667D648">
                  <w:pPr>
                    <w:pStyle w:val="71"/>
                    <w:jc w:val="center"/>
                    <w:textAlignment w:val="center"/>
                    <w:rPr>
                      <w:rFonts w:eastAsiaTheme="minorEastAsia"/>
                      <w:color w:val="auto"/>
                      <w:sz w:val="22"/>
                      <w:szCs w:val="22"/>
                      <w:highlight w:val="none"/>
                    </w:rPr>
                  </w:pPr>
                  <w:r>
                    <w:rPr>
                      <w:rFonts w:hint="eastAsia" w:eastAsiaTheme="minorEastAsia"/>
                      <w:color w:val="auto"/>
                      <w:sz w:val="22"/>
                      <w:szCs w:val="22"/>
                      <w:highlight w:val="none"/>
                    </w:rPr>
                    <w:t>功能调整</w:t>
                  </w:r>
                </w:p>
              </w:tc>
            </w:tr>
            <w:tr w14:paraId="2FF3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16700CDC">
                  <w:pPr>
                    <w:jc w:val="center"/>
                    <w:rPr>
                      <w:rFonts w:eastAsiaTheme="minorEastAsia"/>
                      <w:color w:val="auto"/>
                      <w:sz w:val="22"/>
                      <w:szCs w:val="22"/>
                      <w:highlight w:val="none"/>
                    </w:rPr>
                  </w:pPr>
                </w:p>
              </w:tc>
              <w:tc>
                <w:tcPr>
                  <w:tcW w:w="1190" w:type="dxa"/>
                  <w:gridSpan w:val="2"/>
                  <w:vAlign w:val="center"/>
                </w:tcPr>
                <w:p w14:paraId="0560D480">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油料库</w:t>
                  </w:r>
                </w:p>
              </w:tc>
              <w:tc>
                <w:tcPr>
                  <w:tcW w:w="5850" w:type="dxa"/>
                  <w:vAlign w:val="center"/>
                </w:tcPr>
                <w:p w14:paraId="195AB1B8">
                  <w:pPr>
                    <w:pStyle w:val="55"/>
                    <w:spacing w:line="240" w:lineRule="auto"/>
                    <w:jc w:val="both"/>
                    <w:rPr>
                      <w:rFonts w:ascii="Times New Roman" w:hAnsi="Times New Roman" w:eastAsiaTheme="minorEastAsia"/>
                      <w:color w:val="auto"/>
                      <w:sz w:val="22"/>
                      <w:szCs w:val="22"/>
                      <w:highlight w:val="none"/>
                    </w:rPr>
                  </w:pPr>
                  <w:r>
                    <w:rPr>
                      <w:rFonts w:ascii="Times New Roman" w:hAnsi="Times New Roman" w:eastAsiaTheme="minorEastAsia"/>
                      <w:color w:val="auto"/>
                      <w:sz w:val="22"/>
                      <w:szCs w:val="22"/>
                      <w:highlight w:val="none"/>
                    </w:rPr>
                    <w:t>位于生产厂房外</w:t>
                  </w:r>
                  <w:r>
                    <w:rPr>
                      <w:rFonts w:hint="eastAsia" w:ascii="Times New Roman" w:hAnsi="Times New Roman" w:eastAsiaTheme="minorEastAsia"/>
                      <w:color w:val="auto"/>
                      <w:sz w:val="22"/>
                      <w:szCs w:val="22"/>
                      <w:highlight w:val="none"/>
                    </w:rPr>
                    <w:t>东北侧、</w:t>
                  </w:r>
                  <w:r>
                    <w:rPr>
                      <w:rFonts w:ascii="Times New Roman" w:hAnsi="Times New Roman" w:eastAsiaTheme="minorEastAsia"/>
                      <w:color w:val="auto"/>
                      <w:sz w:val="22"/>
                      <w:szCs w:val="22"/>
                      <w:highlight w:val="none"/>
                    </w:rPr>
                    <w:t>气库西侧，占地面积约</w:t>
                  </w:r>
                  <w:r>
                    <w:rPr>
                      <w:rFonts w:hint="eastAsia" w:ascii="Times New Roman" w:hAnsi="Times New Roman" w:eastAsiaTheme="minorEastAsia"/>
                      <w:color w:val="auto"/>
                      <w:sz w:val="22"/>
                      <w:szCs w:val="22"/>
                      <w:highlight w:val="none"/>
                    </w:rPr>
                    <w:t>18</w:t>
                  </w:r>
                  <w:r>
                    <w:rPr>
                      <w:rFonts w:ascii="Times New Roman" w:hAnsi="Times New Roman" w:eastAsiaTheme="minorEastAsia"/>
                      <w:color w:val="auto"/>
                      <w:sz w:val="22"/>
                      <w:szCs w:val="22"/>
                      <w:highlight w:val="none"/>
                    </w:rPr>
                    <w:t>m</w:t>
                  </w:r>
                  <w:r>
                    <w:rPr>
                      <w:rFonts w:ascii="Times New Roman" w:hAnsi="Times New Roman" w:eastAsiaTheme="minorEastAsia"/>
                      <w:color w:val="auto"/>
                      <w:sz w:val="22"/>
                      <w:szCs w:val="22"/>
                      <w:highlight w:val="none"/>
                      <w:vertAlign w:val="superscript"/>
                    </w:rPr>
                    <w:t>2</w:t>
                  </w:r>
                  <w:r>
                    <w:rPr>
                      <w:rFonts w:ascii="Times New Roman" w:hAnsi="Times New Roman" w:eastAsiaTheme="minorEastAsia"/>
                      <w:color w:val="auto"/>
                      <w:sz w:val="22"/>
                      <w:szCs w:val="22"/>
                      <w:highlight w:val="none"/>
                    </w:rPr>
                    <w:t>，用于存放液压油及润滑</w:t>
                  </w:r>
                  <w:r>
                    <w:rPr>
                      <w:rFonts w:hint="eastAsia" w:ascii="Times New Roman" w:hAnsi="Times New Roman" w:eastAsiaTheme="minorEastAsia"/>
                      <w:color w:val="auto"/>
                      <w:sz w:val="22"/>
                      <w:szCs w:val="22"/>
                      <w:highlight w:val="none"/>
                      <w:lang w:eastAsia="zh-CN"/>
                    </w:rPr>
                    <w:t>油</w:t>
                  </w:r>
                  <w:r>
                    <w:rPr>
                      <w:rFonts w:ascii="Times New Roman" w:hAnsi="Times New Roman" w:eastAsiaTheme="minorEastAsia"/>
                      <w:color w:val="auto"/>
                      <w:sz w:val="22"/>
                      <w:szCs w:val="22"/>
                      <w:highlight w:val="none"/>
                    </w:rPr>
                    <w:t>。</w:t>
                  </w:r>
                </w:p>
              </w:tc>
              <w:tc>
                <w:tcPr>
                  <w:tcW w:w="776" w:type="dxa"/>
                  <w:vAlign w:val="center"/>
                </w:tcPr>
                <w:p w14:paraId="53EFDE51">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改造</w:t>
                  </w:r>
                </w:p>
              </w:tc>
            </w:tr>
            <w:tr w14:paraId="1191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3CE39328">
                  <w:pPr>
                    <w:jc w:val="center"/>
                    <w:rPr>
                      <w:rFonts w:eastAsiaTheme="minorEastAsia"/>
                      <w:color w:val="auto"/>
                      <w:sz w:val="22"/>
                      <w:szCs w:val="22"/>
                      <w:highlight w:val="none"/>
                    </w:rPr>
                  </w:pPr>
                </w:p>
              </w:tc>
              <w:tc>
                <w:tcPr>
                  <w:tcW w:w="1190" w:type="dxa"/>
                  <w:gridSpan w:val="2"/>
                  <w:vAlign w:val="center"/>
                </w:tcPr>
                <w:p w14:paraId="40B3142C">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辅料</w:t>
                  </w:r>
                  <w:r>
                    <w:rPr>
                      <w:rFonts w:hint="eastAsia" w:eastAsiaTheme="minorEastAsia"/>
                      <w:color w:val="auto"/>
                      <w:sz w:val="22"/>
                      <w:szCs w:val="22"/>
                      <w:highlight w:val="none"/>
                    </w:rPr>
                    <w:t>库房</w:t>
                  </w:r>
                </w:p>
              </w:tc>
              <w:tc>
                <w:tcPr>
                  <w:tcW w:w="5850" w:type="dxa"/>
                  <w:vAlign w:val="center"/>
                </w:tcPr>
                <w:p w14:paraId="43EC9950">
                  <w:pPr>
                    <w:pStyle w:val="55"/>
                    <w:spacing w:line="240" w:lineRule="auto"/>
                    <w:jc w:val="both"/>
                    <w:rPr>
                      <w:rFonts w:ascii="Times New Roman" w:hAnsi="Times New Roman" w:eastAsiaTheme="minorEastAsia"/>
                      <w:color w:val="auto"/>
                      <w:sz w:val="22"/>
                      <w:szCs w:val="22"/>
                      <w:highlight w:val="none"/>
                    </w:rPr>
                  </w:pPr>
                  <w:r>
                    <w:rPr>
                      <w:rFonts w:ascii="Times New Roman" w:hAnsi="Times New Roman" w:eastAsiaTheme="minorEastAsia"/>
                      <w:color w:val="auto"/>
                      <w:sz w:val="22"/>
                      <w:szCs w:val="22"/>
                      <w:highlight w:val="none"/>
                    </w:rPr>
                    <w:t>生产厂房内，</w:t>
                  </w:r>
                  <w:r>
                    <w:rPr>
                      <w:rFonts w:hint="eastAsia" w:ascii="Times New Roman" w:hAnsi="Times New Roman" w:eastAsiaTheme="minorEastAsia"/>
                      <w:color w:val="auto"/>
                      <w:sz w:val="22"/>
                      <w:szCs w:val="22"/>
                      <w:highlight w:val="none"/>
                      <w:lang w:eastAsia="zh-CN"/>
                    </w:rPr>
                    <w:t>悬点焊区域</w:t>
                  </w:r>
                  <w:r>
                    <w:rPr>
                      <w:rFonts w:ascii="Times New Roman" w:hAnsi="Times New Roman" w:eastAsiaTheme="minorEastAsia"/>
                      <w:color w:val="auto"/>
                      <w:sz w:val="22"/>
                      <w:szCs w:val="22"/>
                      <w:highlight w:val="none"/>
                    </w:rPr>
                    <w:t>南侧，占地面积约</w:t>
                  </w:r>
                  <w:r>
                    <w:rPr>
                      <w:rFonts w:hint="eastAsia" w:ascii="Times New Roman" w:hAnsi="Times New Roman" w:eastAsiaTheme="minorEastAsia"/>
                      <w:color w:val="auto"/>
                      <w:sz w:val="22"/>
                      <w:szCs w:val="22"/>
                      <w:highlight w:val="none"/>
                    </w:rPr>
                    <w:t>35</w:t>
                  </w:r>
                  <w:r>
                    <w:rPr>
                      <w:rFonts w:ascii="Times New Roman" w:hAnsi="Times New Roman" w:eastAsiaTheme="minorEastAsia"/>
                      <w:color w:val="auto"/>
                      <w:sz w:val="22"/>
                      <w:szCs w:val="22"/>
                      <w:highlight w:val="none"/>
                    </w:rPr>
                    <w:t>m</w:t>
                  </w:r>
                  <w:r>
                    <w:rPr>
                      <w:rFonts w:ascii="Times New Roman" w:hAnsi="Times New Roman" w:eastAsiaTheme="minorEastAsia"/>
                      <w:color w:val="auto"/>
                      <w:sz w:val="22"/>
                      <w:szCs w:val="22"/>
                      <w:highlight w:val="none"/>
                      <w:vertAlign w:val="superscript"/>
                    </w:rPr>
                    <w:t>2</w:t>
                  </w:r>
                  <w:r>
                    <w:rPr>
                      <w:rFonts w:ascii="Times New Roman" w:hAnsi="Times New Roman" w:eastAsiaTheme="minorEastAsia"/>
                      <w:color w:val="auto"/>
                      <w:sz w:val="22"/>
                      <w:szCs w:val="22"/>
                      <w:highlight w:val="none"/>
                    </w:rPr>
                    <w:t>，分区存放焊材、折边胶等辅料。</w:t>
                  </w:r>
                </w:p>
              </w:tc>
              <w:tc>
                <w:tcPr>
                  <w:tcW w:w="776" w:type="dxa"/>
                  <w:vAlign w:val="center"/>
                </w:tcPr>
                <w:p w14:paraId="22DC238A">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功能调整</w:t>
                  </w:r>
                </w:p>
              </w:tc>
            </w:tr>
            <w:tr w14:paraId="2125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7110E144">
                  <w:pPr>
                    <w:jc w:val="center"/>
                    <w:rPr>
                      <w:rFonts w:eastAsiaTheme="minorEastAsia"/>
                      <w:color w:val="auto"/>
                      <w:sz w:val="22"/>
                      <w:szCs w:val="22"/>
                      <w:highlight w:val="none"/>
                    </w:rPr>
                  </w:pPr>
                </w:p>
              </w:tc>
              <w:tc>
                <w:tcPr>
                  <w:tcW w:w="1190" w:type="dxa"/>
                  <w:gridSpan w:val="2"/>
                  <w:vAlign w:val="center"/>
                </w:tcPr>
                <w:p w14:paraId="5D9D194B">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气库</w:t>
                  </w:r>
                </w:p>
              </w:tc>
              <w:tc>
                <w:tcPr>
                  <w:tcW w:w="5850" w:type="dxa"/>
                  <w:vAlign w:val="center"/>
                </w:tcPr>
                <w:p w14:paraId="468ED548">
                  <w:pPr>
                    <w:pStyle w:val="55"/>
                    <w:spacing w:line="240" w:lineRule="auto"/>
                    <w:jc w:val="both"/>
                    <w:rPr>
                      <w:rFonts w:ascii="Times New Roman" w:hAnsi="Times New Roman" w:eastAsiaTheme="minorEastAsia"/>
                      <w:color w:val="auto"/>
                      <w:sz w:val="22"/>
                      <w:szCs w:val="22"/>
                      <w:highlight w:val="none"/>
                    </w:rPr>
                  </w:pPr>
                  <w:r>
                    <w:rPr>
                      <w:rFonts w:ascii="Times New Roman" w:hAnsi="Times New Roman" w:eastAsiaTheme="minorEastAsia"/>
                      <w:color w:val="auto"/>
                      <w:sz w:val="22"/>
                      <w:szCs w:val="22"/>
                      <w:highlight w:val="none"/>
                    </w:rPr>
                    <w:t>位于厂房外东北侧，共1F，高3.5m，建筑面积约19.8m</w:t>
                  </w:r>
                  <w:r>
                    <w:rPr>
                      <w:rFonts w:ascii="Times New Roman" w:hAnsi="Times New Roman" w:eastAsiaTheme="minorEastAsia"/>
                      <w:color w:val="auto"/>
                      <w:sz w:val="22"/>
                      <w:szCs w:val="22"/>
                      <w:highlight w:val="none"/>
                      <w:vertAlign w:val="superscript"/>
                    </w:rPr>
                    <w:t>2</w:t>
                  </w:r>
                  <w:r>
                    <w:rPr>
                      <w:rFonts w:ascii="Times New Roman" w:hAnsi="Times New Roman" w:eastAsiaTheme="minorEastAsia"/>
                      <w:color w:val="auto"/>
                      <w:sz w:val="22"/>
                      <w:szCs w:val="22"/>
                      <w:highlight w:val="none"/>
                    </w:rPr>
                    <w:t>，采用彩钢结构，分区存放氧气、氩气、</w:t>
                  </w:r>
                  <w:r>
                    <w:rPr>
                      <w:rFonts w:hint="eastAsia" w:ascii="Times New Roman" w:hAnsi="Times New Roman" w:eastAsiaTheme="minorEastAsia"/>
                      <w:color w:val="auto"/>
                      <w:sz w:val="22"/>
                      <w:szCs w:val="22"/>
                      <w:highlight w:val="none"/>
                    </w:rPr>
                    <w:t>氮气、</w:t>
                  </w:r>
                  <w:r>
                    <w:rPr>
                      <w:rFonts w:ascii="Times New Roman" w:hAnsi="Times New Roman" w:eastAsiaTheme="minorEastAsia"/>
                      <w:color w:val="auto"/>
                      <w:sz w:val="22"/>
                      <w:szCs w:val="22"/>
                      <w:highlight w:val="none"/>
                    </w:rPr>
                    <w:t>二氧化碳、乙炔</w:t>
                  </w:r>
                  <w:r>
                    <w:rPr>
                      <w:rFonts w:hint="eastAsia"/>
                      <w:color w:val="auto"/>
                      <w:highlight w:val="none"/>
                      <w:lang w:eastAsia="zh-CN"/>
                    </w:rPr>
                    <w:t>，采用钢瓶盛装</w:t>
                  </w:r>
                  <w:r>
                    <w:rPr>
                      <w:rFonts w:ascii="Times New Roman" w:hAnsi="Times New Roman" w:eastAsiaTheme="minorEastAsia"/>
                      <w:color w:val="auto"/>
                      <w:sz w:val="22"/>
                      <w:szCs w:val="22"/>
                      <w:highlight w:val="none"/>
                    </w:rPr>
                    <w:t>。</w:t>
                  </w:r>
                </w:p>
              </w:tc>
              <w:tc>
                <w:tcPr>
                  <w:tcW w:w="776" w:type="dxa"/>
                  <w:vAlign w:val="center"/>
                </w:tcPr>
                <w:p w14:paraId="4AFFD697">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新建</w:t>
                  </w:r>
                </w:p>
              </w:tc>
            </w:tr>
            <w:tr w14:paraId="38B0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5DA1F825">
                  <w:pPr>
                    <w:jc w:val="center"/>
                    <w:rPr>
                      <w:rFonts w:eastAsiaTheme="minorEastAsia"/>
                      <w:color w:val="auto"/>
                      <w:sz w:val="22"/>
                      <w:szCs w:val="22"/>
                      <w:highlight w:val="none"/>
                    </w:rPr>
                  </w:pPr>
                </w:p>
              </w:tc>
              <w:tc>
                <w:tcPr>
                  <w:tcW w:w="1190" w:type="dxa"/>
                  <w:gridSpan w:val="2"/>
                  <w:vAlign w:val="center"/>
                </w:tcPr>
                <w:p w14:paraId="3785406E">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半成品区</w:t>
                  </w:r>
                </w:p>
              </w:tc>
              <w:tc>
                <w:tcPr>
                  <w:tcW w:w="5850" w:type="dxa"/>
                  <w:vAlign w:val="center"/>
                </w:tcPr>
                <w:p w14:paraId="0F320FA0">
                  <w:pPr>
                    <w:pStyle w:val="55"/>
                    <w:spacing w:line="240" w:lineRule="auto"/>
                    <w:jc w:val="both"/>
                    <w:rPr>
                      <w:rFonts w:ascii="Times New Roman" w:hAnsi="Times New Roman" w:eastAsiaTheme="minorEastAsia"/>
                      <w:color w:val="auto"/>
                      <w:sz w:val="22"/>
                      <w:szCs w:val="22"/>
                      <w:highlight w:val="none"/>
                    </w:rPr>
                  </w:pPr>
                  <w:r>
                    <w:rPr>
                      <w:rFonts w:ascii="Times New Roman" w:hAnsi="Times New Roman" w:eastAsiaTheme="minorEastAsia"/>
                      <w:color w:val="auto"/>
                      <w:sz w:val="22"/>
                      <w:szCs w:val="22"/>
                      <w:highlight w:val="none"/>
                    </w:rPr>
                    <w:t>位于生产厂房内，随生产线布局共设置4处，分别位于厂房中部及东北部，总占地面积约920m</w:t>
                  </w:r>
                  <w:r>
                    <w:rPr>
                      <w:rFonts w:ascii="Times New Roman" w:hAnsi="Times New Roman" w:eastAsiaTheme="minorEastAsia"/>
                      <w:color w:val="auto"/>
                      <w:sz w:val="22"/>
                      <w:szCs w:val="22"/>
                      <w:highlight w:val="none"/>
                      <w:vertAlign w:val="superscript"/>
                    </w:rPr>
                    <w:t>2</w:t>
                  </w:r>
                  <w:r>
                    <w:rPr>
                      <w:rFonts w:ascii="Times New Roman" w:hAnsi="Times New Roman" w:eastAsiaTheme="minorEastAsia"/>
                      <w:color w:val="auto"/>
                      <w:sz w:val="22"/>
                      <w:szCs w:val="22"/>
                      <w:highlight w:val="none"/>
                    </w:rPr>
                    <w:t>，用于暂存各工段产生的半成品。</w:t>
                  </w:r>
                </w:p>
              </w:tc>
              <w:tc>
                <w:tcPr>
                  <w:tcW w:w="776" w:type="dxa"/>
                  <w:vAlign w:val="center"/>
                </w:tcPr>
                <w:p w14:paraId="1199E95E">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功能调整</w:t>
                  </w:r>
                </w:p>
              </w:tc>
            </w:tr>
            <w:tr w14:paraId="1C01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1BBA43DF">
                  <w:pPr>
                    <w:jc w:val="center"/>
                    <w:rPr>
                      <w:rFonts w:eastAsiaTheme="minorEastAsia"/>
                      <w:color w:val="auto"/>
                      <w:sz w:val="22"/>
                      <w:szCs w:val="22"/>
                      <w:highlight w:val="none"/>
                    </w:rPr>
                  </w:pPr>
                </w:p>
              </w:tc>
              <w:tc>
                <w:tcPr>
                  <w:tcW w:w="1190" w:type="dxa"/>
                  <w:gridSpan w:val="2"/>
                  <w:vAlign w:val="center"/>
                </w:tcPr>
                <w:p w14:paraId="4685C260">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成品区</w:t>
                  </w:r>
                </w:p>
              </w:tc>
              <w:tc>
                <w:tcPr>
                  <w:tcW w:w="5850" w:type="dxa"/>
                  <w:vAlign w:val="center"/>
                </w:tcPr>
                <w:p w14:paraId="0E68E375">
                  <w:pPr>
                    <w:pStyle w:val="55"/>
                    <w:spacing w:line="240" w:lineRule="auto"/>
                    <w:jc w:val="both"/>
                    <w:rPr>
                      <w:rFonts w:ascii="Times New Roman" w:hAnsi="Times New Roman" w:eastAsiaTheme="minorEastAsia"/>
                      <w:color w:val="auto"/>
                      <w:sz w:val="22"/>
                      <w:szCs w:val="22"/>
                      <w:highlight w:val="none"/>
                    </w:rPr>
                  </w:pPr>
                  <w:r>
                    <w:rPr>
                      <w:rFonts w:ascii="Times New Roman" w:hAnsi="Times New Roman" w:eastAsiaTheme="minorEastAsia"/>
                      <w:color w:val="auto"/>
                      <w:sz w:val="22"/>
                      <w:szCs w:val="22"/>
                      <w:highlight w:val="none"/>
                    </w:rPr>
                    <w:t>位于生产厂房内东侧，占地面积约1710m</w:t>
                  </w:r>
                  <w:r>
                    <w:rPr>
                      <w:rFonts w:ascii="Times New Roman" w:hAnsi="Times New Roman" w:eastAsiaTheme="minorEastAsia"/>
                      <w:color w:val="auto"/>
                      <w:sz w:val="22"/>
                      <w:szCs w:val="22"/>
                      <w:highlight w:val="none"/>
                      <w:vertAlign w:val="superscript"/>
                    </w:rPr>
                    <w:t>2</w:t>
                  </w:r>
                  <w:r>
                    <w:rPr>
                      <w:rFonts w:ascii="Times New Roman" w:hAnsi="Times New Roman" w:eastAsiaTheme="minorEastAsia"/>
                      <w:color w:val="auto"/>
                      <w:sz w:val="22"/>
                      <w:szCs w:val="22"/>
                      <w:highlight w:val="none"/>
                    </w:rPr>
                    <w:t>，用于分区存放各类成品。</w:t>
                  </w:r>
                </w:p>
              </w:tc>
              <w:tc>
                <w:tcPr>
                  <w:tcW w:w="776" w:type="dxa"/>
                  <w:vAlign w:val="center"/>
                </w:tcPr>
                <w:p w14:paraId="3E693D25">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功能调整</w:t>
                  </w:r>
                </w:p>
              </w:tc>
            </w:tr>
            <w:tr w14:paraId="7DF5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2D07FFDD">
                  <w:pPr>
                    <w:jc w:val="center"/>
                    <w:rPr>
                      <w:rFonts w:eastAsiaTheme="minorEastAsia"/>
                      <w:color w:val="auto"/>
                      <w:sz w:val="22"/>
                      <w:szCs w:val="22"/>
                      <w:highlight w:val="none"/>
                    </w:rPr>
                  </w:pPr>
                </w:p>
              </w:tc>
              <w:tc>
                <w:tcPr>
                  <w:tcW w:w="1190" w:type="dxa"/>
                  <w:gridSpan w:val="2"/>
                  <w:vAlign w:val="center"/>
                </w:tcPr>
                <w:p w14:paraId="0FAE710D">
                  <w:pPr>
                    <w:pStyle w:val="71"/>
                    <w:jc w:val="center"/>
                    <w:textAlignment w:val="center"/>
                    <w:rPr>
                      <w:rFonts w:hint="eastAsia" w:eastAsiaTheme="minorEastAsia"/>
                      <w:color w:val="auto"/>
                      <w:sz w:val="22"/>
                      <w:szCs w:val="22"/>
                      <w:highlight w:val="none"/>
                      <w:lang w:eastAsia="zh-CN"/>
                    </w:rPr>
                  </w:pPr>
                  <w:r>
                    <w:rPr>
                      <w:rFonts w:hint="eastAsia" w:eastAsiaTheme="minorEastAsia"/>
                      <w:color w:val="auto"/>
                      <w:sz w:val="22"/>
                      <w:szCs w:val="22"/>
                      <w:highlight w:val="none"/>
                      <w:lang w:eastAsia="zh-CN"/>
                    </w:rPr>
                    <w:t>不合格产品区</w:t>
                  </w:r>
                </w:p>
              </w:tc>
              <w:tc>
                <w:tcPr>
                  <w:tcW w:w="5850" w:type="dxa"/>
                  <w:vAlign w:val="center"/>
                </w:tcPr>
                <w:p w14:paraId="7DC98C9E">
                  <w:pPr>
                    <w:pStyle w:val="55"/>
                    <w:spacing w:line="240" w:lineRule="auto"/>
                    <w:jc w:val="both"/>
                    <w:rPr>
                      <w:rFonts w:hint="eastAsia" w:ascii="Times New Roman" w:hAnsi="Times New Roman" w:eastAsiaTheme="minorEastAsia"/>
                      <w:color w:val="auto"/>
                      <w:sz w:val="22"/>
                      <w:szCs w:val="22"/>
                      <w:highlight w:val="none"/>
                      <w:lang w:eastAsia="zh-CN"/>
                    </w:rPr>
                  </w:pPr>
                  <w:r>
                    <w:rPr>
                      <w:rFonts w:hint="eastAsia" w:ascii="Times New Roman" w:hAnsi="Times New Roman" w:eastAsiaTheme="minorEastAsia"/>
                      <w:color w:val="auto"/>
                      <w:sz w:val="22"/>
                      <w:szCs w:val="22"/>
                      <w:highlight w:val="none"/>
                      <w:lang w:eastAsia="zh-CN"/>
                    </w:rPr>
                    <w:t>随各生产线布置，用于不合格产品暂存。</w:t>
                  </w:r>
                </w:p>
              </w:tc>
              <w:tc>
                <w:tcPr>
                  <w:tcW w:w="776" w:type="dxa"/>
                  <w:vAlign w:val="center"/>
                </w:tcPr>
                <w:p w14:paraId="49B0B9DE">
                  <w:pPr>
                    <w:pStyle w:val="71"/>
                    <w:jc w:val="center"/>
                    <w:textAlignment w:val="center"/>
                    <w:rPr>
                      <w:rFonts w:eastAsiaTheme="minorEastAsia"/>
                      <w:color w:val="auto"/>
                      <w:sz w:val="22"/>
                      <w:szCs w:val="22"/>
                      <w:highlight w:val="none"/>
                    </w:rPr>
                  </w:pPr>
                  <w:r>
                    <w:rPr>
                      <w:rFonts w:hint="eastAsia" w:eastAsiaTheme="minorEastAsia"/>
                      <w:color w:val="auto"/>
                      <w:sz w:val="22"/>
                      <w:szCs w:val="22"/>
                      <w:highlight w:val="none"/>
                    </w:rPr>
                    <w:t>功能调整</w:t>
                  </w:r>
                </w:p>
              </w:tc>
            </w:tr>
            <w:tr w14:paraId="57ED2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3398275F">
                  <w:pPr>
                    <w:jc w:val="center"/>
                    <w:rPr>
                      <w:rFonts w:eastAsiaTheme="minorEastAsia"/>
                      <w:color w:val="auto"/>
                      <w:sz w:val="22"/>
                      <w:szCs w:val="22"/>
                      <w:highlight w:val="none"/>
                    </w:rPr>
                  </w:pPr>
                </w:p>
              </w:tc>
              <w:tc>
                <w:tcPr>
                  <w:tcW w:w="1190" w:type="dxa"/>
                  <w:gridSpan w:val="2"/>
                  <w:vAlign w:val="center"/>
                </w:tcPr>
                <w:p w14:paraId="668E143E">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模具存放区</w:t>
                  </w:r>
                </w:p>
              </w:tc>
              <w:tc>
                <w:tcPr>
                  <w:tcW w:w="5850" w:type="dxa"/>
                  <w:vAlign w:val="center"/>
                </w:tcPr>
                <w:p w14:paraId="0DE7C65E">
                  <w:pPr>
                    <w:pStyle w:val="55"/>
                    <w:spacing w:line="240" w:lineRule="auto"/>
                    <w:jc w:val="both"/>
                    <w:rPr>
                      <w:rFonts w:ascii="Times New Roman" w:hAnsi="Times New Roman" w:eastAsiaTheme="minorEastAsia"/>
                      <w:color w:val="auto"/>
                      <w:sz w:val="22"/>
                      <w:szCs w:val="22"/>
                      <w:highlight w:val="none"/>
                    </w:rPr>
                  </w:pPr>
                  <w:r>
                    <w:rPr>
                      <w:rFonts w:ascii="Times New Roman" w:hAnsi="Times New Roman" w:eastAsiaTheme="minorEastAsia"/>
                      <w:color w:val="auto"/>
                      <w:sz w:val="22"/>
                      <w:szCs w:val="22"/>
                      <w:highlight w:val="none"/>
                    </w:rPr>
                    <w:t>位于生产厂房内，共设置2处，分别位于厂房西北部及中部，总占地面积约925m</w:t>
                  </w:r>
                  <w:r>
                    <w:rPr>
                      <w:rFonts w:ascii="Times New Roman" w:hAnsi="Times New Roman" w:eastAsiaTheme="minorEastAsia"/>
                      <w:color w:val="auto"/>
                      <w:sz w:val="22"/>
                      <w:szCs w:val="22"/>
                      <w:highlight w:val="none"/>
                      <w:vertAlign w:val="superscript"/>
                    </w:rPr>
                    <w:t>2</w:t>
                  </w:r>
                  <w:r>
                    <w:rPr>
                      <w:rFonts w:ascii="Times New Roman" w:hAnsi="Times New Roman" w:eastAsiaTheme="minorEastAsia"/>
                      <w:color w:val="auto"/>
                      <w:sz w:val="22"/>
                      <w:szCs w:val="22"/>
                      <w:highlight w:val="none"/>
                    </w:rPr>
                    <w:t xml:space="preserve">，用于存放各类冲压模具。 </w:t>
                  </w:r>
                </w:p>
              </w:tc>
              <w:tc>
                <w:tcPr>
                  <w:tcW w:w="776" w:type="dxa"/>
                  <w:vAlign w:val="center"/>
                </w:tcPr>
                <w:p w14:paraId="7F92E8AA">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功能调整</w:t>
                  </w:r>
                </w:p>
              </w:tc>
            </w:tr>
            <w:tr w14:paraId="34FF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restart"/>
                  <w:vAlign w:val="center"/>
                </w:tcPr>
                <w:p w14:paraId="7A31CD00">
                  <w:pPr>
                    <w:jc w:val="center"/>
                    <w:rPr>
                      <w:rFonts w:eastAsiaTheme="minorEastAsia"/>
                      <w:color w:val="auto"/>
                      <w:sz w:val="22"/>
                      <w:szCs w:val="22"/>
                      <w:highlight w:val="none"/>
                    </w:rPr>
                  </w:pPr>
                  <w:r>
                    <w:rPr>
                      <w:rFonts w:eastAsiaTheme="minorEastAsia"/>
                      <w:color w:val="auto"/>
                      <w:sz w:val="22"/>
                      <w:szCs w:val="22"/>
                      <w:highlight w:val="none"/>
                    </w:rPr>
                    <w:t>公用工程</w:t>
                  </w:r>
                </w:p>
              </w:tc>
              <w:tc>
                <w:tcPr>
                  <w:tcW w:w="1190" w:type="dxa"/>
                  <w:gridSpan w:val="2"/>
                  <w:vAlign w:val="center"/>
                </w:tcPr>
                <w:p w14:paraId="18ABDEDA">
                  <w:pPr>
                    <w:jc w:val="center"/>
                    <w:rPr>
                      <w:rFonts w:eastAsiaTheme="minorEastAsia"/>
                      <w:color w:val="auto"/>
                      <w:sz w:val="22"/>
                      <w:szCs w:val="22"/>
                      <w:highlight w:val="none"/>
                    </w:rPr>
                  </w:pPr>
                  <w:r>
                    <w:rPr>
                      <w:rFonts w:eastAsiaTheme="minorEastAsia"/>
                      <w:color w:val="auto"/>
                      <w:sz w:val="22"/>
                      <w:szCs w:val="22"/>
                      <w:highlight w:val="none"/>
                    </w:rPr>
                    <w:t>供水</w:t>
                  </w:r>
                </w:p>
              </w:tc>
              <w:tc>
                <w:tcPr>
                  <w:tcW w:w="5850" w:type="dxa"/>
                  <w:vAlign w:val="center"/>
                </w:tcPr>
                <w:p w14:paraId="6EB8CB45">
                  <w:pPr>
                    <w:jc w:val="left"/>
                    <w:rPr>
                      <w:rFonts w:eastAsiaTheme="minorEastAsia"/>
                      <w:color w:val="auto"/>
                      <w:sz w:val="22"/>
                      <w:szCs w:val="22"/>
                      <w:highlight w:val="none"/>
                    </w:rPr>
                  </w:pPr>
                  <w:r>
                    <w:rPr>
                      <w:rFonts w:eastAsiaTheme="minorEastAsia"/>
                      <w:color w:val="auto"/>
                      <w:sz w:val="22"/>
                      <w:szCs w:val="22"/>
                      <w:highlight w:val="none"/>
                    </w:rPr>
                    <w:t>依托园区管网供水。</w:t>
                  </w:r>
                </w:p>
              </w:tc>
              <w:tc>
                <w:tcPr>
                  <w:tcW w:w="776" w:type="dxa"/>
                  <w:vAlign w:val="center"/>
                </w:tcPr>
                <w:p w14:paraId="6DEEBFD1">
                  <w:pPr>
                    <w:jc w:val="center"/>
                    <w:rPr>
                      <w:rFonts w:eastAsiaTheme="minorEastAsia"/>
                      <w:color w:val="auto"/>
                      <w:sz w:val="22"/>
                      <w:szCs w:val="22"/>
                      <w:highlight w:val="none"/>
                    </w:rPr>
                  </w:pPr>
                  <w:r>
                    <w:rPr>
                      <w:rFonts w:eastAsiaTheme="minorEastAsia"/>
                      <w:color w:val="auto"/>
                      <w:sz w:val="22"/>
                      <w:szCs w:val="22"/>
                      <w:highlight w:val="none"/>
                    </w:rPr>
                    <w:t>依托</w:t>
                  </w:r>
                </w:p>
              </w:tc>
            </w:tr>
            <w:tr w14:paraId="42A2D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40C90ED7">
                  <w:pPr>
                    <w:jc w:val="center"/>
                    <w:rPr>
                      <w:rFonts w:eastAsiaTheme="minorEastAsia"/>
                      <w:color w:val="auto"/>
                      <w:sz w:val="22"/>
                      <w:szCs w:val="22"/>
                      <w:highlight w:val="none"/>
                    </w:rPr>
                  </w:pPr>
                </w:p>
              </w:tc>
              <w:tc>
                <w:tcPr>
                  <w:tcW w:w="1190" w:type="dxa"/>
                  <w:gridSpan w:val="2"/>
                  <w:vAlign w:val="center"/>
                </w:tcPr>
                <w:p w14:paraId="5BD6E4F4">
                  <w:pPr>
                    <w:jc w:val="center"/>
                    <w:rPr>
                      <w:rFonts w:eastAsiaTheme="minorEastAsia"/>
                      <w:color w:val="auto"/>
                      <w:sz w:val="22"/>
                      <w:szCs w:val="22"/>
                      <w:highlight w:val="none"/>
                    </w:rPr>
                  </w:pPr>
                  <w:r>
                    <w:rPr>
                      <w:rFonts w:eastAsiaTheme="minorEastAsia"/>
                      <w:color w:val="auto"/>
                      <w:sz w:val="22"/>
                      <w:szCs w:val="22"/>
                      <w:highlight w:val="none"/>
                    </w:rPr>
                    <w:t>排水</w:t>
                  </w:r>
                </w:p>
              </w:tc>
              <w:tc>
                <w:tcPr>
                  <w:tcW w:w="5850" w:type="dxa"/>
                  <w:vAlign w:val="center"/>
                </w:tcPr>
                <w:p w14:paraId="7530FD5B">
                  <w:pPr>
                    <w:pStyle w:val="70"/>
                    <w:ind w:firstLine="0" w:firstLineChars="0"/>
                    <w:jc w:val="both"/>
                    <w:rPr>
                      <w:rFonts w:ascii="Times New Roman" w:hAnsi="Times New Roman" w:eastAsiaTheme="minorEastAsia"/>
                      <w:color w:val="auto"/>
                      <w:sz w:val="22"/>
                      <w:szCs w:val="22"/>
                      <w:highlight w:val="none"/>
                    </w:rPr>
                  </w:pPr>
                  <w:r>
                    <w:rPr>
                      <w:rFonts w:ascii="Times New Roman" w:hAnsi="Times New Roman" w:eastAsiaTheme="minorEastAsia"/>
                      <w:color w:val="auto"/>
                      <w:sz w:val="22"/>
                      <w:szCs w:val="22"/>
                      <w:highlight w:val="none"/>
                    </w:rPr>
                    <w:t>项目厂区采用雨污分流排水制。雨水经雨水管道排入园区雨水管网；</w:t>
                  </w:r>
                  <w:r>
                    <w:rPr>
                      <w:rFonts w:hint="eastAsia" w:ascii="Times New Roman" w:hAnsi="Times New Roman" w:eastAsiaTheme="minorEastAsia"/>
                      <w:color w:val="auto"/>
                      <w:sz w:val="22"/>
                      <w:szCs w:val="22"/>
                      <w:highlight w:val="none"/>
                    </w:rPr>
                    <w:t>废水</w:t>
                  </w:r>
                  <w:r>
                    <w:rPr>
                      <w:rFonts w:ascii="Times New Roman" w:hAnsi="Times New Roman" w:eastAsiaTheme="minorEastAsia"/>
                      <w:color w:val="auto"/>
                      <w:sz w:val="22"/>
                      <w:szCs w:val="22"/>
                      <w:highlight w:val="none"/>
                      <w:lang w:val="da-DK"/>
                    </w:rPr>
                    <w:t>依托</w:t>
                  </w:r>
                  <w:r>
                    <w:rPr>
                      <w:rFonts w:ascii="Times New Roman" w:hAnsi="Times New Roman" w:eastAsiaTheme="minorEastAsia"/>
                      <w:color w:val="auto"/>
                      <w:sz w:val="22"/>
                      <w:szCs w:val="22"/>
                      <w:highlight w:val="none"/>
                    </w:rPr>
                    <w:t>厂区现有</w:t>
                  </w:r>
                  <w:r>
                    <w:rPr>
                      <w:rFonts w:hint="eastAsia" w:ascii="Times New Roman" w:hAnsi="Times New Roman" w:eastAsiaTheme="minorEastAsia"/>
                      <w:color w:val="auto"/>
                      <w:sz w:val="22"/>
                      <w:szCs w:val="22"/>
                      <w:highlight w:val="none"/>
                      <w:lang w:val="da-DK"/>
                    </w:rPr>
                    <w:t>综合生化池</w:t>
                  </w:r>
                  <w:r>
                    <w:rPr>
                      <w:rFonts w:ascii="Times New Roman" w:hAnsi="Times New Roman" w:eastAsiaTheme="minorEastAsia"/>
                      <w:color w:val="auto"/>
                      <w:sz w:val="22"/>
                      <w:szCs w:val="22"/>
                      <w:highlight w:val="none"/>
                      <w:lang w:val="da-DK"/>
                    </w:rPr>
                    <w:t>预处理</w:t>
                  </w:r>
                  <w:bookmarkStart w:id="36" w:name="hmcheck_e3094986ecaf4ac1916ff10f2c870a9f"/>
                  <w:r>
                    <w:rPr>
                      <w:rFonts w:hint="eastAsia" w:ascii="Times New Roman" w:hAnsi="Times New Roman" w:eastAsiaTheme="minorEastAsia"/>
                      <w:color w:val="auto"/>
                      <w:sz w:val="22"/>
                      <w:szCs w:val="22"/>
                      <w:highlight w:val="none"/>
                      <w:shd w:val="clear" w:fill="B2E9BC"/>
                      <w:lang w:val="da-DK" w:eastAsia="zh-CN"/>
                    </w:rPr>
                    <w:t>达到</w:t>
                  </w:r>
                  <w:bookmarkEnd w:id="36"/>
                  <w:r>
                    <w:rPr>
                      <w:rFonts w:ascii="Times New Roman" w:hAnsi="Times New Roman" w:eastAsiaTheme="minorEastAsia"/>
                      <w:color w:val="auto"/>
                      <w:sz w:val="22"/>
                      <w:szCs w:val="22"/>
                      <w:highlight w:val="none"/>
                      <w:lang w:val="da-DK"/>
                    </w:rPr>
                    <w:t>《污水综合排放标准》（GB8978-1996）三级标准后经市政污水管网进入</w:t>
                  </w:r>
                  <w:r>
                    <w:rPr>
                      <w:rFonts w:ascii="Times New Roman" w:hAnsi="Times New Roman" w:eastAsiaTheme="minorEastAsia"/>
                      <w:color w:val="auto"/>
                      <w:sz w:val="22"/>
                      <w:szCs w:val="22"/>
                      <w:highlight w:val="none"/>
                    </w:rPr>
                    <w:t>银翔新城</w:t>
                  </w:r>
                  <w:r>
                    <w:rPr>
                      <w:rFonts w:ascii="Times New Roman" w:hAnsi="Times New Roman" w:eastAsiaTheme="minorEastAsia"/>
                      <w:color w:val="auto"/>
                      <w:sz w:val="22"/>
                      <w:szCs w:val="22"/>
                      <w:highlight w:val="none"/>
                      <w:lang w:val="da-DK"/>
                    </w:rPr>
                    <w:t>污水处理厂处理达标后排入</w:t>
                  </w:r>
                  <w:r>
                    <w:rPr>
                      <w:rFonts w:hint="eastAsia" w:ascii="Times New Roman" w:hAnsi="Times New Roman" w:eastAsiaTheme="minorEastAsia"/>
                      <w:color w:val="auto"/>
                      <w:sz w:val="22"/>
                      <w:szCs w:val="22"/>
                      <w:highlight w:val="none"/>
                    </w:rPr>
                    <w:t>柏水</w:t>
                  </w:r>
                  <w:r>
                    <w:rPr>
                      <w:rFonts w:ascii="Times New Roman" w:hAnsi="Times New Roman" w:eastAsiaTheme="minorEastAsia"/>
                      <w:color w:val="auto"/>
                      <w:sz w:val="22"/>
                      <w:szCs w:val="22"/>
                      <w:highlight w:val="none"/>
                    </w:rPr>
                    <w:t>溪。</w:t>
                  </w:r>
                </w:p>
              </w:tc>
              <w:tc>
                <w:tcPr>
                  <w:tcW w:w="776" w:type="dxa"/>
                  <w:vAlign w:val="center"/>
                </w:tcPr>
                <w:p w14:paraId="16722160">
                  <w:pPr>
                    <w:pStyle w:val="70"/>
                    <w:ind w:firstLine="0" w:firstLineChars="0"/>
                    <w:jc w:val="center"/>
                    <w:rPr>
                      <w:rFonts w:ascii="Times New Roman" w:hAnsi="Times New Roman" w:eastAsiaTheme="minorEastAsia"/>
                      <w:color w:val="auto"/>
                      <w:sz w:val="22"/>
                      <w:szCs w:val="22"/>
                      <w:highlight w:val="none"/>
                    </w:rPr>
                  </w:pPr>
                  <w:r>
                    <w:rPr>
                      <w:rFonts w:ascii="Times New Roman" w:hAnsi="Times New Roman" w:eastAsiaTheme="minorEastAsia"/>
                      <w:color w:val="auto"/>
                      <w:sz w:val="22"/>
                      <w:szCs w:val="22"/>
                      <w:highlight w:val="none"/>
                    </w:rPr>
                    <w:t xml:space="preserve">依托 </w:t>
                  </w:r>
                </w:p>
              </w:tc>
            </w:tr>
            <w:tr w14:paraId="29F1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4F6A6B55">
                  <w:pPr>
                    <w:jc w:val="center"/>
                    <w:rPr>
                      <w:rFonts w:eastAsiaTheme="minorEastAsia"/>
                      <w:color w:val="auto"/>
                      <w:sz w:val="22"/>
                      <w:szCs w:val="22"/>
                      <w:highlight w:val="none"/>
                    </w:rPr>
                  </w:pPr>
                </w:p>
              </w:tc>
              <w:tc>
                <w:tcPr>
                  <w:tcW w:w="1190" w:type="dxa"/>
                  <w:gridSpan w:val="2"/>
                  <w:vAlign w:val="center"/>
                </w:tcPr>
                <w:p w14:paraId="3F64A23D">
                  <w:pPr>
                    <w:jc w:val="center"/>
                    <w:rPr>
                      <w:rFonts w:eastAsiaTheme="minorEastAsia"/>
                      <w:color w:val="auto"/>
                      <w:sz w:val="22"/>
                      <w:szCs w:val="22"/>
                      <w:highlight w:val="none"/>
                    </w:rPr>
                  </w:pPr>
                  <w:r>
                    <w:rPr>
                      <w:rFonts w:hint="eastAsia" w:eastAsiaTheme="minorEastAsia"/>
                      <w:color w:val="auto"/>
                      <w:sz w:val="22"/>
                      <w:szCs w:val="22"/>
                      <w:highlight w:val="none"/>
                    </w:rPr>
                    <w:t>供电</w:t>
                  </w:r>
                </w:p>
              </w:tc>
              <w:tc>
                <w:tcPr>
                  <w:tcW w:w="5850" w:type="dxa"/>
                  <w:vAlign w:val="center"/>
                </w:tcPr>
                <w:p w14:paraId="1DE77815">
                  <w:pPr>
                    <w:pStyle w:val="71"/>
                    <w:jc w:val="both"/>
                    <w:textAlignment w:val="center"/>
                    <w:rPr>
                      <w:rFonts w:eastAsiaTheme="minorEastAsia"/>
                      <w:color w:val="auto"/>
                      <w:sz w:val="22"/>
                      <w:szCs w:val="22"/>
                      <w:highlight w:val="none"/>
                    </w:rPr>
                  </w:pPr>
                  <w:r>
                    <w:rPr>
                      <w:rFonts w:eastAsiaTheme="minorEastAsia"/>
                      <w:color w:val="auto"/>
                      <w:sz w:val="22"/>
                      <w:szCs w:val="22"/>
                      <w:highlight w:val="none"/>
                    </w:rPr>
                    <w:t>依托园区电网供电。</w:t>
                  </w:r>
                </w:p>
              </w:tc>
              <w:tc>
                <w:tcPr>
                  <w:tcW w:w="776" w:type="dxa"/>
                  <w:vAlign w:val="center"/>
                </w:tcPr>
                <w:p w14:paraId="0929E7FD">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依托</w:t>
                  </w:r>
                </w:p>
              </w:tc>
            </w:tr>
            <w:tr w14:paraId="2A3A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restart"/>
                  <w:vAlign w:val="center"/>
                </w:tcPr>
                <w:p w14:paraId="7F821B57">
                  <w:pPr>
                    <w:jc w:val="center"/>
                    <w:rPr>
                      <w:rFonts w:eastAsiaTheme="minorEastAsia"/>
                      <w:color w:val="auto"/>
                      <w:sz w:val="22"/>
                      <w:szCs w:val="22"/>
                      <w:highlight w:val="none"/>
                    </w:rPr>
                  </w:pPr>
                  <w:r>
                    <w:rPr>
                      <w:rFonts w:eastAsiaTheme="minorEastAsia"/>
                      <w:color w:val="auto"/>
                      <w:sz w:val="22"/>
                      <w:szCs w:val="22"/>
                      <w:highlight w:val="none"/>
                    </w:rPr>
                    <w:t>环保工程</w:t>
                  </w:r>
                </w:p>
              </w:tc>
              <w:tc>
                <w:tcPr>
                  <w:tcW w:w="1190" w:type="dxa"/>
                  <w:gridSpan w:val="2"/>
                  <w:vAlign w:val="center"/>
                </w:tcPr>
                <w:p w14:paraId="4E935304">
                  <w:pPr>
                    <w:jc w:val="center"/>
                    <w:rPr>
                      <w:rFonts w:eastAsiaTheme="minorEastAsia"/>
                      <w:color w:val="auto"/>
                      <w:sz w:val="22"/>
                      <w:szCs w:val="22"/>
                      <w:highlight w:val="none"/>
                    </w:rPr>
                  </w:pPr>
                  <w:r>
                    <w:rPr>
                      <w:rFonts w:eastAsiaTheme="minorEastAsia"/>
                      <w:color w:val="auto"/>
                      <w:sz w:val="22"/>
                      <w:szCs w:val="22"/>
                      <w:highlight w:val="none"/>
                    </w:rPr>
                    <w:t>废气处理</w:t>
                  </w:r>
                </w:p>
              </w:tc>
              <w:tc>
                <w:tcPr>
                  <w:tcW w:w="5850" w:type="dxa"/>
                  <w:vAlign w:val="center"/>
                </w:tcPr>
                <w:p w14:paraId="1AC00BE4">
                  <w:pPr>
                    <w:pStyle w:val="71"/>
                    <w:jc w:val="both"/>
                    <w:textAlignment w:val="center"/>
                    <w:rPr>
                      <w:rFonts w:eastAsiaTheme="minorEastAsia"/>
                      <w:color w:val="auto"/>
                      <w:sz w:val="22"/>
                      <w:szCs w:val="22"/>
                      <w:highlight w:val="none"/>
                    </w:rPr>
                  </w:pPr>
                  <w:r>
                    <w:rPr>
                      <w:rFonts w:eastAsiaTheme="minorEastAsia"/>
                      <w:color w:val="auto"/>
                      <w:sz w:val="22"/>
                      <w:szCs w:val="22"/>
                      <w:highlight w:val="none"/>
                    </w:rPr>
                    <w:t>①焊接烟尘治理系统：</w:t>
                  </w:r>
                  <w:r>
                    <w:rPr>
                      <w:rFonts w:hint="eastAsia" w:eastAsiaTheme="minorEastAsia"/>
                      <w:color w:val="auto"/>
                      <w:sz w:val="22"/>
                      <w:szCs w:val="22"/>
                      <w:highlight w:val="none"/>
                    </w:rPr>
                    <w:t>固定式</w:t>
                  </w:r>
                  <w:r>
                    <w:rPr>
                      <w:rFonts w:eastAsiaTheme="minorEastAsia"/>
                      <w:color w:val="auto"/>
                      <w:sz w:val="22"/>
                      <w:szCs w:val="22"/>
                      <w:highlight w:val="none"/>
                    </w:rPr>
                    <w:t>弧焊</w:t>
                  </w:r>
                  <w:r>
                    <w:rPr>
                      <w:rFonts w:hint="eastAsia" w:eastAsiaTheme="minorEastAsia"/>
                      <w:color w:val="auto"/>
                      <w:sz w:val="22"/>
                      <w:szCs w:val="22"/>
                      <w:highlight w:val="none"/>
                    </w:rPr>
                    <w:t>位于</w:t>
                  </w:r>
                  <w:r>
                    <w:rPr>
                      <w:rFonts w:eastAsiaTheme="minorEastAsia"/>
                      <w:color w:val="auto"/>
                      <w:sz w:val="22"/>
                      <w:szCs w:val="22"/>
                      <w:highlight w:val="none"/>
                    </w:rPr>
                    <w:t>封闭式弧焊间</w:t>
                  </w:r>
                  <w:r>
                    <w:rPr>
                      <w:rFonts w:hint="eastAsia" w:eastAsiaTheme="minorEastAsia"/>
                      <w:color w:val="auto"/>
                      <w:sz w:val="22"/>
                      <w:szCs w:val="22"/>
                      <w:highlight w:val="none"/>
                    </w:rPr>
                    <w:t>内</w:t>
                  </w:r>
                  <w:r>
                    <w:rPr>
                      <w:rFonts w:eastAsiaTheme="minorEastAsia"/>
                      <w:color w:val="auto"/>
                      <w:sz w:val="22"/>
                      <w:szCs w:val="22"/>
                      <w:highlight w:val="none"/>
                    </w:rPr>
                    <w:t>，顶部设置废气收集口及废气管道</w:t>
                  </w:r>
                  <w:r>
                    <w:rPr>
                      <w:rFonts w:hint="eastAsia" w:eastAsiaTheme="minorEastAsia"/>
                      <w:color w:val="auto"/>
                      <w:sz w:val="22"/>
                      <w:szCs w:val="22"/>
                      <w:highlight w:val="none"/>
                    </w:rPr>
                    <w:t>，</w:t>
                  </w:r>
                  <w:r>
                    <w:rPr>
                      <w:rFonts w:hint="eastAsia" w:eastAsiaTheme="minorEastAsia"/>
                      <w:color w:val="auto"/>
                      <w:sz w:val="22"/>
                      <w:szCs w:val="22"/>
                      <w:highlight w:val="none"/>
                      <w:lang w:eastAsia="zh-CN"/>
                    </w:rPr>
                    <w:t>废气</w:t>
                  </w:r>
                  <w:r>
                    <w:rPr>
                      <w:rFonts w:hint="eastAsia" w:eastAsiaTheme="minorEastAsia"/>
                      <w:color w:val="auto"/>
                      <w:sz w:val="22"/>
                      <w:szCs w:val="22"/>
                      <w:highlight w:val="none"/>
                    </w:rPr>
                    <w:t>分别收集后，通过主管接入处理设施。设置滤芯</w:t>
                  </w:r>
                  <w:r>
                    <w:rPr>
                      <w:rFonts w:eastAsiaTheme="minorEastAsia"/>
                      <w:color w:val="auto"/>
                      <w:sz w:val="22"/>
                      <w:szCs w:val="22"/>
                      <w:highlight w:val="none"/>
                    </w:rPr>
                    <w:t>除尘器</w:t>
                  </w:r>
                  <w:r>
                    <w:rPr>
                      <w:rFonts w:hint="eastAsia" w:eastAsiaTheme="minorEastAsia"/>
                      <w:color w:val="auto"/>
                      <w:sz w:val="22"/>
                      <w:szCs w:val="22"/>
                      <w:highlight w:val="none"/>
                    </w:rPr>
                    <w:t>1套，</w:t>
                  </w:r>
                  <w:r>
                    <w:rPr>
                      <w:rFonts w:eastAsiaTheme="minorEastAsia"/>
                      <w:color w:val="auto"/>
                      <w:sz w:val="22"/>
                      <w:szCs w:val="22"/>
                      <w:highlight w:val="none"/>
                    </w:rPr>
                    <w:t>位于厂房外西侧，设15m排气筒1个（</w:t>
                  </w:r>
                  <w:r>
                    <w:rPr>
                      <w:rFonts w:hint="eastAsia" w:eastAsiaTheme="minorEastAsia"/>
                      <w:color w:val="auto"/>
                      <w:sz w:val="22"/>
                      <w:szCs w:val="22"/>
                      <w:highlight w:val="none"/>
                    </w:rPr>
                    <w:t>DA001</w:t>
                  </w:r>
                  <w:r>
                    <w:rPr>
                      <w:rFonts w:eastAsiaTheme="minorEastAsia"/>
                      <w:color w:val="auto"/>
                      <w:sz w:val="22"/>
                      <w:szCs w:val="22"/>
                      <w:highlight w:val="none"/>
                    </w:rPr>
                    <w:t>），风量</w:t>
                  </w:r>
                  <w:r>
                    <w:rPr>
                      <w:rFonts w:hint="eastAsia" w:eastAsiaTheme="minorEastAsia"/>
                      <w:color w:val="auto"/>
                      <w:sz w:val="22"/>
                      <w:szCs w:val="22"/>
                      <w:highlight w:val="none"/>
                    </w:rPr>
                    <w:t>15000</w:t>
                  </w:r>
                  <w:r>
                    <w:rPr>
                      <w:rFonts w:eastAsiaTheme="minorEastAsia"/>
                      <w:color w:val="auto"/>
                      <w:sz w:val="22"/>
                      <w:szCs w:val="22"/>
                      <w:highlight w:val="none"/>
                    </w:rPr>
                    <w:t>m³/h。</w:t>
                  </w:r>
                </w:p>
                <w:p w14:paraId="5DF345DB">
                  <w:pPr>
                    <w:pStyle w:val="71"/>
                    <w:jc w:val="both"/>
                    <w:textAlignment w:val="center"/>
                    <w:rPr>
                      <w:rFonts w:eastAsiaTheme="minorEastAsia"/>
                      <w:color w:val="auto"/>
                      <w:sz w:val="22"/>
                      <w:szCs w:val="22"/>
                      <w:highlight w:val="none"/>
                    </w:rPr>
                  </w:pPr>
                  <w:r>
                    <w:rPr>
                      <w:rFonts w:eastAsiaTheme="minorEastAsia"/>
                      <w:color w:val="auto"/>
                      <w:sz w:val="22"/>
                      <w:szCs w:val="22"/>
                      <w:highlight w:val="none"/>
                    </w:rPr>
                    <w:t>②切割粉尘治理1系统：激光切割机工作时全密闭，设备自带</w:t>
                  </w:r>
                  <w:r>
                    <w:rPr>
                      <w:rFonts w:hint="eastAsia" w:eastAsiaTheme="minorEastAsia"/>
                      <w:color w:val="auto"/>
                      <w:sz w:val="22"/>
                      <w:szCs w:val="22"/>
                      <w:highlight w:val="none"/>
                    </w:rPr>
                    <w:t>滤芯式</w:t>
                  </w:r>
                  <w:r>
                    <w:rPr>
                      <w:rFonts w:eastAsiaTheme="minorEastAsia"/>
                      <w:color w:val="auto"/>
                      <w:sz w:val="22"/>
                      <w:szCs w:val="22"/>
                      <w:highlight w:val="none"/>
                    </w:rPr>
                    <w:t>除尘设备，收集处理后厂房内无组织排放。</w:t>
                  </w:r>
                </w:p>
                <w:p w14:paraId="6797E083">
                  <w:pPr>
                    <w:pStyle w:val="71"/>
                    <w:jc w:val="both"/>
                    <w:textAlignment w:val="center"/>
                    <w:rPr>
                      <w:rFonts w:eastAsiaTheme="minorEastAsia"/>
                      <w:color w:val="auto"/>
                      <w:sz w:val="22"/>
                      <w:szCs w:val="22"/>
                      <w:highlight w:val="none"/>
                    </w:rPr>
                  </w:pPr>
                  <w:r>
                    <w:rPr>
                      <w:rFonts w:eastAsiaTheme="minorEastAsia"/>
                      <w:color w:val="auto"/>
                      <w:sz w:val="22"/>
                      <w:szCs w:val="22"/>
                      <w:highlight w:val="none"/>
                    </w:rPr>
                    <w:t>③不合格产品补焊</w:t>
                  </w:r>
                  <w:r>
                    <w:rPr>
                      <w:rFonts w:hint="eastAsia" w:eastAsiaTheme="minorEastAsia"/>
                      <w:color w:val="auto"/>
                      <w:sz w:val="22"/>
                      <w:szCs w:val="22"/>
                      <w:highlight w:val="none"/>
                    </w:rPr>
                    <w:t>烟尘</w:t>
                  </w:r>
                  <w:r>
                    <w:rPr>
                      <w:rFonts w:eastAsiaTheme="minorEastAsia"/>
                      <w:color w:val="auto"/>
                      <w:sz w:val="22"/>
                      <w:szCs w:val="22"/>
                      <w:highlight w:val="none"/>
                    </w:rPr>
                    <w:t>、打磨粉尘治理系统：</w:t>
                  </w:r>
                  <w:r>
                    <w:rPr>
                      <w:rFonts w:hint="eastAsia" w:eastAsiaTheme="minorEastAsia"/>
                      <w:color w:val="auto"/>
                      <w:sz w:val="22"/>
                      <w:szCs w:val="22"/>
                      <w:highlight w:val="none"/>
                    </w:rPr>
                    <w:t>每个工位</w:t>
                  </w:r>
                  <w:r>
                    <w:rPr>
                      <w:rFonts w:eastAsiaTheme="minorEastAsia"/>
                      <w:color w:val="auto"/>
                      <w:sz w:val="22"/>
                      <w:szCs w:val="22"/>
                      <w:highlight w:val="none"/>
                    </w:rPr>
                    <w:t>配套</w:t>
                  </w:r>
                  <w:r>
                    <w:rPr>
                      <w:rFonts w:hint="eastAsia" w:eastAsiaTheme="minorEastAsia"/>
                      <w:color w:val="auto"/>
                      <w:sz w:val="22"/>
                      <w:szCs w:val="22"/>
                      <w:highlight w:val="none"/>
                    </w:rPr>
                    <w:t>1</w:t>
                  </w:r>
                  <w:r>
                    <w:rPr>
                      <w:rFonts w:eastAsiaTheme="minorEastAsia"/>
                      <w:color w:val="auto"/>
                      <w:sz w:val="22"/>
                      <w:szCs w:val="22"/>
                      <w:highlight w:val="none"/>
                    </w:rPr>
                    <w:t>个移动式</w:t>
                  </w:r>
                  <w:r>
                    <w:rPr>
                      <w:rFonts w:hint="eastAsia" w:eastAsiaTheme="minorEastAsia"/>
                      <w:color w:val="auto"/>
                      <w:sz w:val="22"/>
                      <w:szCs w:val="22"/>
                      <w:highlight w:val="none"/>
                      <w:lang w:eastAsia="zh-CN"/>
                    </w:rPr>
                    <w:t>滤芯除尘器</w:t>
                  </w:r>
                  <w:r>
                    <w:rPr>
                      <w:rFonts w:eastAsiaTheme="minorEastAsia"/>
                      <w:color w:val="auto"/>
                      <w:sz w:val="22"/>
                      <w:szCs w:val="22"/>
                      <w:highlight w:val="none"/>
                    </w:rPr>
                    <w:t>（含集气设备），打磨</w:t>
                  </w:r>
                  <w:r>
                    <w:rPr>
                      <w:rFonts w:hint="eastAsia" w:eastAsiaTheme="minorEastAsia"/>
                      <w:color w:val="auto"/>
                      <w:sz w:val="22"/>
                      <w:szCs w:val="22"/>
                      <w:highlight w:val="none"/>
                    </w:rPr>
                    <w:t>粉尘、补焊烟尘经</w:t>
                  </w:r>
                  <w:r>
                    <w:rPr>
                      <w:rFonts w:eastAsiaTheme="minorEastAsia"/>
                      <w:color w:val="auto"/>
                      <w:sz w:val="22"/>
                      <w:szCs w:val="22"/>
                      <w:highlight w:val="none"/>
                    </w:rPr>
                    <w:t>收集处理后厂房内无组织排放。</w:t>
                  </w:r>
                </w:p>
              </w:tc>
              <w:tc>
                <w:tcPr>
                  <w:tcW w:w="776" w:type="dxa"/>
                  <w:vAlign w:val="center"/>
                </w:tcPr>
                <w:p w14:paraId="651A7D0D">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新建</w:t>
                  </w:r>
                </w:p>
              </w:tc>
            </w:tr>
            <w:tr w14:paraId="05468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12786551">
                  <w:pPr>
                    <w:jc w:val="center"/>
                    <w:rPr>
                      <w:rFonts w:eastAsiaTheme="minorEastAsia"/>
                      <w:color w:val="auto"/>
                      <w:sz w:val="22"/>
                      <w:szCs w:val="22"/>
                      <w:highlight w:val="none"/>
                    </w:rPr>
                  </w:pPr>
                </w:p>
              </w:tc>
              <w:tc>
                <w:tcPr>
                  <w:tcW w:w="1190" w:type="dxa"/>
                  <w:gridSpan w:val="2"/>
                  <w:vAlign w:val="center"/>
                </w:tcPr>
                <w:p w14:paraId="45721A1B">
                  <w:pPr>
                    <w:jc w:val="center"/>
                    <w:rPr>
                      <w:rFonts w:eastAsiaTheme="minorEastAsia"/>
                      <w:color w:val="auto"/>
                      <w:sz w:val="22"/>
                      <w:szCs w:val="22"/>
                      <w:highlight w:val="none"/>
                    </w:rPr>
                  </w:pPr>
                  <w:r>
                    <w:rPr>
                      <w:rFonts w:eastAsiaTheme="minorEastAsia"/>
                      <w:color w:val="auto"/>
                      <w:sz w:val="22"/>
                      <w:szCs w:val="22"/>
                      <w:highlight w:val="none"/>
                    </w:rPr>
                    <w:t>废水处理</w:t>
                  </w:r>
                </w:p>
              </w:tc>
              <w:tc>
                <w:tcPr>
                  <w:tcW w:w="5850" w:type="dxa"/>
                  <w:vAlign w:val="center"/>
                </w:tcPr>
                <w:p w14:paraId="18A31400">
                  <w:pPr>
                    <w:rPr>
                      <w:rFonts w:eastAsiaTheme="minorEastAsia"/>
                      <w:color w:val="auto"/>
                      <w:sz w:val="22"/>
                      <w:szCs w:val="22"/>
                      <w:highlight w:val="none"/>
                    </w:rPr>
                  </w:pPr>
                  <w:r>
                    <w:rPr>
                      <w:rFonts w:hint="eastAsia" w:eastAsiaTheme="minorEastAsia"/>
                      <w:color w:val="auto"/>
                      <w:sz w:val="22"/>
                      <w:szCs w:val="22"/>
                      <w:highlight w:val="none"/>
                    </w:rPr>
                    <w:t>利用</w:t>
                  </w:r>
                  <w:r>
                    <w:rPr>
                      <w:rFonts w:eastAsiaTheme="minorEastAsia"/>
                      <w:color w:val="auto"/>
                      <w:sz w:val="22"/>
                      <w:szCs w:val="22"/>
                      <w:highlight w:val="none"/>
                    </w:rPr>
                    <w:t>厂区已建</w:t>
                  </w:r>
                  <w:r>
                    <w:rPr>
                      <w:rFonts w:hint="eastAsia" w:eastAsiaTheme="minorEastAsia"/>
                      <w:color w:val="auto"/>
                      <w:sz w:val="22"/>
                      <w:szCs w:val="22"/>
                      <w:highlight w:val="none"/>
                    </w:rPr>
                    <w:t>综合生化池1座，预处理</w:t>
                  </w:r>
                  <w:bookmarkStart w:id="37" w:name="hmcheck_d6cf7461bec74f34aa40f78cb89a8805"/>
                  <w:r>
                    <w:rPr>
                      <w:rFonts w:hint="eastAsia" w:eastAsiaTheme="minorEastAsia"/>
                      <w:color w:val="auto"/>
                      <w:sz w:val="22"/>
                      <w:szCs w:val="22"/>
                      <w:highlight w:val="none"/>
                      <w:shd w:val="clear" w:fill="FFAFAA"/>
                    </w:rPr>
                    <w:t>达</w:t>
                  </w:r>
                  <w:bookmarkEnd w:id="37"/>
                  <w:r>
                    <w:rPr>
                      <w:rFonts w:hint="eastAsia" w:eastAsiaTheme="minorEastAsia"/>
                      <w:color w:val="auto"/>
                      <w:sz w:val="22"/>
                      <w:szCs w:val="22"/>
                      <w:highlight w:val="none"/>
                      <w:shd w:val="clear" w:fill="FFAFAA"/>
                      <w:lang w:eastAsia="zh-CN"/>
                    </w:rPr>
                    <w:t>到</w:t>
                  </w:r>
                  <w:r>
                    <w:rPr>
                      <w:rFonts w:hint="eastAsia" w:eastAsiaTheme="minorEastAsia"/>
                      <w:color w:val="auto"/>
                      <w:sz w:val="22"/>
                      <w:szCs w:val="22"/>
                      <w:highlight w:val="none"/>
                    </w:rPr>
                    <w:t>《污水综合排放标准》（GB8978-1996）三级标准后经市政污水管网进入银翔新城污水处理厂处理达标后排入柏水溪再汇入嘉陵江。</w:t>
                  </w:r>
                  <w:r>
                    <w:rPr>
                      <w:rFonts w:eastAsiaTheme="minorEastAsia"/>
                      <w:color w:val="auto"/>
                      <w:sz w:val="22"/>
                      <w:szCs w:val="22"/>
                      <w:highlight w:val="none"/>
                      <w:lang w:val="da-DK"/>
                    </w:rPr>
                    <w:t>综合生化池设计处理能力</w:t>
                  </w:r>
                  <w:r>
                    <w:rPr>
                      <w:rFonts w:hint="eastAsia" w:eastAsiaTheme="minorEastAsia"/>
                      <w:color w:val="auto"/>
                      <w:sz w:val="22"/>
                      <w:szCs w:val="22"/>
                      <w:highlight w:val="none"/>
                    </w:rPr>
                    <w:t>30</w:t>
                  </w:r>
                  <w:r>
                    <w:rPr>
                      <w:rFonts w:eastAsiaTheme="minorEastAsia"/>
                      <w:color w:val="auto"/>
                      <w:sz w:val="22"/>
                      <w:szCs w:val="22"/>
                      <w:highlight w:val="none"/>
                    </w:rPr>
                    <w:t>m</w:t>
                  </w:r>
                  <w:r>
                    <w:rPr>
                      <w:rFonts w:eastAsiaTheme="minorEastAsia"/>
                      <w:color w:val="auto"/>
                      <w:sz w:val="22"/>
                      <w:szCs w:val="22"/>
                      <w:highlight w:val="none"/>
                      <w:vertAlign w:val="superscript"/>
                    </w:rPr>
                    <w:t>3</w:t>
                  </w:r>
                  <w:r>
                    <w:rPr>
                      <w:rFonts w:eastAsiaTheme="minorEastAsia"/>
                      <w:color w:val="auto"/>
                      <w:sz w:val="22"/>
                      <w:szCs w:val="22"/>
                      <w:highlight w:val="none"/>
                    </w:rPr>
                    <w:t>/d，采用“</w:t>
                  </w:r>
                  <w:r>
                    <w:rPr>
                      <w:rFonts w:hint="eastAsia" w:eastAsiaTheme="minorEastAsia"/>
                      <w:color w:val="auto"/>
                      <w:sz w:val="22"/>
                      <w:szCs w:val="22"/>
                      <w:highlight w:val="none"/>
                    </w:rPr>
                    <w:t>格栅+初沉+厌氧</w:t>
                  </w:r>
                  <w:r>
                    <w:rPr>
                      <w:rFonts w:eastAsiaTheme="minorEastAsia"/>
                      <w:color w:val="auto"/>
                      <w:sz w:val="22"/>
                      <w:szCs w:val="22"/>
                      <w:highlight w:val="none"/>
                    </w:rPr>
                    <w:t>”的处理工艺，位于</w:t>
                  </w:r>
                  <w:r>
                    <w:rPr>
                      <w:rFonts w:hint="eastAsia" w:eastAsiaTheme="minorEastAsia"/>
                      <w:color w:val="auto"/>
                      <w:sz w:val="22"/>
                      <w:szCs w:val="22"/>
                      <w:highlight w:val="none"/>
                    </w:rPr>
                    <w:t>厂区</w:t>
                  </w:r>
                  <w:r>
                    <w:rPr>
                      <w:rFonts w:hint="eastAsia" w:eastAsiaTheme="minorEastAsia"/>
                      <w:color w:val="auto"/>
                      <w:sz w:val="22"/>
                      <w:szCs w:val="22"/>
                      <w:highlight w:val="none"/>
                      <w:lang w:eastAsia="zh-CN"/>
                    </w:rPr>
                    <w:t>西</w:t>
                  </w:r>
                  <w:r>
                    <w:rPr>
                      <w:rFonts w:eastAsiaTheme="minorEastAsia"/>
                      <w:color w:val="auto"/>
                      <w:sz w:val="22"/>
                      <w:szCs w:val="22"/>
                      <w:highlight w:val="none"/>
                    </w:rPr>
                    <w:t>南侧。</w:t>
                  </w:r>
                </w:p>
              </w:tc>
              <w:tc>
                <w:tcPr>
                  <w:tcW w:w="776" w:type="dxa"/>
                  <w:vAlign w:val="center"/>
                </w:tcPr>
                <w:p w14:paraId="5CD15226">
                  <w:pPr>
                    <w:jc w:val="center"/>
                    <w:rPr>
                      <w:rFonts w:eastAsiaTheme="minorEastAsia"/>
                      <w:color w:val="auto"/>
                      <w:sz w:val="22"/>
                      <w:szCs w:val="22"/>
                      <w:highlight w:val="none"/>
                    </w:rPr>
                  </w:pPr>
                  <w:r>
                    <w:rPr>
                      <w:rFonts w:hint="eastAsia" w:eastAsiaTheme="minorEastAsia"/>
                      <w:color w:val="auto"/>
                      <w:sz w:val="22"/>
                      <w:szCs w:val="22"/>
                      <w:highlight w:val="none"/>
                    </w:rPr>
                    <w:t>利旧+依托</w:t>
                  </w:r>
                </w:p>
              </w:tc>
            </w:tr>
            <w:tr w14:paraId="5A495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5210722E">
                  <w:pPr>
                    <w:jc w:val="center"/>
                    <w:rPr>
                      <w:rFonts w:eastAsiaTheme="minorEastAsia"/>
                      <w:color w:val="auto"/>
                      <w:sz w:val="22"/>
                      <w:szCs w:val="22"/>
                      <w:highlight w:val="none"/>
                    </w:rPr>
                  </w:pPr>
                </w:p>
              </w:tc>
              <w:tc>
                <w:tcPr>
                  <w:tcW w:w="1190" w:type="dxa"/>
                  <w:gridSpan w:val="2"/>
                  <w:vAlign w:val="center"/>
                </w:tcPr>
                <w:p w14:paraId="3EBA4F95">
                  <w:pPr>
                    <w:jc w:val="center"/>
                    <w:rPr>
                      <w:rFonts w:eastAsiaTheme="minorEastAsia"/>
                      <w:color w:val="auto"/>
                      <w:sz w:val="22"/>
                      <w:szCs w:val="22"/>
                      <w:highlight w:val="none"/>
                    </w:rPr>
                  </w:pPr>
                  <w:r>
                    <w:rPr>
                      <w:rFonts w:eastAsiaTheme="minorEastAsia"/>
                      <w:color w:val="auto"/>
                      <w:sz w:val="22"/>
                      <w:szCs w:val="22"/>
                      <w:highlight w:val="none"/>
                    </w:rPr>
                    <w:t>噪声治理</w:t>
                  </w:r>
                </w:p>
              </w:tc>
              <w:tc>
                <w:tcPr>
                  <w:tcW w:w="5850" w:type="dxa"/>
                  <w:vAlign w:val="center"/>
                </w:tcPr>
                <w:p w14:paraId="1298061F">
                  <w:pPr>
                    <w:jc w:val="left"/>
                    <w:rPr>
                      <w:rFonts w:eastAsiaTheme="minorEastAsia"/>
                      <w:color w:val="auto"/>
                      <w:sz w:val="22"/>
                      <w:szCs w:val="22"/>
                      <w:highlight w:val="none"/>
                    </w:rPr>
                  </w:pPr>
                  <w:r>
                    <w:rPr>
                      <w:rFonts w:eastAsiaTheme="minorEastAsia"/>
                      <w:color w:val="auto"/>
                      <w:sz w:val="22"/>
                      <w:szCs w:val="22"/>
                      <w:highlight w:val="none"/>
                    </w:rPr>
                    <w:t>选购低噪声设备、基础减振等，厂房内、建筑隔声。</w:t>
                  </w:r>
                </w:p>
              </w:tc>
              <w:tc>
                <w:tcPr>
                  <w:tcW w:w="776" w:type="dxa"/>
                  <w:vAlign w:val="center"/>
                </w:tcPr>
                <w:p w14:paraId="2D3E61A2">
                  <w:pPr>
                    <w:jc w:val="center"/>
                    <w:rPr>
                      <w:rFonts w:eastAsiaTheme="minorEastAsia"/>
                      <w:color w:val="auto"/>
                      <w:sz w:val="22"/>
                      <w:szCs w:val="22"/>
                      <w:highlight w:val="none"/>
                    </w:rPr>
                  </w:pPr>
                  <w:r>
                    <w:rPr>
                      <w:rFonts w:eastAsiaTheme="minorEastAsia"/>
                      <w:color w:val="auto"/>
                      <w:sz w:val="22"/>
                      <w:szCs w:val="22"/>
                      <w:highlight w:val="none"/>
                    </w:rPr>
                    <w:t>新建</w:t>
                  </w:r>
                </w:p>
              </w:tc>
            </w:tr>
            <w:tr w14:paraId="3AF1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248D4A78">
                  <w:pPr>
                    <w:jc w:val="center"/>
                    <w:rPr>
                      <w:rFonts w:eastAsiaTheme="minorEastAsia"/>
                      <w:color w:val="auto"/>
                      <w:sz w:val="22"/>
                      <w:szCs w:val="22"/>
                      <w:highlight w:val="none"/>
                    </w:rPr>
                  </w:pPr>
                </w:p>
              </w:tc>
              <w:tc>
                <w:tcPr>
                  <w:tcW w:w="1190" w:type="dxa"/>
                  <w:gridSpan w:val="2"/>
                  <w:vAlign w:val="center"/>
                </w:tcPr>
                <w:p w14:paraId="71E0CC66">
                  <w:pPr>
                    <w:jc w:val="center"/>
                    <w:rPr>
                      <w:rFonts w:eastAsiaTheme="minorEastAsia"/>
                      <w:color w:val="auto"/>
                      <w:sz w:val="22"/>
                      <w:szCs w:val="22"/>
                      <w:highlight w:val="none"/>
                    </w:rPr>
                  </w:pPr>
                  <w:r>
                    <w:rPr>
                      <w:rFonts w:eastAsiaTheme="minorEastAsia"/>
                      <w:color w:val="auto"/>
                      <w:sz w:val="22"/>
                      <w:szCs w:val="22"/>
                      <w:highlight w:val="none"/>
                    </w:rPr>
                    <w:t>固废处置</w:t>
                  </w:r>
                </w:p>
              </w:tc>
              <w:tc>
                <w:tcPr>
                  <w:tcW w:w="5850" w:type="dxa"/>
                  <w:vAlign w:val="center"/>
                </w:tcPr>
                <w:p w14:paraId="0FA88857">
                  <w:pPr>
                    <w:adjustRightInd w:val="0"/>
                    <w:snapToGrid w:val="0"/>
                    <w:jc w:val="left"/>
                    <w:rPr>
                      <w:rFonts w:eastAsiaTheme="minorEastAsia"/>
                      <w:color w:val="auto"/>
                      <w:sz w:val="22"/>
                      <w:szCs w:val="22"/>
                      <w:highlight w:val="none"/>
                    </w:rPr>
                  </w:pPr>
                  <w:r>
                    <w:rPr>
                      <w:rFonts w:eastAsiaTheme="minorEastAsia"/>
                      <w:color w:val="auto"/>
                      <w:kern w:val="0"/>
                      <w:sz w:val="22"/>
                      <w:szCs w:val="22"/>
                      <w:highlight w:val="none"/>
                    </w:rPr>
                    <w:t>①危险废物贮存点：位于生产厂房外</w:t>
                  </w:r>
                  <w:r>
                    <w:rPr>
                      <w:rFonts w:hint="eastAsia" w:eastAsiaTheme="minorEastAsia"/>
                      <w:color w:val="auto"/>
                      <w:kern w:val="0"/>
                      <w:sz w:val="22"/>
                      <w:szCs w:val="22"/>
                      <w:highlight w:val="none"/>
                    </w:rPr>
                    <w:t>油料库</w:t>
                  </w:r>
                  <w:r>
                    <w:rPr>
                      <w:rFonts w:eastAsiaTheme="minorEastAsia"/>
                      <w:color w:val="auto"/>
                      <w:kern w:val="0"/>
                      <w:sz w:val="22"/>
                      <w:szCs w:val="22"/>
                      <w:highlight w:val="none"/>
                    </w:rPr>
                    <w:t>西侧</w:t>
                  </w:r>
                  <w:r>
                    <w:rPr>
                      <w:rFonts w:hint="eastAsia" w:eastAsiaTheme="minorEastAsia"/>
                      <w:color w:val="auto"/>
                      <w:kern w:val="0"/>
                      <w:sz w:val="22"/>
                      <w:szCs w:val="22"/>
                      <w:highlight w:val="none"/>
                    </w:rPr>
                    <w:t>，占地</w:t>
                  </w:r>
                  <w:r>
                    <w:rPr>
                      <w:rFonts w:eastAsiaTheme="minorEastAsia"/>
                      <w:color w:val="auto"/>
                      <w:kern w:val="0"/>
                      <w:sz w:val="22"/>
                      <w:szCs w:val="22"/>
                      <w:highlight w:val="none"/>
                    </w:rPr>
                    <w:t>面积约</w:t>
                  </w:r>
                  <w:r>
                    <w:rPr>
                      <w:rFonts w:hint="eastAsia" w:eastAsiaTheme="minorEastAsia"/>
                      <w:color w:val="auto"/>
                      <w:kern w:val="0"/>
                      <w:sz w:val="22"/>
                      <w:szCs w:val="22"/>
                      <w:highlight w:val="none"/>
                    </w:rPr>
                    <w:t>18</w:t>
                  </w:r>
                  <w:r>
                    <w:rPr>
                      <w:rFonts w:eastAsiaTheme="minorEastAsia"/>
                      <w:color w:val="auto"/>
                      <w:kern w:val="0"/>
                      <w:sz w:val="22"/>
                      <w:szCs w:val="22"/>
                      <w:highlight w:val="none"/>
                    </w:rPr>
                    <w:t>m</w:t>
                  </w:r>
                  <w:r>
                    <w:rPr>
                      <w:rFonts w:eastAsiaTheme="minorEastAsia"/>
                      <w:color w:val="auto"/>
                      <w:kern w:val="0"/>
                      <w:sz w:val="22"/>
                      <w:szCs w:val="22"/>
                      <w:highlight w:val="none"/>
                      <w:vertAlign w:val="superscript"/>
                    </w:rPr>
                    <w:t>2</w:t>
                  </w:r>
                  <w:r>
                    <w:rPr>
                      <w:rFonts w:eastAsiaTheme="minorEastAsia"/>
                      <w:color w:val="auto"/>
                      <w:kern w:val="0"/>
                      <w:sz w:val="22"/>
                      <w:szCs w:val="22"/>
                      <w:highlight w:val="none"/>
                    </w:rPr>
                    <w:t>，用于暂存本项目产生的危险废物，按照《危险废物贮存污染控制标准》（GB18597-2023）相关要求建设</w:t>
                  </w:r>
                  <w:r>
                    <w:rPr>
                      <w:rFonts w:eastAsiaTheme="minorEastAsia"/>
                      <w:color w:val="auto"/>
                      <w:sz w:val="22"/>
                      <w:szCs w:val="22"/>
                      <w:highlight w:val="none"/>
                    </w:rPr>
                    <w:t>；</w:t>
                  </w:r>
                </w:p>
                <w:p w14:paraId="2ACFA7B3">
                  <w:pPr>
                    <w:jc w:val="left"/>
                    <w:rPr>
                      <w:rFonts w:eastAsiaTheme="minorEastAsia"/>
                      <w:color w:val="auto"/>
                      <w:sz w:val="22"/>
                      <w:szCs w:val="22"/>
                      <w:highlight w:val="none"/>
                    </w:rPr>
                  </w:pPr>
                  <w:r>
                    <w:rPr>
                      <w:rFonts w:eastAsiaTheme="minorEastAsia"/>
                      <w:color w:val="auto"/>
                      <w:sz w:val="22"/>
                      <w:szCs w:val="22"/>
                      <w:highlight w:val="none"/>
                    </w:rPr>
                    <w:t>②一般工业固废暂存间：位于金属压块打包区东北侧，建筑面积约150m</w:t>
                  </w:r>
                  <w:r>
                    <w:rPr>
                      <w:rFonts w:eastAsiaTheme="minorEastAsia"/>
                      <w:color w:val="auto"/>
                      <w:sz w:val="22"/>
                      <w:szCs w:val="22"/>
                      <w:highlight w:val="none"/>
                      <w:vertAlign w:val="superscript"/>
                    </w:rPr>
                    <w:t>2</w:t>
                  </w:r>
                  <w:r>
                    <w:rPr>
                      <w:rFonts w:eastAsiaTheme="minorEastAsia"/>
                      <w:color w:val="auto"/>
                      <w:sz w:val="22"/>
                      <w:szCs w:val="22"/>
                      <w:highlight w:val="none"/>
                    </w:rPr>
                    <w:t>，用于暂存废金属压块、废包装材料等工业固废，采取相应防渗漏、防雨淋、防扬尘措施；</w:t>
                  </w:r>
                </w:p>
                <w:p w14:paraId="5BD88557">
                  <w:pPr>
                    <w:jc w:val="left"/>
                    <w:rPr>
                      <w:rFonts w:eastAsiaTheme="minorEastAsia"/>
                      <w:color w:val="auto"/>
                      <w:sz w:val="22"/>
                      <w:szCs w:val="22"/>
                      <w:highlight w:val="none"/>
                    </w:rPr>
                  </w:pPr>
                  <w:r>
                    <w:rPr>
                      <w:rFonts w:eastAsiaTheme="minorEastAsia"/>
                      <w:color w:val="auto"/>
                      <w:sz w:val="22"/>
                      <w:szCs w:val="22"/>
                      <w:highlight w:val="none"/>
                    </w:rPr>
                    <w:t>③设1处生活垃圾集中收集点，位于办公楼。</w:t>
                  </w:r>
                </w:p>
              </w:tc>
              <w:tc>
                <w:tcPr>
                  <w:tcW w:w="776" w:type="dxa"/>
                  <w:vAlign w:val="center"/>
                </w:tcPr>
                <w:p w14:paraId="338A0704">
                  <w:pPr>
                    <w:jc w:val="center"/>
                    <w:rPr>
                      <w:rFonts w:eastAsiaTheme="minorEastAsia"/>
                      <w:color w:val="auto"/>
                      <w:sz w:val="22"/>
                      <w:szCs w:val="22"/>
                      <w:highlight w:val="none"/>
                    </w:rPr>
                  </w:pPr>
                  <w:r>
                    <w:rPr>
                      <w:rFonts w:hint="eastAsia" w:eastAsiaTheme="minorEastAsia"/>
                      <w:color w:val="auto"/>
                      <w:sz w:val="22"/>
                      <w:szCs w:val="22"/>
                      <w:highlight w:val="none"/>
                    </w:rPr>
                    <w:t>改造+</w:t>
                  </w:r>
                  <w:r>
                    <w:rPr>
                      <w:rFonts w:eastAsiaTheme="minorEastAsia"/>
                      <w:color w:val="auto"/>
                      <w:sz w:val="22"/>
                      <w:szCs w:val="22"/>
                      <w:highlight w:val="none"/>
                    </w:rPr>
                    <w:t>新建</w:t>
                  </w:r>
                </w:p>
              </w:tc>
            </w:tr>
            <w:tr w14:paraId="7CEA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dxa"/>
                  <w:vMerge w:val="continue"/>
                  <w:vAlign w:val="center"/>
                </w:tcPr>
                <w:p w14:paraId="467569FB">
                  <w:pPr>
                    <w:jc w:val="center"/>
                    <w:rPr>
                      <w:rFonts w:eastAsiaTheme="minorEastAsia"/>
                      <w:color w:val="auto"/>
                      <w:sz w:val="22"/>
                      <w:szCs w:val="22"/>
                      <w:highlight w:val="none"/>
                    </w:rPr>
                  </w:pPr>
                </w:p>
              </w:tc>
              <w:tc>
                <w:tcPr>
                  <w:tcW w:w="1190" w:type="dxa"/>
                  <w:gridSpan w:val="2"/>
                  <w:vAlign w:val="center"/>
                </w:tcPr>
                <w:p w14:paraId="10F626B2">
                  <w:pPr>
                    <w:jc w:val="center"/>
                    <w:rPr>
                      <w:rFonts w:eastAsiaTheme="minorEastAsia"/>
                      <w:color w:val="auto"/>
                      <w:sz w:val="22"/>
                      <w:szCs w:val="22"/>
                      <w:highlight w:val="none"/>
                    </w:rPr>
                  </w:pPr>
                  <w:r>
                    <w:rPr>
                      <w:rFonts w:eastAsiaTheme="minorEastAsia"/>
                      <w:color w:val="auto"/>
                      <w:sz w:val="22"/>
                      <w:szCs w:val="22"/>
                      <w:highlight w:val="none"/>
                    </w:rPr>
                    <w:t>地下水、土壤</w:t>
                  </w:r>
                  <w:r>
                    <w:rPr>
                      <w:rFonts w:hint="eastAsia" w:eastAsiaTheme="minorEastAsia"/>
                      <w:color w:val="auto"/>
                      <w:sz w:val="22"/>
                      <w:szCs w:val="22"/>
                      <w:highlight w:val="none"/>
                    </w:rPr>
                    <w:t>风险防控</w:t>
                  </w:r>
                </w:p>
              </w:tc>
              <w:tc>
                <w:tcPr>
                  <w:tcW w:w="5850" w:type="dxa"/>
                  <w:vAlign w:val="center"/>
                </w:tcPr>
                <w:p w14:paraId="24F5E72E">
                  <w:pPr>
                    <w:jc w:val="left"/>
                    <w:rPr>
                      <w:rFonts w:eastAsiaTheme="minorEastAsia"/>
                      <w:color w:val="auto"/>
                      <w:sz w:val="22"/>
                      <w:szCs w:val="22"/>
                      <w:highlight w:val="none"/>
                    </w:rPr>
                  </w:pPr>
                  <w:r>
                    <w:rPr>
                      <w:rFonts w:eastAsiaTheme="minorEastAsia"/>
                      <w:color w:val="auto"/>
                      <w:sz w:val="22"/>
                      <w:szCs w:val="22"/>
                      <w:highlight w:val="none"/>
                    </w:rPr>
                    <w:t>厂区分区防渗：危废贮存点、油料库作为重点防渗区，等效黏土防渗层Mb≥6.0m，K≤1×10</w:t>
                  </w:r>
                  <w:bookmarkStart w:id="38" w:name="hmcheck_a2c283b2637a4e11a7013bcbb5e8fbc9"/>
                  <w:r>
                    <w:rPr>
                      <w:rFonts w:eastAsiaTheme="minorEastAsia"/>
                      <w:color w:val="auto"/>
                      <w:sz w:val="22"/>
                      <w:szCs w:val="22"/>
                      <w:highlight w:val="none"/>
                      <w:shd w:val="clear" w:fill="FFAFAA"/>
                      <w:vertAlign w:val="superscript"/>
                    </w:rPr>
                    <w:t>-</w:t>
                  </w:r>
                  <w:bookmarkEnd w:id="38"/>
                  <w:r>
                    <w:rPr>
                      <w:rFonts w:eastAsiaTheme="minorEastAsia"/>
                      <w:color w:val="auto"/>
                      <w:sz w:val="22"/>
                      <w:szCs w:val="22"/>
                      <w:highlight w:val="none"/>
                      <w:vertAlign w:val="superscript"/>
                    </w:rPr>
                    <w:t>7</w:t>
                  </w:r>
                  <w:r>
                    <w:rPr>
                      <w:rFonts w:eastAsiaTheme="minorEastAsia"/>
                      <w:color w:val="auto"/>
                      <w:sz w:val="22"/>
                      <w:szCs w:val="22"/>
                      <w:highlight w:val="none"/>
                    </w:rPr>
                    <w:t>cm/s或参照GB18597-2023执行</w:t>
                  </w:r>
                  <w:r>
                    <w:rPr>
                      <w:rFonts w:hint="eastAsia" w:eastAsiaTheme="minorEastAsia"/>
                      <w:color w:val="auto"/>
                      <w:sz w:val="22"/>
                      <w:szCs w:val="22"/>
                      <w:highlight w:val="none"/>
                    </w:rPr>
                    <w:t>。油压机、涂胶机区域作为一般</w:t>
                  </w:r>
                  <w:r>
                    <w:rPr>
                      <w:rFonts w:hint="eastAsia" w:eastAsiaTheme="minorEastAsia"/>
                      <w:color w:val="auto"/>
                      <w:sz w:val="22"/>
                      <w:szCs w:val="22"/>
                      <w:highlight w:val="none"/>
                      <w:lang w:eastAsia="zh-CN"/>
                    </w:rPr>
                    <w:t>防渗</w:t>
                  </w:r>
                  <w:r>
                    <w:rPr>
                      <w:rFonts w:hint="eastAsia" w:eastAsiaTheme="minorEastAsia"/>
                      <w:color w:val="auto"/>
                      <w:sz w:val="22"/>
                      <w:szCs w:val="22"/>
                      <w:highlight w:val="none"/>
                    </w:rPr>
                    <w:t>区，等效黏土防渗层Mb≥1.5m，K≤1×10</w:t>
                  </w:r>
                  <w:bookmarkStart w:id="39" w:name="hmcheck_6f1c8776188743fe99e62999ce2ad743"/>
                  <w:r>
                    <w:rPr>
                      <w:rFonts w:hint="eastAsia" w:eastAsiaTheme="minorEastAsia"/>
                      <w:color w:val="auto"/>
                      <w:sz w:val="22"/>
                      <w:szCs w:val="22"/>
                      <w:highlight w:val="none"/>
                      <w:shd w:val="clear" w:fill="FFAFAA"/>
                      <w:vertAlign w:val="superscript"/>
                    </w:rPr>
                    <w:t>-</w:t>
                  </w:r>
                  <w:bookmarkEnd w:id="39"/>
                  <w:r>
                    <w:rPr>
                      <w:rFonts w:hint="eastAsia" w:eastAsiaTheme="minorEastAsia"/>
                      <w:color w:val="auto"/>
                      <w:sz w:val="22"/>
                      <w:szCs w:val="22"/>
                      <w:highlight w:val="none"/>
                      <w:vertAlign w:val="superscript"/>
                    </w:rPr>
                    <w:t>7</w:t>
                  </w:r>
                  <w:r>
                    <w:rPr>
                      <w:rFonts w:hint="eastAsia" w:eastAsiaTheme="minorEastAsia"/>
                      <w:color w:val="auto"/>
                      <w:sz w:val="22"/>
                      <w:szCs w:val="22"/>
                      <w:highlight w:val="none"/>
                    </w:rPr>
                    <w:t>cm/s。</w:t>
                  </w:r>
                </w:p>
              </w:tc>
              <w:tc>
                <w:tcPr>
                  <w:tcW w:w="776" w:type="dxa"/>
                  <w:vAlign w:val="center"/>
                </w:tcPr>
                <w:p w14:paraId="5179ED55">
                  <w:pPr>
                    <w:jc w:val="center"/>
                    <w:rPr>
                      <w:rFonts w:eastAsiaTheme="minorEastAsia"/>
                      <w:color w:val="auto"/>
                      <w:sz w:val="22"/>
                      <w:szCs w:val="22"/>
                      <w:highlight w:val="none"/>
                    </w:rPr>
                  </w:pPr>
                  <w:r>
                    <w:rPr>
                      <w:rFonts w:hint="eastAsia" w:eastAsiaTheme="minorEastAsia"/>
                      <w:color w:val="auto"/>
                      <w:sz w:val="22"/>
                      <w:szCs w:val="22"/>
                      <w:highlight w:val="none"/>
                    </w:rPr>
                    <w:t>改造</w:t>
                  </w:r>
                </w:p>
              </w:tc>
            </w:tr>
            <w:tr w14:paraId="2DAD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06794F6F">
                  <w:pPr>
                    <w:jc w:val="center"/>
                    <w:rPr>
                      <w:rFonts w:eastAsiaTheme="minorEastAsia"/>
                      <w:color w:val="auto"/>
                      <w:sz w:val="22"/>
                      <w:szCs w:val="22"/>
                      <w:highlight w:val="none"/>
                    </w:rPr>
                  </w:pPr>
                </w:p>
              </w:tc>
              <w:tc>
                <w:tcPr>
                  <w:tcW w:w="1190" w:type="dxa"/>
                  <w:gridSpan w:val="2"/>
                  <w:vAlign w:val="center"/>
                </w:tcPr>
                <w:p w14:paraId="3BF98755">
                  <w:pPr>
                    <w:jc w:val="center"/>
                    <w:rPr>
                      <w:rFonts w:eastAsiaTheme="minorEastAsia"/>
                      <w:color w:val="auto"/>
                      <w:sz w:val="22"/>
                      <w:szCs w:val="22"/>
                      <w:highlight w:val="none"/>
                    </w:rPr>
                  </w:pPr>
                  <w:r>
                    <w:rPr>
                      <w:rFonts w:hint="eastAsia" w:eastAsiaTheme="minorEastAsia"/>
                      <w:color w:val="auto"/>
                      <w:sz w:val="22"/>
                      <w:szCs w:val="22"/>
                      <w:highlight w:val="none"/>
                    </w:rPr>
                    <w:t>环境风险防控</w:t>
                  </w:r>
                </w:p>
              </w:tc>
              <w:tc>
                <w:tcPr>
                  <w:tcW w:w="5850" w:type="dxa"/>
                  <w:vAlign w:val="center"/>
                </w:tcPr>
                <w:p w14:paraId="2150445D">
                  <w:pPr>
                    <w:jc w:val="left"/>
                    <w:rPr>
                      <w:rFonts w:eastAsiaTheme="minorEastAsia"/>
                      <w:color w:val="auto"/>
                      <w:sz w:val="22"/>
                      <w:szCs w:val="22"/>
                      <w:highlight w:val="none"/>
                    </w:rPr>
                  </w:pPr>
                  <w:r>
                    <w:rPr>
                      <w:rFonts w:eastAsiaTheme="minorEastAsia"/>
                      <w:color w:val="auto"/>
                      <w:sz w:val="22"/>
                      <w:szCs w:val="22"/>
                      <w:highlight w:val="none"/>
                    </w:rPr>
                    <w:t>①油料库及危险废物贮存点盛装容器周围设置液体泄漏堵截设施，并作为重点防渗区</w:t>
                  </w:r>
                  <w:r>
                    <w:rPr>
                      <w:rFonts w:hint="eastAsia" w:eastAsiaTheme="minorEastAsia"/>
                      <w:color w:val="auto"/>
                      <w:sz w:val="22"/>
                      <w:szCs w:val="22"/>
                      <w:highlight w:val="none"/>
                    </w:rPr>
                    <w:t>，预留空桶（泄漏时及时转桶）；</w:t>
                  </w:r>
                </w:p>
                <w:p w14:paraId="36C25A99">
                  <w:pPr>
                    <w:jc w:val="left"/>
                    <w:rPr>
                      <w:rFonts w:eastAsiaTheme="minorEastAsia"/>
                      <w:color w:val="auto"/>
                      <w:sz w:val="22"/>
                      <w:szCs w:val="22"/>
                      <w:highlight w:val="none"/>
                    </w:rPr>
                  </w:pPr>
                  <w:r>
                    <w:rPr>
                      <w:rFonts w:eastAsiaTheme="minorEastAsia"/>
                      <w:color w:val="auto"/>
                      <w:sz w:val="22"/>
                      <w:szCs w:val="22"/>
                      <w:highlight w:val="none"/>
                    </w:rPr>
                    <w:t>②乙炔瓶直立放置并采取防倾倒措施（如固定架或链条）；乙炔操作区域</w:t>
                  </w:r>
                  <w:r>
                    <w:rPr>
                      <w:rFonts w:hint="eastAsia" w:eastAsiaTheme="minorEastAsia"/>
                      <w:color w:val="auto"/>
                      <w:sz w:val="22"/>
                      <w:szCs w:val="22"/>
                      <w:highlight w:val="none"/>
                    </w:rPr>
                    <w:t>需加强通风、排风，储存及使用区域安装乙炔浓度检测报警仪；油料库、危险废物贮存点、气库设立防火标志</w:t>
                  </w:r>
                  <w:r>
                    <w:rPr>
                      <w:rFonts w:hint="eastAsia" w:eastAsiaTheme="minorEastAsia"/>
                      <w:color w:val="auto"/>
                      <w:sz w:val="22"/>
                      <w:szCs w:val="22"/>
                      <w:highlight w:val="none"/>
                      <w:lang w:eastAsia="zh-CN"/>
                    </w:rPr>
                    <w:t>、规范管理，远离火源、热源及阳光直射，与易燃、可燃物等分开存放</w:t>
                  </w:r>
                  <w:r>
                    <w:rPr>
                      <w:rFonts w:hint="eastAsia" w:eastAsiaTheme="minorEastAsia"/>
                      <w:color w:val="auto"/>
                      <w:sz w:val="22"/>
                      <w:szCs w:val="22"/>
                      <w:highlight w:val="none"/>
                    </w:rPr>
                    <w:t>；配备应急设备及物资等。</w:t>
                  </w:r>
                </w:p>
              </w:tc>
              <w:tc>
                <w:tcPr>
                  <w:tcW w:w="776" w:type="dxa"/>
                  <w:vAlign w:val="center"/>
                </w:tcPr>
                <w:p w14:paraId="40555B56">
                  <w:pPr>
                    <w:jc w:val="center"/>
                    <w:rPr>
                      <w:rFonts w:eastAsiaTheme="minorEastAsia"/>
                      <w:color w:val="auto"/>
                      <w:sz w:val="22"/>
                      <w:szCs w:val="22"/>
                      <w:highlight w:val="none"/>
                    </w:rPr>
                  </w:pPr>
                  <w:r>
                    <w:rPr>
                      <w:rFonts w:hint="eastAsia" w:eastAsiaTheme="minorEastAsia"/>
                      <w:color w:val="auto"/>
                      <w:sz w:val="22"/>
                      <w:szCs w:val="22"/>
                      <w:highlight w:val="none"/>
                    </w:rPr>
                    <w:t>新建</w:t>
                  </w:r>
                </w:p>
              </w:tc>
            </w:tr>
          </w:tbl>
          <w:p w14:paraId="608A6A7A">
            <w:pPr>
              <w:autoSpaceDE w:val="0"/>
              <w:autoSpaceDN w:val="0"/>
              <w:adjustRightInd w:val="0"/>
              <w:snapToGrid w:val="0"/>
              <w:spacing w:line="400" w:lineRule="exact"/>
              <w:ind w:firstLine="522" w:firstLineChars="200"/>
              <w:rPr>
                <w:b/>
                <w:color w:val="auto"/>
                <w:kern w:val="0"/>
                <w:sz w:val="26"/>
                <w:szCs w:val="26"/>
                <w:highlight w:val="none"/>
              </w:rPr>
            </w:pPr>
            <w:r>
              <w:rPr>
                <w:rFonts w:hint="eastAsia"/>
                <w:b/>
                <w:color w:val="auto"/>
                <w:kern w:val="0"/>
                <w:sz w:val="26"/>
                <w:szCs w:val="26"/>
                <w:highlight w:val="none"/>
              </w:rPr>
              <w:t>利旧及依托可行性分析：</w:t>
            </w:r>
          </w:p>
          <w:p w14:paraId="3923AFD9">
            <w:pPr>
              <w:autoSpaceDE w:val="0"/>
              <w:autoSpaceDN w:val="0"/>
              <w:adjustRightInd w:val="0"/>
              <w:snapToGrid w:val="0"/>
              <w:spacing w:line="400" w:lineRule="exact"/>
              <w:ind w:firstLine="520" w:firstLineChars="200"/>
              <w:rPr>
                <w:b/>
                <w:color w:val="auto"/>
                <w:kern w:val="0"/>
                <w:sz w:val="26"/>
                <w:szCs w:val="26"/>
                <w:highlight w:val="none"/>
              </w:rPr>
            </w:pPr>
            <w:r>
              <w:rPr>
                <w:rFonts w:hint="eastAsia"/>
                <w:bCs/>
                <w:color w:val="auto"/>
                <w:kern w:val="0"/>
                <w:sz w:val="26"/>
                <w:szCs w:val="26"/>
                <w:highlight w:val="none"/>
              </w:rPr>
              <w:t>本项目主要利旧及依托工程的利旧和依托可行性分析见下表。</w:t>
            </w:r>
          </w:p>
          <w:p w14:paraId="195476B2">
            <w:pPr>
              <w:snapToGrid w:val="0"/>
              <w:jc w:val="center"/>
              <w:rPr>
                <w:color w:val="auto"/>
                <w:kern w:val="0"/>
                <w:sz w:val="22"/>
                <w:szCs w:val="28"/>
                <w:highlight w:val="none"/>
              </w:rPr>
            </w:pPr>
          </w:p>
          <w:p w14:paraId="7D823D01">
            <w:pPr>
              <w:autoSpaceDE w:val="0"/>
              <w:autoSpaceDN w:val="0"/>
              <w:adjustRightInd w:val="0"/>
              <w:snapToGrid w:val="0"/>
              <w:jc w:val="center"/>
              <w:rPr>
                <w:bCs/>
                <w:color w:val="auto"/>
                <w:kern w:val="0"/>
                <w:sz w:val="26"/>
                <w:szCs w:val="26"/>
                <w:highlight w:val="none"/>
              </w:rPr>
            </w:pPr>
            <w:r>
              <w:rPr>
                <w:rFonts w:hint="eastAsia"/>
                <w:bCs/>
                <w:color w:val="auto"/>
                <w:kern w:val="0"/>
                <w:sz w:val="26"/>
                <w:szCs w:val="26"/>
                <w:highlight w:val="none"/>
              </w:rPr>
              <w:t>表2.3-2  利旧及依托可行性分析</w:t>
            </w:r>
          </w:p>
          <w:tbl>
            <w:tblPr>
              <w:tblStyle w:val="17"/>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408"/>
              <w:gridCol w:w="2066"/>
              <w:gridCol w:w="5109"/>
            </w:tblGrid>
            <w:tr w14:paraId="2BA1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0" w:type="dxa"/>
                  <w:vAlign w:val="center"/>
                </w:tcPr>
                <w:p w14:paraId="086B5809">
                  <w:pPr>
                    <w:autoSpaceDE w:val="0"/>
                    <w:autoSpaceDN w:val="0"/>
                    <w:adjustRightInd w:val="0"/>
                    <w:snapToGrid w:val="0"/>
                    <w:jc w:val="center"/>
                    <w:rPr>
                      <w:bCs/>
                      <w:color w:val="auto"/>
                      <w:kern w:val="0"/>
                      <w:sz w:val="22"/>
                      <w:szCs w:val="22"/>
                      <w:highlight w:val="none"/>
                    </w:rPr>
                  </w:pPr>
                  <w:r>
                    <w:rPr>
                      <w:rFonts w:hint="eastAsia"/>
                      <w:bCs/>
                      <w:color w:val="auto"/>
                      <w:kern w:val="0"/>
                      <w:sz w:val="22"/>
                      <w:szCs w:val="22"/>
                      <w:highlight w:val="none"/>
                    </w:rPr>
                    <w:t>序号</w:t>
                  </w:r>
                </w:p>
              </w:tc>
              <w:tc>
                <w:tcPr>
                  <w:tcW w:w="2474" w:type="dxa"/>
                  <w:gridSpan w:val="2"/>
                  <w:vAlign w:val="center"/>
                </w:tcPr>
                <w:p w14:paraId="191D10BD">
                  <w:pPr>
                    <w:autoSpaceDE w:val="0"/>
                    <w:autoSpaceDN w:val="0"/>
                    <w:adjustRightInd w:val="0"/>
                    <w:snapToGrid w:val="0"/>
                    <w:jc w:val="center"/>
                    <w:rPr>
                      <w:bCs/>
                      <w:color w:val="auto"/>
                      <w:kern w:val="0"/>
                      <w:sz w:val="22"/>
                      <w:szCs w:val="22"/>
                      <w:highlight w:val="none"/>
                    </w:rPr>
                  </w:pPr>
                  <w:r>
                    <w:rPr>
                      <w:rFonts w:hint="eastAsia"/>
                      <w:bCs/>
                      <w:color w:val="auto"/>
                      <w:kern w:val="0"/>
                      <w:sz w:val="22"/>
                      <w:szCs w:val="22"/>
                      <w:highlight w:val="none"/>
                    </w:rPr>
                    <w:t>利旧/依托工程</w:t>
                  </w:r>
                </w:p>
              </w:tc>
              <w:tc>
                <w:tcPr>
                  <w:tcW w:w="5109" w:type="dxa"/>
                  <w:vAlign w:val="center"/>
                </w:tcPr>
                <w:p w14:paraId="0B17D05F">
                  <w:pPr>
                    <w:autoSpaceDE w:val="0"/>
                    <w:autoSpaceDN w:val="0"/>
                    <w:adjustRightInd w:val="0"/>
                    <w:snapToGrid w:val="0"/>
                    <w:jc w:val="center"/>
                    <w:rPr>
                      <w:bCs/>
                      <w:color w:val="auto"/>
                      <w:kern w:val="0"/>
                      <w:sz w:val="22"/>
                      <w:szCs w:val="22"/>
                      <w:highlight w:val="none"/>
                    </w:rPr>
                  </w:pPr>
                  <w:r>
                    <w:rPr>
                      <w:rFonts w:hint="eastAsia"/>
                      <w:bCs/>
                      <w:color w:val="auto"/>
                      <w:kern w:val="0"/>
                      <w:sz w:val="22"/>
                      <w:szCs w:val="22"/>
                      <w:highlight w:val="none"/>
                    </w:rPr>
                    <w:t>利旧及依托可行性分析</w:t>
                  </w:r>
                </w:p>
              </w:tc>
            </w:tr>
            <w:tr w14:paraId="6671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0" w:type="dxa"/>
                  <w:vAlign w:val="center"/>
                </w:tcPr>
                <w:p w14:paraId="28130B79">
                  <w:pPr>
                    <w:numPr>
                      <w:ilvl w:val="0"/>
                      <w:numId w:val="7"/>
                    </w:numPr>
                    <w:autoSpaceDE w:val="0"/>
                    <w:autoSpaceDN w:val="0"/>
                    <w:adjustRightInd w:val="0"/>
                    <w:snapToGrid w:val="0"/>
                    <w:jc w:val="center"/>
                    <w:rPr>
                      <w:bCs/>
                      <w:color w:val="auto"/>
                      <w:kern w:val="0"/>
                      <w:sz w:val="22"/>
                      <w:szCs w:val="22"/>
                      <w:highlight w:val="none"/>
                    </w:rPr>
                  </w:pPr>
                </w:p>
              </w:tc>
              <w:tc>
                <w:tcPr>
                  <w:tcW w:w="408" w:type="dxa"/>
                  <w:vMerge w:val="restart"/>
                  <w:vAlign w:val="center"/>
                </w:tcPr>
                <w:p w14:paraId="1BAD90FD">
                  <w:pPr>
                    <w:autoSpaceDE w:val="0"/>
                    <w:autoSpaceDN w:val="0"/>
                    <w:adjustRightInd w:val="0"/>
                    <w:snapToGrid w:val="0"/>
                    <w:jc w:val="center"/>
                    <w:rPr>
                      <w:bCs/>
                      <w:color w:val="auto"/>
                      <w:kern w:val="0"/>
                      <w:sz w:val="22"/>
                      <w:szCs w:val="22"/>
                      <w:highlight w:val="none"/>
                    </w:rPr>
                  </w:pPr>
                  <w:r>
                    <w:rPr>
                      <w:rFonts w:hint="eastAsia"/>
                      <w:bCs/>
                      <w:color w:val="auto"/>
                      <w:kern w:val="0"/>
                      <w:sz w:val="22"/>
                      <w:szCs w:val="22"/>
                      <w:highlight w:val="none"/>
                    </w:rPr>
                    <w:t>利旧工程</w:t>
                  </w:r>
                </w:p>
              </w:tc>
              <w:tc>
                <w:tcPr>
                  <w:tcW w:w="2066" w:type="dxa"/>
                  <w:vAlign w:val="center"/>
                </w:tcPr>
                <w:p w14:paraId="226A7D90">
                  <w:pPr>
                    <w:autoSpaceDE w:val="0"/>
                    <w:autoSpaceDN w:val="0"/>
                    <w:adjustRightInd w:val="0"/>
                    <w:snapToGrid w:val="0"/>
                    <w:jc w:val="center"/>
                    <w:rPr>
                      <w:bCs/>
                      <w:color w:val="auto"/>
                      <w:kern w:val="0"/>
                      <w:sz w:val="22"/>
                      <w:szCs w:val="22"/>
                      <w:highlight w:val="none"/>
                    </w:rPr>
                  </w:pPr>
                  <w:r>
                    <w:rPr>
                      <w:rFonts w:hint="eastAsia"/>
                      <w:bCs/>
                      <w:color w:val="auto"/>
                      <w:kern w:val="0"/>
                      <w:sz w:val="22"/>
                      <w:szCs w:val="22"/>
                      <w:highlight w:val="none"/>
                    </w:rPr>
                    <w:t>中小型冲液压、剪板、开卷、移动式二保弧焊机、空压机等设备</w:t>
                  </w:r>
                </w:p>
              </w:tc>
              <w:tc>
                <w:tcPr>
                  <w:tcW w:w="5109" w:type="dxa"/>
                  <w:vAlign w:val="center"/>
                </w:tcPr>
                <w:p w14:paraId="61D82658">
                  <w:pPr>
                    <w:autoSpaceDE w:val="0"/>
                    <w:autoSpaceDN w:val="0"/>
                    <w:adjustRightInd w:val="0"/>
                    <w:snapToGrid w:val="0"/>
                    <w:jc w:val="center"/>
                    <w:rPr>
                      <w:bCs/>
                      <w:color w:val="auto"/>
                      <w:kern w:val="0"/>
                      <w:sz w:val="22"/>
                      <w:szCs w:val="22"/>
                      <w:highlight w:val="none"/>
                    </w:rPr>
                  </w:pPr>
                  <w:r>
                    <w:rPr>
                      <w:rFonts w:hint="eastAsia"/>
                      <w:bCs/>
                      <w:color w:val="auto"/>
                      <w:kern w:val="0"/>
                      <w:sz w:val="22"/>
                      <w:szCs w:val="22"/>
                      <w:highlight w:val="none"/>
                    </w:rPr>
                    <w:t>设备满足项目工艺需求，且无《产业结构调整指导目录（2024年本）》中淘汰落后设备，利旧可行。</w:t>
                  </w:r>
                </w:p>
              </w:tc>
            </w:tr>
            <w:tr w14:paraId="1727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0" w:type="dxa"/>
                  <w:vAlign w:val="center"/>
                </w:tcPr>
                <w:p w14:paraId="767B41C1">
                  <w:pPr>
                    <w:numPr>
                      <w:ilvl w:val="0"/>
                      <w:numId w:val="7"/>
                    </w:numPr>
                    <w:autoSpaceDE w:val="0"/>
                    <w:autoSpaceDN w:val="0"/>
                    <w:adjustRightInd w:val="0"/>
                    <w:snapToGrid w:val="0"/>
                    <w:jc w:val="center"/>
                    <w:rPr>
                      <w:bCs/>
                      <w:color w:val="auto"/>
                      <w:kern w:val="0"/>
                      <w:sz w:val="22"/>
                      <w:szCs w:val="22"/>
                      <w:highlight w:val="none"/>
                    </w:rPr>
                  </w:pPr>
                </w:p>
              </w:tc>
              <w:tc>
                <w:tcPr>
                  <w:tcW w:w="408" w:type="dxa"/>
                  <w:vMerge w:val="continue"/>
                  <w:vAlign w:val="center"/>
                </w:tcPr>
                <w:p w14:paraId="244BE720">
                  <w:pPr>
                    <w:autoSpaceDE w:val="0"/>
                    <w:autoSpaceDN w:val="0"/>
                    <w:adjustRightInd w:val="0"/>
                    <w:snapToGrid w:val="0"/>
                    <w:jc w:val="center"/>
                    <w:rPr>
                      <w:bCs/>
                      <w:color w:val="auto"/>
                      <w:kern w:val="0"/>
                      <w:sz w:val="22"/>
                      <w:szCs w:val="22"/>
                      <w:highlight w:val="none"/>
                    </w:rPr>
                  </w:pPr>
                </w:p>
              </w:tc>
              <w:tc>
                <w:tcPr>
                  <w:tcW w:w="2066" w:type="dxa"/>
                  <w:vAlign w:val="center"/>
                </w:tcPr>
                <w:p w14:paraId="4F6D6D10">
                  <w:pPr>
                    <w:autoSpaceDE w:val="0"/>
                    <w:autoSpaceDN w:val="0"/>
                    <w:adjustRightInd w:val="0"/>
                    <w:snapToGrid w:val="0"/>
                    <w:jc w:val="center"/>
                    <w:rPr>
                      <w:bCs/>
                      <w:color w:val="auto"/>
                      <w:kern w:val="0"/>
                      <w:sz w:val="22"/>
                      <w:szCs w:val="22"/>
                      <w:highlight w:val="none"/>
                    </w:rPr>
                  </w:pPr>
                  <w:r>
                    <w:rPr>
                      <w:rFonts w:hint="eastAsia"/>
                      <w:bCs/>
                      <w:color w:val="auto"/>
                      <w:kern w:val="0"/>
                      <w:sz w:val="22"/>
                      <w:szCs w:val="22"/>
                      <w:highlight w:val="none"/>
                    </w:rPr>
                    <w:t>办公楼、门卫室、道路、物流场地、配电房、空压机房等辅助工程</w:t>
                  </w:r>
                </w:p>
              </w:tc>
              <w:tc>
                <w:tcPr>
                  <w:tcW w:w="5109" w:type="dxa"/>
                  <w:vAlign w:val="center"/>
                </w:tcPr>
                <w:p w14:paraId="030431E4">
                  <w:pPr>
                    <w:autoSpaceDE w:val="0"/>
                    <w:autoSpaceDN w:val="0"/>
                    <w:adjustRightInd w:val="0"/>
                    <w:snapToGrid w:val="0"/>
                    <w:jc w:val="center"/>
                    <w:rPr>
                      <w:bCs/>
                      <w:color w:val="auto"/>
                      <w:kern w:val="0"/>
                      <w:sz w:val="22"/>
                      <w:szCs w:val="22"/>
                      <w:highlight w:val="none"/>
                    </w:rPr>
                  </w:pPr>
                  <w:r>
                    <w:rPr>
                      <w:rFonts w:hint="eastAsia"/>
                      <w:bCs/>
                      <w:color w:val="auto"/>
                      <w:kern w:val="0"/>
                      <w:sz w:val="22"/>
                      <w:szCs w:val="22"/>
                      <w:highlight w:val="none"/>
                    </w:rPr>
                    <w:t>辅助工程满足项目需求，利旧可行。</w:t>
                  </w:r>
                </w:p>
              </w:tc>
            </w:tr>
            <w:tr w14:paraId="2C5A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0" w:type="dxa"/>
                  <w:vAlign w:val="center"/>
                </w:tcPr>
                <w:p w14:paraId="0A4AFA8A">
                  <w:pPr>
                    <w:numPr>
                      <w:ilvl w:val="0"/>
                      <w:numId w:val="7"/>
                    </w:numPr>
                    <w:autoSpaceDE w:val="0"/>
                    <w:autoSpaceDN w:val="0"/>
                    <w:adjustRightInd w:val="0"/>
                    <w:snapToGrid w:val="0"/>
                    <w:jc w:val="center"/>
                    <w:rPr>
                      <w:bCs/>
                      <w:color w:val="auto"/>
                      <w:kern w:val="0"/>
                      <w:sz w:val="22"/>
                      <w:szCs w:val="22"/>
                      <w:highlight w:val="none"/>
                    </w:rPr>
                  </w:pPr>
                </w:p>
              </w:tc>
              <w:tc>
                <w:tcPr>
                  <w:tcW w:w="408" w:type="dxa"/>
                  <w:vMerge w:val="continue"/>
                  <w:vAlign w:val="center"/>
                </w:tcPr>
                <w:p w14:paraId="1EBE1C7D">
                  <w:pPr>
                    <w:autoSpaceDE w:val="0"/>
                    <w:autoSpaceDN w:val="0"/>
                    <w:adjustRightInd w:val="0"/>
                    <w:snapToGrid w:val="0"/>
                    <w:jc w:val="center"/>
                    <w:rPr>
                      <w:bCs/>
                      <w:color w:val="auto"/>
                      <w:kern w:val="0"/>
                      <w:sz w:val="22"/>
                      <w:szCs w:val="22"/>
                      <w:highlight w:val="none"/>
                    </w:rPr>
                  </w:pPr>
                </w:p>
              </w:tc>
              <w:tc>
                <w:tcPr>
                  <w:tcW w:w="2066" w:type="dxa"/>
                  <w:vAlign w:val="center"/>
                </w:tcPr>
                <w:p w14:paraId="51D4A2AC">
                  <w:pPr>
                    <w:autoSpaceDE w:val="0"/>
                    <w:autoSpaceDN w:val="0"/>
                    <w:adjustRightInd w:val="0"/>
                    <w:snapToGrid w:val="0"/>
                    <w:jc w:val="center"/>
                    <w:rPr>
                      <w:bCs/>
                      <w:color w:val="auto"/>
                      <w:kern w:val="0"/>
                      <w:sz w:val="22"/>
                      <w:szCs w:val="22"/>
                      <w:highlight w:val="none"/>
                    </w:rPr>
                  </w:pPr>
                  <w:r>
                    <w:rPr>
                      <w:rFonts w:hint="eastAsia"/>
                      <w:bCs/>
                      <w:color w:val="auto"/>
                      <w:kern w:val="0"/>
                      <w:sz w:val="22"/>
                      <w:szCs w:val="22"/>
                      <w:highlight w:val="none"/>
                    </w:rPr>
                    <w:t>综合生化池</w:t>
                  </w:r>
                </w:p>
              </w:tc>
              <w:tc>
                <w:tcPr>
                  <w:tcW w:w="5109" w:type="dxa"/>
                  <w:vAlign w:val="center"/>
                </w:tcPr>
                <w:p w14:paraId="14238880">
                  <w:pPr>
                    <w:autoSpaceDE w:val="0"/>
                    <w:autoSpaceDN w:val="0"/>
                    <w:adjustRightInd w:val="0"/>
                    <w:snapToGrid w:val="0"/>
                    <w:jc w:val="center"/>
                    <w:rPr>
                      <w:bCs/>
                      <w:color w:val="auto"/>
                      <w:kern w:val="0"/>
                      <w:sz w:val="22"/>
                      <w:szCs w:val="22"/>
                      <w:highlight w:val="none"/>
                    </w:rPr>
                  </w:pPr>
                  <w:r>
                    <w:rPr>
                      <w:rFonts w:hint="eastAsia"/>
                      <w:bCs/>
                      <w:color w:val="auto"/>
                      <w:kern w:val="0"/>
                      <w:sz w:val="22"/>
                      <w:szCs w:val="22"/>
                      <w:highlight w:val="none"/>
                    </w:rPr>
                    <w:t>综合生化池设计处理能力30m³/d，采用“格栅+初沉+厌氧”的处理工艺，可正常运行。本项目生活污水及生产废水（主要为循环冷却水更换废水及少量地面清洁废水，主要污染因子为pH、COD、SS</w:t>
                  </w:r>
                  <w:r>
                    <w:rPr>
                      <w:rFonts w:hint="eastAsia"/>
                      <w:bCs/>
                      <w:color w:val="auto"/>
                      <w:kern w:val="0"/>
                      <w:sz w:val="22"/>
                      <w:szCs w:val="22"/>
                      <w:highlight w:val="none"/>
                      <w:lang w:eastAsia="zh-CN"/>
                    </w:rPr>
                    <w:t>、少量石油类</w:t>
                  </w:r>
                  <w:r>
                    <w:rPr>
                      <w:rFonts w:hint="eastAsia"/>
                      <w:bCs/>
                      <w:color w:val="auto"/>
                      <w:kern w:val="0"/>
                      <w:sz w:val="22"/>
                      <w:szCs w:val="22"/>
                      <w:highlight w:val="none"/>
                    </w:rPr>
                    <w:t>）一起进入综合生化池，其处理能力及处理工艺能够满足本项目需求，利旧可行。</w:t>
                  </w:r>
                </w:p>
              </w:tc>
            </w:tr>
            <w:tr w14:paraId="1E6D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0" w:type="dxa"/>
                  <w:vAlign w:val="center"/>
                </w:tcPr>
                <w:p w14:paraId="09EBC23C">
                  <w:pPr>
                    <w:numPr>
                      <w:ilvl w:val="0"/>
                      <w:numId w:val="7"/>
                    </w:numPr>
                    <w:autoSpaceDE w:val="0"/>
                    <w:autoSpaceDN w:val="0"/>
                    <w:adjustRightInd w:val="0"/>
                    <w:snapToGrid w:val="0"/>
                    <w:jc w:val="center"/>
                    <w:rPr>
                      <w:bCs/>
                      <w:color w:val="auto"/>
                      <w:kern w:val="0"/>
                      <w:sz w:val="22"/>
                      <w:szCs w:val="22"/>
                      <w:highlight w:val="none"/>
                    </w:rPr>
                  </w:pPr>
                </w:p>
              </w:tc>
              <w:tc>
                <w:tcPr>
                  <w:tcW w:w="408" w:type="dxa"/>
                  <w:vMerge w:val="restart"/>
                  <w:vAlign w:val="center"/>
                </w:tcPr>
                <w:p w14:paraId="06CAFC0D">
                  <w:pPr>
                    <w:autoSpaceDE w:val="0"/>
                    <w:autoSpaceDN w:val="0"/>
                    <w:adjustRightInd w:val="0"/>
                    <w:snapToGrid w:val="0"/>
                    <w:jc w:val="center"/>
                    <w:rPr>
                      <w:bCs/>
                      <w:color w:val="auto"/>
                      <w:kern w:val="0"/>
                      <w:sz w:val="22"/>
                      <w:szCs w:val="22"/>
                      <w:highlight w:val="none"/>
                    </w:rPr>
                  </w:pPr>
                  <w:r>
                    <w:rPr>
                      <w:rFonts w:hint="eastAsia"/>
                      <w:bCs/>
                      <w:color w:val="auto"/>
                      <w:kern w:val="0"/>
                      <w:sz w:val="22"/>
                      <w:szCs w:val="22"/>
                      <w:highlight w:val="none"/>
                    </w:rPr>
                    <w:t>依托工程</w:t>
                  </w:r>
                </w:p>
              </w:tc>
              <w:tc>
                <w:tcPr>
                  <w:tcW w:w="2066" w:type="dxa"/>
                  <w:vMerge w:val="restart"/>
                  <w:vAlign w:val="center"/>
                </w:tcPr>
                <w:p w14:paraId="792A17A9">
                  <w:pPr>
                    <w:autoSpaceDE w:val="0"/>
                    <w:autoSpaceDN w:val="0"/>
                    <w:adjustRightInd w:val="0"/>
                    <w:snapToGrid w:val="0"/>
                    <w:jc w:val="center"/>
                    <w:rPr>
                      <w:bCs/>
                      <w:color w:val="auto"/>
                      <w:kern w:val="0"/>
                      <w:sz w:val="22"/>
                      <w:szCs w:val="22"/>
                      <w:highlight w:val="none"/>
                    </w:rPr>
                  </w:pPr>
                  <w:r>
                    <w:rPr>
                      <w:rFonts w:hint="eastAsia"/>
                      <w:bCs/>
                      <w:color w:val="auto"/>
                      <w:kern w:val="0"/>
                      <w:sz w:val="22"/>
                      <w:szCs w:val="22"/>
                      <w:highlight w:val="none"/>
                    </w:rPr>
                    <w:t>供水、排水、供电等公用工程</w:t>
                  </w:r>
                </w:p>
              </w:tc>
              <w:tc>
                <w:tcPr>
                  <w:tcW w:w="5109" w:type="dxa"/>
                  <w:vAlign w:val="center"/>
                </w:tcPr>
                <w:p w14:paraId="70282C60">
                  <w:pPr>
                    <w:autoSpaceDE w:val="0"/>
                    <w:autoSpaceDN w:val="0"/>
                    <w:adjustRightInd w:val="0"/>
                    <w:snapToGrid w:val="0"/>
                    <w:jc w:val="center"/>
                    <w:rPr>
                      <w:bCs/>
                      <w:color w:val="auto"/>
                      <w:kern w:val="0"/>
                      <w:sz w:val="22"/>
                      <w:szCs w:val="22"/>
                      <w:highlight w:val="none"/>
                    </w:rPr>
                  </w:pPr>
                  <w:r>
                    <w:rPr>
                      <w:rFonts w:hint="eastAsia"/>
                      <w:b/>
                      <w:color w:val="auto"/>
                      <w:kern w:val="0"/>
                      <w:sz w:val="22"/>
                      <w:szCs w:val="22"/>
                      <w:highlight w:val="none"/>
                    </w:rPr>
                    <w:t>供水、供电：</w:t>
                  </w:r>
                  <w:r>
                    <w:rPr>
                      <w:rFonts w:hint="eastAsia"/>
                      <w:bCs/>
                      <w:color w:val="auto"/>
                      <w:kern w:val="0"/>
                      <w:sz w:val="22"/>
                      <w:szCs w:val="22"/>
                      <w:highlight w:val="none"/>
                    </w:rPr>
                    <w:t>园区及厂区内供水管网、电力管线已建设完成，可正常使用，依托可行。</w:t>
                  </w:r>
                </w:p>
              </w:tc>
            </w:tr>
            <w:tr w14:paraId="1F3B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0" w:type="dxa"/>
                  <w:vAlign w:val="center"/>
                </w:tcPr>
                <w:p w14:paraId="41B8373E">
                  <w:pPr>
                    <w:numPr>
                      <w:ilvl w:val="0"/>
                      <w:numId w:val="7"/>
                    </w:numPr>
                    <w:autoSpaceDE w:val="0"/>
                    <w:autoSpaceDN w:val="0"/>
                    <w:adjustRightInd w:val="0"/>
                    <w:snapToGrid w:val="0"/>
                    <w:jc w:val="center"/>
                    <w:rPr>
                      <w:bCs/>
                      <w:color w:val="auto"/>
                      <w:kern w:val="0"/>
                      <w:sz w:val="22"/>
                      <w:szCs w:val="22"/>
                      <w:highlight w:val="none"/>
                    </w:rPr>
                  </w:pPr>
                </w:p>
              </w:tc>
              <w:tc>
                <w:tcPr>
                  <w:tcW w:w="408" w:type="dxa"/>
                  <w:vMerge w:val="continue"/>
                  <w:vAlign w:val="center"/>
                </w:tcPr>
                <w:p w14:paraId="4661B5B8">
                  <w:pPr>
                    <w:autoSpaceDE w:val="0"/>
                    <w:autoSpaceDN w:val="0"/>
                    <w:adjustRightInd w:val="0"/>
                    <w:snapToGrid w:val="0"/>
                    <w:jc w:val="center"/>
                    <w:rPr>
                      <w:bCs/>
                      <w:color w:val="auto"/>
                      <w:kern w:val="0"/>
                      <w:sz w:val="22"/>
                      <w:szCs w:val="22"/>
                      <w:highlight w:val="none"/>
                    </w:rPr>
                  </w:pPr>
                </w:p>
              </w:tc>
              <w:tc>
                <w:tcPr>
                  <w:tcW w:w="2066" w:type="dxa"/>
                  <w:vMerge w:val="continue"/>
                  <w:vAlign w:val="center"/>
                </w:tcPr>
                <w:p w14:paraId="1680C719">
                  <w:pPr>
                    <w:autoSpaceDE w:val="0"/>
                    <w:autoSpaceDN w:val="0"/>
                    <w:adjustRightInd w:val="0"/>
                    <w:snapToGrid w:val="0"/>
                    <w:jc w:val="center"/>
                    <w:rPr>
                      <w:bCs/>
                      <w:color w:val="auto"/>
                      <w:kern w:val="0"/>
                      <w:sz w:val="22"/>
                      <w:szCs w:val="22"/>
                      <w:highlight w:val="none"/>
                    </w:rPr>
                  </w:pPr>
                </w:p>
              </w:tc>
              <w:tc>
                <w:tcPr>
                  <w:tcW w:w="5109" w:type="dxa"/>
                  <w:vAlign w:val="center"/>
                </w:tcPr>
                <w:p w14:paraId="25A112FF">
                  <w:pPr>
                    <w:autoSpaceDE w:val="0"/>
                    <w:autoSpaceDN w:val="0"/>
                    <w:adjustRightInd w:val="0"/>
                    <w:snapToGrid w:val="0"/>
                    <w:jc w:val="center"/>
                    <w:rPr>
                      <w:bCs/>
                      <w:color w:val="auto"/>
                      <w:kern w:val="0"/>
                      <w:sz w:val="22"/>
                      <w:szCs w:val="22"/>
                      <w:highlight w:val="none"/>
                    </w:rPr>
                  </w:pPr>
                  <w:r>
                    <w:rPr>
                      <w:rFonts w:hint="eastAsia"/>
                      <w:b/>
                      <w:color w:val="auto"/>
                      <w:kern w:val="0"/>
                      <w:sz w:val="22"/>
                      <w:szCs w:val="22"/>
                      <w:highlight w:val="none"/>
                    </w:rPr>
                    <w:t>排水：</w:t>
                  </w:r>
                  <w:r>
                    <w:rPr>
                      <w:rFonts w:hint="eastAsia"/>
                      <w:bCs/>
                      <w:color w:val="auto"/>
                      <w:kern w:val="0"/>
                      <w:sz w:val="22"/>
                      <w:szCs w:val="22"/>
                      <w:highlight w:val="none"/>
                    </w:rPr>
                    <w:t>厂区雨污管网已建成完成，可正常使用，依托可行；废水经废水处理设施预处理后进入市政管网，园区集中处理设施—银翔新城污水处理厂已建成投运，设计处理规模10000m³/d，采用“CASS”处理工艺，目前污水处理厂日处理废水量约7000m³/d，剩余能力约3000m³/d，运行正常，各污染物可稳定达标排放，满足本项目需求；依托可行。</w:t>
                  </w:r>
                </w:p>
              </w:tc>
            </w:tr>
          </w:tbl>
          <w:p w14:paraId="0FFFF28A">
            <w:pPr>
              <w:autoSpaceDE w:val="0"/>
              <w:autoSpaceDN w:val="0"/>
              <w:adjustRightInd w:val="0"/>
              <w:jc w:val="center"/>
              <w:textAlignment w:val="baseline"/>
              <w:rPr>
                <w:b/>
                <w:color w:val="auto"/>
                <w:kern w:val="0"/>
                <w:sz w:val="26"/>
                <w:szCs w:val="26"/>
                <w:highlight w:val="none"/>
              </w:rPr>
            </w:pPr>
          </w:p>
          <w:p w14:paraId="3FEC15FF">
            <w:pPr>
              <w:autoSpaceDE w:val="0"/>
              <w:autoSpaceDN w:val="0"/>
              <w:adjustRightInd w:val="0"/>
              <w:spacing w:line="480" w:lineRule="exact"/>
              <w:ind w:firstLine="522" w:firstLineChars="200"/>
              <w:textAlignment w:val="baseline"/>
              <w:rPr>
                <w:b/>
                <w:color w:val="auto"/>
                <w:kern w:val="0"/>
                <w:sz w:val="26"/>
                <w:szCs w:val="26"/>
                <w:highlight w:val="none"/>
              </w:rPr>
            </w:pPr>
            <w:r>
              <w:rPr>
                <w:rFonts w:hint="eastAsia"/>
                <w:b/>
                <w:color w:val="auto"/>
                <w:kern w:val="0"/>
                <w:sz w:val="26"/>
                <w:szCs w:val="26"/>
                <w:highlight w:val="none"/>
              </w:rPr>
              <w:t>2</w:t>
            </w:r>
            <w:r>
              <w:rPr>
                <w:b/>
                <w:color w:val="auto"/>
                <w:kern w:val="0"/>
                <w:sz w:val="26"/>
                <w:szCs w:val="26"/>
                <w:highlight w:val="none"/>
              </w:rPr>
              <w:t xml:space="preserve">.4 </w:t>
            </w:r>
            <w:r>
              <w:rPr>
                <w:rFonts w:hint="eastAsia"/>
                <w:b/>
                <w:color w:val="auto"/>
                <w:kern w:val="0"/>
                <w:sz w:val="26"/>
                <w:szCs w:val="26"/>
                <w:highlight w:val="none"/>
              </w:rPr>
              <w:t>主要产品方案</w:t>
            </w:r>
          </w:p>
          <w:p w14:paraId="0CC0BD11">
            <w:pPr>
              <w:autoSpaceDE w:val="0"/>
              <w:autoSpaceDN w:val="0"/>
              <w:adjustRightInd w:val="0"/>
              <w:spacing w:line="480" w:lineRule="exact"/>
              <w:ind w:firstLine="520" w:firstLineChars="200"/>
              <w:textAlignment w:val="baseline"/>
              <w:rPr>
                <w:bCs/>
                <w:color w:val="auto"/>
                <w:kern w:val="0"/>
                <w:sz w:val="26"/>
                <w:szCs w:val="26"/>
                <w:highlight w:val="none"/>
              </w:rPr>
            </w:pPr>
            <w:r>
              <w:rPr>
                <w:rFonts w:hint="eastAsia"/>
                <w:bCs/>
                <w:color w:val="auto"/>
                <w:kern w:val="0"/>
                <w:sz w:val="26"/>
                <w:szCs w:val="26"/>
                <w:highlight w:val="none"/>
              </w:rPr>
              <w:t>本项目技改后总产能增加至年产3万吨（约1250万件）汽车配件。产品具体种类上百种，总体可分为冲压件、焊接件，本项目产品方案详见下表。</w:t>
            </w:r>
          </w:p>
          <w:p w14:paraId="3B756F4D">
            <w:pPr>
              <w:autoSpaceDE w:val="0"/>
              <w:autoSpaceDN w:val="0"/>
              <w:adjustRightInd w:val="0"/>
              <w:ind w:firstLine="520" w:firstLineChars="200"/>
              <w:textAlignment w:val="baseline"/>
              <w:rPr>
                <w:bCs/>
                <w:color w:val="auto"/>
                <w:kern w:val="0"/>
                <w:sz w:val="26"/>
                <w:szCs w:val="26"/>
                <w:highlight w:val="none"/>
              </w:rPr>
            </w:pPr>
          </w:p>
          <w:p w14:paraId="3784C334">
            <w:pPr>
              <w:autoSpaceDE w:val="0"/>
              <w:autoSpaceDN w:val="0"/>
              <w:adjustRightInd w:val="0"/>
              <w:jc w:val="center"/>
              <w:textAlignment w:val="baseline"/>
              <w:rPr>
                <w:bCs/>
                <w:color w:val="auto"/>
                <w:kern w:val="0"/>
                <w:sz w:val="26"/>
                <w:szCs w:val="26"/>
                <w:highlight w:val="none"/>
              </w:rPr>
            </w:pPr>
            <w:r>
              <w:rPr>
                <w:bCs/>
                <w:color w:val="auto"/>
                <w:kern w:val="0"/>
                <w:sz w:val="26"/>
                <w:szCs w:val="26"/>
                <w:highlight w:val="none"/>
              </w:rPr>
              <w:t>表2.4-1   项目主要</w:t>
            </w:r>
            <w:r>
              <w:rPr>
                <w:rFonts w:hint="eastAsia"/>
                <w:bCs/>
                <w:color w:val="auto"/>
                <w:kern w:val="0"/>
                <w:sz w:val="26"/>
                <w:szCs w:val="26"/>
                <w:highlight w:val="none"/>
              </w:rPr>
              <w:t>产品方案</w:t>
            </w:r>
            <w:r>
              <w:rPr>
                <w:bCs/>
                <w:color w:val="auto"/>
                <w:kern w:val="0"/>
                <w:sz w:val="26"/>
                <w:szCs w:val="26"/>
                <w:highlight w:val="none"/>
              </w:rPr>
              <w:t>一览表</w:t>
            </w:r>
          </w:p>
          <w:tbl>
            <w:tblPr>
              <w:tblStyle w:val="16"/>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739"/>
              <w:gridCol w:w="3568"/>
              <w:gridCol w:w="1382"/>
              <w:gridCol w:w="804"/>
              <w:gridCol w:w="736"/>
              <w:gridCol w:w="645"/>
            </w:tblGrid>
            <w:tr w14:paraId="5801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 w:type="pct"/>
                  <w:vAlign w:val="center"/>
                </w:tcPr>
                <w:p w14:paraId="28932841">
                  <w:pPr>
                    <w:snapToGrid w:val="0"/>
                    <w:jc w:val="center"/>
                    <w:rPr>
                      <w:bCs/>
                      <w:color w:val="auto"/>
                      <w:szCs w:val="21"/>
                      <w:highlight w:val="none"/>
                    </w:rPr>
                  </w:pPr>
                  <w:r>
                    <w:rPr>
                      <w:bCs/>
                      <w:color w:val="auto"/>
                      <w:szCs w:val="21"/>
                      <w:highlight w:val="none"/>
                    </w:rPr>
                    <w:t>序号</w:t>
                  </w:r>
                </w:p>
              </w:tc>
              <w:tc>
                <w:tcPr>
                  <w:tcW w:w="2602" w:type="pct"/>
                  <w:gridSpan w:val="2"/>
                  <w:vAlign w:val="center"/>
                </w:tcPr>
                <w:p w14:paraId="383D1B95">
                  <w:pPr>
                    <w:snapToGrid w:val="0"/>
                    <w:jc w:val="center"/>
                    <w:rPr>
                      <w:bCs/>
                      <w:color w:val="auto"/>
                      <w:szCs w:val="21"/>
                      <w:highlight w:val="none"/>
                    </w:rPr>
                  </w:pPr>
                  <w:r>
                    <w:rPr>
                      <w:bCs/>
                      <w:color w:val="auto"/>
                      <w:szCs w:val="21"/>
                      <w:highlight w:val="none"/>
                    </w:rPr>
                    <w:t>产品名称</w:t>
                  </w:r>
                </w:p>
              </w:tc>
              <w:tc>
                <w:tcPr>
                  <w:tcW w:w="835" w:type="pct"/>
                  <w:vAlign w:val="center"/>
                </w:tcPr>
                <w:p w14:paraId="2FA2B423">
                  <w:pPr>
                    <w:snapToGrid w:val="0"/>
                    <w:jc w:val="center"/>
                    <w:rPr>
                      <w:rFonts w:hint="eastAsia" w:eastAsia="宋体"/>
                      <w:bCs/>
                      <w:color w:val="auto"/>
                      <w:szCs w:val="21"/>
                      <w:highlight w:val="none"/>
                      <w:lang w:eastAsia="zh-CN"/>
                    </w:rPr>
                  </w:pPr>
                  <w:r>
                    <w:rPr>
                      <w:rFonts w:hint="eastAsia"/>
                      <w:bCs/>
                      <w:color w:val="auto"/>
                      <w:szCs w:val="21"/>
                      <w:highlight w:val="none"/>
                      <w:lang w:eastAsia="zh-CN"/>
                    </w:rPr>
                    <w:t>尺寸</w:t>
                  </w:r>
                </w:p>
              </w:tc>
              <w:tc>
                <w:tcPr>
                  <w:tcW w:w="485" w:type="pct"/>
                  <w:vAlign w:val="center"/>
                </w:tcPr>
                <w:p w14:paraId="579D6B69">
                  <w:pPr>
                    <w:snapToGrid w:val="0"/>
                    <w:jc w:val="center"/>
                    <w:rPr>
                      <w:bCs/>
                      <w:color w:val="auto"/>
                      <w:szCs w:val="21"/>
                      <w:highlight w:val="none"/>
                    </w:rPr>
                  </w:pPr>
                  <w:r>
                    <w:rPr>
                      <w:rFonts w:hint="eastAsia"/>
                      <w:bCs/>
                      <w:color w:val="auto"/>
                      <w:szCs w:val="21"/>
                      <w:highlight w:val="none"/>
                    </w:rPr>
                    <w:t>规模（t</w:t>
                  </w:r>
                  <w:r>
                    <w:rPr>
                      <w:bCs/>
                      <w:color w:val="auto"/>
                      <w:szCs w:val="21"/>
                      <w:highlight w:val="none"/>
                    </w:rPr>
                    <w:t>/a</w:t>
                  </w:r>
                  <w:r>
                    <w:rPr>
                      <w:rFonts w:hint="eastAsia"/>
                      <w:bCs/>
                      <w:color w:val="auto"/>
                      <w:szCs w:val="21"/>
                      <w:highlight w:val="none"/>
                    </w:rPr>
                    <w:t>）</w:t>
                  </w:r>
                </w:p>
              </w:tc>
              <w:tc>
                <w:tcPr>
                  <w:tcW w:w="444" w:type="pct"/>
                  <w:vAlign w:val="center"/>
                </w:tcPr>
                <w:p w14:paraId="199830D7">
                  <w:pPr>
                    <w:snapToGrid w:val="0"/>
                    <w:jc w:val="center"/>
                    <w:rPr>
                      <w:bCs/>
                      <w:color w:val="auto"/>
                      <w:szCs w:val="21"/>
                      <w:highlight w:val="none"/>
                    </w:rPr>
                  </w:pPr>
                  <w:r>
                    <w:rPr>
                      <w:rFonts w:hint="eastAsia"/>
                      <w:bCs/>
                      <w:color w:val="auto"/>
                      <w:szCs w:val="21"/>
                      <w:highlight w:val="none"/>
                    </w:rPr>
                    <w:t>备注</w:t>
                  </w:r>
                </w:p>
              </w:tc>
              <w:tc>
                <w:tcPr>
                  <w:tcW w:w="389" w:type="pct"/>
                  <w:vAlign w:val="center"/>
                </w:tcPr>
                <w:p w14:paraId="56495E6F">
                  <w:pPr>
                    <w:snapToGrid w:val="0"/>
                    <w:jc w:val="center"/>
                    <w:rPr>
                      <w:bCs/>
                      <w:color w:val="auto"/>
                      <w:szCs w:val="21"/>
                      <w:highlight w:val="none"/>
                    </w:rPr>
                  </w:pPr>
                  <w:r>
                    <w:rPr>
                      <w:rFonts w:hint="eastAsia"/>
                      <w:bCs/>
                      <w:color w:val="auto"/>
                      <w:szCs w:val="21"/>
                      <w:highlight w:val="none"/>
                    </w:rPr>
                    <w:t>用途</w:t>
                  </w:r>
                </w:p>
              </w:tc>
            </w:tr>
            <w:tr w14:paraId="4E65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 w:type="pct"/>
                  <w:vAlign w:val="center"/>
                </w:tcPr>
                <w:p w14:paraId="04987BBD">
                  <w:pPr>
                    <w:snapToGrid w:val="0"/>
                    <w:jc w:val="center"/>
                    <w:rPr>
                      <w:color w:val="auto"/>
                      <w:szCs w:val="21"/>
                      <w:highlight w:val="none"/>
                    </w:rPr>
                  </w:pPr>
                  <w:r>
                    <w:rPr>
                      <w:color w:val="auto"/>
                      <w:szCs w:val="21"/>
                      <w:highlight w:val="none"/>
                    </w:rPr>
                    <w:t>1</w:t>
                  </w:r>
                </w:p>
              </w:tc>
              <w:tc>
                <w:tcPr>
                  <w:tcW w:w="446" w:type="pct"/>
                  <w:shd w:val="clear" w:color="auto" w:fill="auto"/>
                  <w:vAlign w:val="center"/>
                </w:tcPr>
                <w:p w14:paraId="4824D16C">
                  <w:pPr>
                    <w:snapToGrid w:val="0"/>
                    <w:jc w:val="center"/>
                    <w:rPr>
                      <w:color w:val="auto"/>
                      <w:szCs w:val="21"/>
                      <w:highlight w:val="none"/>
                    </w:rPr>
                  </w:pPr>
                  <w:r>
                    <w:rPr>
                      <w:rFonts w:hint="eastAsia"/>
                      <w:color w:val="auto"/>
                      <w:szCs w:val="21"/>
                      <w:highlight w:val="none"/>
                    </w:rPr>
                    <w:t>冲压件</w:t>
                  </w:r>
                </w:p>
              </w:tc>
              <w:tc>
                <w:tcPr>
                  <w:tcW w:w="2156" w:type="pct"/>
                  <w:shd w:val="clear" w:color="auto" w:fill="auto"/>
                  <w:vAlign w:val="center"/>
                </w:tcPr>
                <w:p w14:paraId="2CBE9D2F">
                  <w:pPr>
                    <w:snapToGrid w:val="0"/>
                    <w:jc w:val="center"/>
                    <w:rPr>
                      <w:color w:val="auto"/>
                      <w:szCs w:val="21"/>
                      <w:highlight w:val="none"/>
                    </w:rPr>
                  </w:pPr>
                  <w:r>
                    <w:rPr>
                      <w:rFonts w:hint="eastAsia"/>
                      <w:color w:val="auto"/>
                      <w:szCs w:val="21"/>
                      <w:highlight w:val="none"/>
                    </w:rPr>
                    <w:t>主要包括ME11侧围外蒙皮等</w:t>
                  </w:r>
                </w:p>
              </w:tc>
              <w:tc>
                <w:tcPr>
                  <w:tcW w:w="835" w:type="pct"/>
                  <w:vMerge w:val="restart"/>
                  <w:shd w:val="clear" w:color="auto" w:fill="auto"/>
                  <w:vAlign w:val="center"/>
                </w:tcPr>
                <w:p w14:paraId="49F07D22">
                  <w:pPr>
                    <w:snapToGrid w:val="0"/>
                    <w:jc w:val="center"/>
                    <w:rPr>
                      <w:rFonts w:hint="default"/>
                      <w:color w:val="auto"/>
                      <w:szCs w:val="21"/>
                      <w:highlight w:val="none"/>
                      <w:lang w:val="en-US" w:eastAsia="zh-CN"/>
                    </w:rPr>
                  </w:pPr>
                  <w:r>
                    <w:rPr>
                      <w:rFonts w:hint="eastAsia"/>
                      <w:color w:val="auto"/>
                      <w:szCs w:val="21"/>
                      <w:highlight w:val="none"/>
                      <w:lang w:eastAsia="zh-CN"/>
                    </w:rPr>
                    <w:t>产品种类上百种，单个重量区间值约在</w:t>
                  </w:r>
                  <w:r>
                    <w:rPr>
                      <w:rFonts w:hint="eastAsia"/>
                      <w:color w:val="auto"/>
                      <w:szCs w:val="21"/>
                      <w:highlight w:val="none"/>
                      <w:lang w:val="en-US" w:eastAsia="zh-CN"/>
                    </w:rPr>
                    <w:t>50g~5kg之间，平均约2kg</w:t>
                  </w:r>
                </w:p>
              </w:tc>
              <w:tc>
                <w:tcPr>
                  <w:tcW w:w="485" w:type="pct"/>
                  <w:shd w:val="clear" w:color="auto" w:fill="auto"/>
                  <w:vAlign w:val="center"/>
                </w:tcPr>
                <w:p w14:paraId="283B3614">
                  <w:pPr>
                    <w:widowControl/>
                    <w:jc w:val="center"/>
                    <w:textAlignment w:val="center"/>
                    <w:rPr>
                      <w:color w:val="auto"/>
                      <w:szCs w:val="21"/>
                      <w:highlight w:val="none"/>
                    </w:rPr>
                  </w:pPr>
                  <w:r>
                    <w:rPr>
                      <w:rFonts w:hint="eastAsia"/>
                      <w:color w:val="auto"/>
                      <w:szCs w:val="21"/>
                      <w:highlight w:val="none"/>
                    </w:rPr>
                    <w:t>15000</w:t>
                  </w:r>
                </w:p>
              </w:tc>
              <w:tc>
                <w:tcPr>
                  <w:tcW w:w="444" w:type="pct"/>
                  <w:shd w:val="clear" w:color="auto" w:fill="auto"/>
                  <w:vAlign w:val="center"/>
                </w:tcPr>
                <w:p w14:paraId="2934C3FA">
                  <w:pPr>
                    <w:snapToGrid w:val="0"/>
                    <w:jc w:val="center"/>
                    <w:rPr>
                      <w:color w:val="auto"/>
                      <w:szCs w:val="21"/>
                      <w:highlight w:val="none"/>
                    </w:rPr>
                  </w:pPr>
                  <w:r>
                    <w:rPr>
                      <w:color w:val="auto"/>
                      <w:szCs w:val="21"/>
                      <w:highlight w:val="none"/>
                    </w:rPr>
                    <w:t>仅冲压</w:t>
                  </w:r>
                </w:p>
              </w:tc>
              <w:tc>
                <w:tcPr>
                  <w:tcW w:w="389" w:type="pct"/>
                  <w:shd w:val="clear" w:color="auto" w:fill="auto"/>
                  <w:vAlign w:val="center"/>
                </w:tcPr>
                <w:p w14:paraId="3AC875FD">
                  <w:pPr>
                    <w:snapToGrid w:val="0"/>
                    <w:jc w:val="center"/>
                    <w:rPr>
                      <w:color w:val="auto"/>
                      <w:szCs w:val="21"/>
                      <w:highlight w:val="none"/>
                    </w:rPr>
                  </w:pPr>
                  <w:r>
                    <w:rPr>
                      <w:rFonts w:hint="eastAsia"/>
                      <w:color w:val="auto"/>
                      <w:szCs w:val="21"/>
                      <w:highlight w:val="none"/>
                    </w:rPr>
                    <w:t>汽车配件</w:t>
                  </w:r>
                </w:p>
              </w:tc>
            </w:tr>
            <w:tr w14:paraId="190E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 w:type="pct"/>
                  <w:vAlign w:val="center"/>
                </w:tcPr>
                <w:p w14:paraId="10507BD1">
                  <w:pPr>
                    <w:snapToGrid w:val="0"/>
                    <w:jc w:val="center"/>
                    <w:rPr>
                      <w:color w:val="auto"/>
                      <w:szCs w:val="21"/>
                      <w:highlight w:val="none"/>
                    </w:rPr>
                  </w:pPr>
                  <w:r>
                    <w:rPr>
                      <w:color w:val="auto"/>
                      <w:szCs w:val="21"/>
                      <w:highlight w:val="none"/>
                    </w:rPr>
                    <w:t>2</w:t>
                  </w:r>
                </w:p>
              </w:tc>
              <w:tc>
                <w:tcPr>
                  <w:tcW w:w="446" w:type="pct"/>
                  <w:vAlign w:val="center"/>
                </w:tcPr>
                <w:p w14:paraId="092562D6">
                  <w:pPr>
                    <w:snapToGrid w:val="0"/>
                    <w:jc w:val="center"/>
                    <w:rPr>
                      <w:color w:val="auto"/>
                      <w:szCs w:val="21"/>
                      <w:highlight w:val="none"/>
                    </w:rPr>
                  </w:pPr>
                  <w:r>
                    <w:rPr>
                      <w:rFonts w:hint="eastAsia"/>
                      <w:color w:val="auto"/>
                      <w:szCs w:val="21"/>
                      <w:highlight w:val="none"/>
                    </w:rPr>
                    <w:t>焊接件</w:t>
                  </w:r>
                </w:p>
              </w:tc>
              <w:tc>
                <w:tcPr>
                  <w:tcW w:w="2156" w:type="pct"/>
                  <w:vAlign w:val="center"/>
                </w:tcPr>
                <w:p w14:paraId="179A00F9">
                  <w:pPr>
                    <w:snapToGrid w:val="0"/>
                    <w:jc w:val="center"/>
                    <w:rPr>
                      <w:color w:val="auto"/>
                      <w:szCs w:val="21"/>
                      <w:highlight w:val="none"/>
                    </w:rPr>
                  </w:pPr>
                  <w:r>
                    <w:rPr>
                      <w:rFonts w:hint="eastAsia"/>
                      <w:color w:val="auto"/>
                      <w:szCs w:val="21"/>
                      <w:highlight w:val="none"/>
                    </w:rPr>
                    <w:t>主要包括X30P尾门内板焊接总成</w:t>
                  </w:r>
                  <w:r>
                    <w:rPr>
                      <w:rFonts w:hint="eastAsia"/>
                      <w:color w:val="auto"/>
                      <w:szCs w:val="21"/>
                      <w:highlight w:val="none"/>
                      <w:lang w:eastAsia="zh-CN"/>
                    </w:rPr>
                    <w:t>，</w:t>
                  </w:r>
                  <w:r>
                    <w:rPr>
                      <w:rFonts w:hint="eastAsia"/>
                      <w:color w:val="auto"/>
                      <w:szCs w:val="21"/>
                      <w:highlight w:val="none"/>
                    </w:rPr>
                    <w:t>ME11发盖焊接总成、侧围框架焊接总成、外摆门焊接总成、前门内板焊接总成</w:t>
                  </w:r>
                  <w:r>
                    <w:rPr>
                      <w:rFonts w:hint="eastAsia"/>
                      <w:color w:val="auto"/>
                      <w:szCs w:val="21"/>
                      <w:highlight w:val="none"/>
                      <w:lang w:eastAsia="zh-CN"/>
                    </w:rPr>
                    <w:t>，</w:t>
                  </w:r>
                  <w:r>
                    <w:rPr>
                      <w:rFonts w:hint="eastAsia"/>
                      <w:color w:val="auto"/>
                      <w:szCs w:val="21"/>
                      <w:highlight w:val="none"/>
                    </w:rPr>
                    <w:t>G01仪表盘横梁焊接总成等</w:t>
                  </w:r>
                </w:p>
              </w:tc>
              <w:tc>
                <w:tcPr>
                  <w:tcW w:w="835" w:type="pct"/>
                  <w:vMerge w:val="continue"/>
                  <w:vAlign w:val="center"/>
                </w:tcPr>
                <w:p w14:paraId="5029A609">
                  <w:pPr>
                    <w:snapToGrid w:val="0"/>
                    <w:jc w:val="center"/>
                    <w:rPr>
                      <w:rFonts w:hint="eastAsia"/>
                      <w:color w:val="auto"/>
                      <w:szCs w:val="21"/>
                      <w:highlight w:val="none"/>
                    </w:rPr>
                  </w:pPr>
                </w:p>
              </w:tc>
              <w:tc>
                <w:tcPr>
                  <w:tcW w:w="485" w:type="pct"/>
                  <w:vAlign w:val="center"/>
                </w:tcPr>
                <w:p w14:paraId="6F64A059">
                  <w:pPr>
                    <w:widowControl/>
                    <w:jc w:val="center"/>
                    <w:textAlignment w:val="center"/>
                    <w:rPr>
                      <w:color w:val="auto"/>
                      <w:szCs w:val="21"/>
                      <w:highlight w:val="none"/>
                    </w:rPr>
                  </w:pPr>
                  <w:r>
                    <w:rPr>
                      <w:rFonts w:hint="eastAsia"/>
                      <w:color w:val="auto"/>
                      <w:szCs w:val="21"/>
                      <w:highlight w:val="none"/>
                    </w:rPr>
                    <w:t>15000</w:t>
                  </w:r>
                </w:p>
              </w:tc>
              <w:tc>
                <w:tcPr>
                  <w:tcW w:w="444" w:type="pct"/>
                  <w:vAlign w:val="center"/>
                </w:tcPr>
                <w:p w14:paraId="478B025B">
                  <w:pPr>
                    <w:snapToGrid w:val="0"/>
                    <w:jc w:val="center"/>
                    <w:rPr>
                      <w:color w:val="auto"/>
                      <w:szCs w:val="21"/>
                      <w:highlight w:val="none"/>
                    </w:rPr>
                  </w:pPr>
                  <w:r>
                    <w:rPr>
                      <w:rFonts w:hint="eastAsia"/>
                      <w:color w:val="auto"/>
                      <w:szCs w:val="21"/>
                      <w:highlight w:val="none"/>
                    </w:rPr>
                    <w:t>冲压后还需焊接</w:t>
                  </w:r>
                </w:p>
              </w:tc>
              <w:tc>
                <w:tcPr>
                  <w:tcW w:w="389" w:type="pct"/>
                  <w:vAlign w:val="center"/>
                </w:tcPr>
                <w:p w14:paraId="5FD9814C">
                  <w:pPr>
                    <w:snapToGrid w:val="0"/>
                    <w:jc w:val="center"/>
                    <w:rPr>
                      <w:color w:val="auto"/>
                      <w:szCs w:val="21"/>
                      <w:highlight w:val="none"/>
                    </w:rPr>
                  </w:pPr>
                  <w:r>
                    <w:rPr>
                      <w:rFonts w:hint="eastAsia"/>
                      <w:color w:val="auto"/>
                      <w:szCs w:val="21"/>
                      <w:highlight w:val="none"/>
                    </w:rPr>
                    <w:t>汽车配件</w:t>
                  </w:r>
                </w:p>
              </w:tc>
            </w:tr>
            <w:tr w14:paraId="53CED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79" w:type="pct"/>
                  <w:gridSpan w:val="4"/>
                  <w:vAlign w:val="center"/>
                </w:tcPr>
                <w:p w14:paraId="6AF7AD03">
                  <w:pPr>
                    <w:snapToGrid w:val="0"/>
                    <w:jc w:val="center"/>
                    <w:rPr>
                      <w:rFonts w:hint="eastAsia"/>
                      <w:color w:val="auto"/>
                      <w:szCs w:val="21"/>
                      <w:highlight w:val="none"/>
                    </w:rPr>
                  </w:pPr>
                  <w:r>
                    <w:rPr>
                      <w:rFonts w:hint="eastAsia"/>
                      <w:color w:val="auto"/>
                      <w:szCs w:val="21"/>
                      <w:highlight w:val="none"/>
                    </w:rPr>
                    <w:t>共计</w:t>
                  </w:r>
                </w:p>
              </w:tc>
              <w:tc>
                <w:tcPr>
                  <w:tcW w:w="485" w:type="pct"/>
                  <w:vAlign w:val="center"/>
                </w:tcPr>
                <w:p w14:paraId="7F02C858">
                  <w:pPr>
                    <w:widowControl/>
                    <w:jc w:val="center"/>
                    <w:textAlignment w:val="center"/>
                    <w:rPr>
                      <w:color w:val="auto"/>
                      <w:kern w:val="0"/>
                      <w:szCs w:val="21"/>
                      <w:highlight w:val="none"/>
                      <w:lang w:bidi="ar"/>
                    </w:rPr>
                  </w:pPr>
                  <w:r>
                    <w:rPr>
                      <w:rFonts w:hint="eastAsia"/>
                      <w:color w:val="auto"/>
                      <w:kern w:val="0"/>
                      <w:szCs w:val="21"/>
                      <w:highlight w:val="none"/>
                      <w:lang w:bidi="ar"/>
                    </w:rPr>
                    <w:t>30000</w:t>
                  </w:r>
                </w:p>
              </w:tc>
              <w:tc>
                <w:tcPr>
                  <w:tcW w:w="444" w:type="pct"/>
                  <w:vAlign w:val="center"/>
                </w:tcPr>
                <w:p w14:paraId="34A8541D">
                  <w:pPr>
                    <w:snapToGrid w:val="0"/>
                    <w:jc w:val="center"/>
                    <w:rPr>
                      <w:color w:val="auto"/>
                      <w:szCs w:val="21"/>
                      <w:highlight w:val="none"/>
                    </w:rPr>
                  </w:pPr>
                </w:p>
              </w:tc>
              <w:tc>
                <w:tcPr>
                  <w:tcW w:w="389" w:type="pct"/>
                  <w:vAlign w:val="center"/>
                </w:tcPr>
                <w:p w14:paraId="63412430">
                  <w:pPr>
                    <w:snapToGrid w:val="0"/>
                    <w:jc w:val="center"/>
                    <w:rPr>
                      <w:color w:val="auto"/>
                      <w:szCs w:val="21"/>
                      <w:highlight w:val="none"/>
                    </w:rPr>
                  </w:pPr>
                  <w:r>
                    <w:rPr>
                      <w:rFonts w:hint="eastAsia"/>
                      <w:color w:val="auto"/>
                      <w:szCs w:val="21"/>
                      <w:highlight w:val="none"/>
                    </w:rPr>
                    <w:t>/</w:t>
                  </w:r>
                </w:p>
              </w:tc>
            </w:tr>
          </w:tbl>
          <w:p w14:paraId="40D2E305">
            <w:pPr>
              <w:autoSpaceDE w:val="0"/>
              <w:autoSpaceDN w:val="0"/>
              <w:adjustRightInd w:val="0"/>
              <w:spacing w:line="240" w:lineRule="auto"/>
              <w:ind w:firstLine="522" w:firstLineChars="200"/>
              <w:textAlignment w:val="baseline"/>
              <w:rPr>
                <w:rFonts w:hint="eastAsia"/>
                <w:b/>
                <w:color w:val="auto"/>
                <w:kern w:val="0"/>
                <w:sz w:val="26"/>
                <w:szCs w:val="26"/>
                <w:highlight w:val="none"/>
              </w:rPr>
            </w:pPr>
          </w:p>
          <w:p w14:paraId="13D86609">
            <w:pPr>
              <w:autoSpaceDE w:val="0"/>
              <w:autoSpaceDN w:val="0"/>
              <w:adjustRightInd w:val="0"/>
              <w:spacing w:line="480" w:lineRule="exact"/>
              <w:ind w:firstLine="522" w:firstLineChars="200"/>
              <w:textAlignment w:val="baseline"/>
              <w:rPr>
                <w:b/>
                <w:color w:val="auto"/>
                <w:kern w:val="0"/>
                <w:sz w:val="26"/>
                <w:szCs w:val="26"/>
                <w:highlight w:val="none"/>
              </w:rPr>
            </w:pPr>
            <w:r>
              <w:rPr>
                <w:rFonts w:hint="eastAsia"/>
                <w:b/>
                <w:color w:val="auto"/>
                <w:kern w:val="0"/>
                <w:sz w:val="26"/>
                <w:szCs w:val="26"/>
                <w:highlight w:val="none"/>
              </w:rPr>
              <w:t>2.</w:t>
            </w:r>
            <w:r>
              <w:rPr>
                <w:b/>
                <w:color w:val="auto"/>
                <w:kern w:val="0"/>
                <w:sz w:val="26"/>
                <w:szCs w:val="26"/>
                <w:highlight w:val="none"/>
              </w:rPr>
              <w:t>5</w:t>
            </w:r>
            <w:r>
              <w:rPr>
                <w:rFonts w:hint="eastAsia"/>
                <w:b/>
                <w:color w:val="auto"/>
                <w:kern w:val="0"/>
                <w:sz w:val="26"/>
                <w:szCs w:val="26"/>
                <w:highlight w:val="none"/>
              </w:rPr>
              <w:t xml:space="preserve"> 主要</w:t>
            </w:r>
            <w:r>
              <w:rPr>
                <w:b/>
                <w:color w:val="auto"/>
                <w:kern w:val="0"/>
                <w:sz w:val="26"/>
                <w:szCs w:val="26"/>
                <w:highlight w:val="none"/>
              </w:rPr>
              <w:t>设备</w:t>
            </w:r>
          </w:p>
          <w:p w14:paraId="0B68AE29">
            <w:pPr>
              <w:autoSpaceDE w:val="0"/>
              <w:autoSpaceDN w:val="0"/>
              <w:adjustRightInd w:val="0"/>
              <w:spacing w:line="480" w:lineRule="exact"/>
              <w:ind w:firstLine="520" w:firstLineChars="200"/>
              <w:jc w:val="left"/>
              <w:textAlignment w:val="baseline"/>
              <w:rPr>
                <w:color w:val="auto"/>
                <w:kern w:val="0"/>
                <w:sz w:val="26"/>
                <w:szCs w:val="26"/>
                <w:highlight w:val="none"/>
              </w:rPr>
            </w:pPr>
            <w:r>
              <w:rPr>
                <w:rFonts w:hint="eastAsia"/>
                <w:color w:val="auto"/>
                <w:kern w:val="0"/>
                <w:sz w:val="26"/>
                <w:szCs w:val="26"/>
                <w:highlight w:val="none"/>
              </w:rPr>
              <w:t>（1）主要生产设备</w:t>
            </w:r>
          </w:p>
          <w:p w14:paraId="1CB344E8">
            <w:pPr>
              <w:autoSpaceDE w:val="0"/>
              <w:autoSpaceDN w:val="0"/>
              <w:adjustRightInd w:val="0"/>
              <w:spacing w:line="480" w:lineRule="exact"/>
              <w:ind w:firstLine="520" w:firstLineChars="200"/>
              <w:jc w:val="left"/>
              <w:textAlignment w:val="baseline"/>
              <w:rPr>
                <w:color w:val="auto"/>
                <w:kern w:val="0"/>
                <w:sz w:val="26"/>
                <w:szCs w:val="26"/>
                <w:highlight w:val="none"/>
              </w:rPr>
            </w:pPr>
            <w:r>
              <w:rPr>
                <w:rFonts w:hint="eastAsia"/>
                <w:color w:val="auto"/>
                <w:kern w:val="0"/>
                <w:sz w:val="26"/>
                <w:szCs w:val="26"/>
                <w:highlight w:val="none"/>
              </w:rPr>
              <w:t>根据《产业结构调整指导目录（2024年本）》，本项目生产过程中使用的设备无淘汰落后设备。本项目主要生产设备见表2.5-1。</w:t>
            </w:r>
          </w:p>
          <w:p w14:paraId="45B64D95">
            <w:pPr>
              <w:autoSpaceDE w:val="0"/>
              <w:autoSpaceDN w:val="0"/>
              <w:adjustRightInd w:val="0"/>
              <w:jc w:val="center"/>
              <w:textAlignment w:val="baseline"/>
              <w:rPr>
                <w:color w:val="auto"/>
                <w:kern w:val="0"/>
                <w:sz w:val="26"/>
                <w:szCs w:val="26"/>
                <w:highlight w:val="none"/>
              </w:rPr>
            </w:pPr>
          </w:p>
          <w:p w14:paraId="452FDB22">
            <w:pPr>
              <w:autoSpaceDE w:val="0"/>
              <w:autoSpaceDN w:val="0"/>
              <w:adjustRightInd w:val="0"/>
              <w:jc w:val="center"/>
              <w:textAlignment w:val="baseline"/>
              <w:rPr>
                <w:bCs/>
                <w:color w:val="auto"/>
                <w:kern w:val="0"/>
                <w:sz w:val="26"/>
                <w:szCs w:val="26"/>
                <w:highlight w:val="none"/>
              </w:rPr>
            </w:pPr>
            <w:r>
              <w:rPr>
                <w:rFonts w:hint="eastAsia"/>
                <w:bCs/>
                <w:color w:val="auto"/>
                <w:kern w:val="0"/>
                <w:sz w:val="26"/>
                <w:szCs w:val="26"/>
                <w:highlight w:val="none"/>
              </w:rPr>
              <w:t>表2.</w:t>
            </w:r>
            <w:r>
              <w:rPr>
                <w:bCs/>
                <w:color w:val="auto"/>
                <w:kern w:val="0"/>
                <w:sz w:val="26"/>
                <w:szCs w:val="26"/>
                <w:highlight w:val="none"/>
              </w:rPr>
              <w:t xml:space="preserve">5-1  </w:t>
            </w:r>
            <w:r>
              <w:rPr>
                <w:rFonts w:hint="eastAsia"/>
                <w:bCs/>
                <w:color w:val="auto"/>
                <w:kern w:val="0"/>
                <w:sz w:val="26"/>
                <w:szCs w:val="26"/>
                <w:highlight w:val="none"/>
              </w:rPr>
              <w:t>项目</w:t>
            </w:r>
            <w:r>
              <w:rPr>
                <w:bCs/>
                <w:color w:val="auto"/>
                <w:kern w:val="0"/>
                <w:sz w:val="26"/>
                <w:szCs w:val="26"/>
                <w:highlight w:val="none"/>
              </w:rPr>
              <w:t>主要设备</w:t>
            </w:r>
            <w:r>
              <w:rPr>
                <w:rFonts w:hint="eastAsia"/>
                <w:bCs/>
                <w:color w:val="auto"/>
                <w:kern w:val="0"/>
                <w:sz w:val="26"/>
                <w:szCs w:val="26"/>
                <w:highlight w:val="none"/>
              </w:rPr>
              <w:t>一览表</w:t>
            </w:r>
          </w:p>
          <w:tbl>
            <w:tblPr>
              <w:tblStyle w:val="16"/>
              <w:tblW w:w="83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778"/>
              <w:gridCol w:w="2218"/>
              <w:gridCol w:w="732"/>
              <w:gridCol w:w="725"/>
              <w:gridCol w:w="1450"/>
              <w:gridCol w:w="705"/>
            </w:tblGrid>
            <w:tr w14:paraId="00C409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62DF9057">
                  <w:pPr>
                    <w:pStyle w:val="74"/>
                    <w:adjustRightInd w:val="0"/>
                    <w:snapToGrid w:val="0"/>
                    <w:spacing w:before="0" w:beforeLines="0"/>
                    <w:rPr>
                      <w:rFonts w:eastAsiaTheme="minorEastAsia"/>
                      <w:color w:val="auto"/>
                      <w:sz w:val="22"/>
                      <w:szCs w:val="22"/>
                      <w:highlight w:val="none"/>
                    </w:rPr>
                  </w:pPr>
                  <w:r>
                    <w:rPr>
                      <w:rFonts w:eastAsiaTheme="minorEastAsia"/>
                      <w:color w:val="auto"/>
                      <w:sz w:val="22"/>
                      <w:szCs w:val="22"/>
                      <w:highlight w:val="none"/>
                    </w:rPr>
                    <w:t>序号</w:t>
                  </w:r>
                </w:p>
              </w:tc>
              <w:tc>
                <w:tcPr>
                  <w:tcW w:w="1778" w:type="dxa"/>
                  <w:tcBorders>
                    <w:top w:val="single" w:color="auto" w:sz="4" w:space="0"/>
                    <w:bottom w:val="single" w:color="auto" w:sz="4" w:space="0"/>
                  </w:tcBorders>
                  <w:vAlign w:val="center"/>
                </w:tcPr>
                <w:p w14:paraId="4720CA97">
                  <w:pPr>
                    <w:pStyle w:val="74"/>
                    <w:adjustRightInd w:val="0"/>
                    <w:snapToGrid w:val="0"/>
                    <w:spacing w:before="0" w:beforeLines="0"/>
                    <w:rPr>
                      <w:rFonts w:eastAsiaTheme="minorEastAsia"/>
                      <w:color w:val="auto"/>
                      <w:sz w:val="22"/>
                      <w:szCs w:val="22"/>
                      <w:highlight w:val="none"/>
                    </w:rPr>
                  </w:pPr>
                  <w:r>
                    <w:rPr>
                      <w:rFonts w:eastAsiaTheme="minorEastAsia"/>
                      <w:color w:val="auto"/>
                      <w:sz w:val="22"/>
                      <w:szCs w:val="22"/>
                      <w:highlight w:val="none"/>
                    </w:rPr>
                    <w:t>生产设备</w:t>
                  </w:r>
                  <w:r>
                    <w:rPr>
                      <w:rFonts w:hint="eastAsia" w:eastAsiaTheme="minorEastAsia"/>
                      <w:color w:val="auto"/>
                      <w:sz w:val="22"/>
                      <w:szCs w:val="22"/>
                      <w:highlight w:val="none"/>
                    </w:rPr>
                    <w:t>名称</w:t>
                  </w:r>
                </w:p>
              </w:tc>
              <w:tc>
                <w:tcPr>
                  <w:tcW w:w="2218" w:type="dxa"/>
                  <w:tcBorders>
                    <w:top w:val="single" w:color="auto" w:sz="4" w:space="0"/>
                    <w:bottom w:val="single" w:color="auto" w:sz="4" w:space="0"/>
                  </w:tcBorders>
                  <w:vAlign w:val="center"/>
                </w:tcPr>
                <w:p w14:paraId="30577708">
                  <w:pPr>
                    <w:pStyle w:val="74"/>
                    <w:adjustRightInd w:val="0"/>
                    <w:snapToGrid w:val="0"/>
                    <w:spacing w:before="0" w:beforeLines="0"/>
                    <w:rPr>
                      <w:rFonts w:eastAsiaTheme="minorEastAsia"/>
                      <w:color w:val="auto"/>
                      <w:sz w:val="22"/>
                      <w:szCs w:val="22"/>
                      <w:highlight w:val="none"/>
                    </w:rPr>
                  </w:pPr>
                  <w:r>
                    <w:rPr>
                      <w:rFonts w:eastAsiaTheme="minorEastAsia"/>
                      <w:color w:val="auto"/>
                      <w:sz w:val="22"/>
                      <w:szCs w:val="22"/>
                      <w:highlight w:val="none"/>
                    </w:rPr>
                    <w:t>型号/参数</w:t>
                  </w:r>
                </w:p>
              </w:tc>
              <w:tc>
                <w:tcPr>
                  <w:tcW w:w="732" w:type="dxa"/>
                  <w:tcBorders>
                    <w:top w:val="single" w:color="auto" w:sz="4" w:space="0"/>
                    <w:bottom w:val="single" w:color="auto" w:sz="4" w:space="0"/>
                  </w:tcBorders>
                  <w:vAlign w:val="center"/>
                </w:tcPr>
                <w:p w14:paraId="00376268">
                  <w:pPr>
                    <w:pStyle w:val="74"/>
                    <w:adjustRightInd w:val="0"/>
                    <w:snapToGrid w:val="0"/>
                    <w:spacing w:before="0" w:beforeLines="0"/>
                    <w:rPr>
                      <w:rFonts w:eastAsiaTheme="minorEastAsia"/>
                      <w:color w:val="auto"/>
                      <w:sz w:val="22"/>
                      <w:szCs w:val="22"/>
                      <w:highlight w:val="none"/>
                    </w:rPr>
                  </w:pPr>
                  <w:r>
                    <w:rPr>
                      <w:rFonts w:eastAsiaTheme="minorEastAsia"/>
                      <w:color w:val="auto"/>
                      <w:sz w:val="22"/>
                      <w:szCs w:val="22"/>
                      <w:highlight w:val="none"/>
                    </w:rPr>
                    <w:t>单位</w:t>
                  </w:r>
                </w:p>
              </w:tc>
              <w:tc>
                <w:tcPr>
                  <w:tcW w:w="725" w:type="dxa"/>
                  <w:tcBorders>
                    <w:top w:val="single" w:color="auto" w:sz="4" w:space="0"/>
                    <w:bottom w:val="single" w:color="auto" w:sz="4" w:space="0"/>
                  </w:tcBorders>
                  <w:vAlign w:val="center"/>
                </w:tcPr>
                <w:p w14:paraId="29DA0F6B">
                  <w:pPr>
                    <w:pStyle w:val="74"/>
                    <w:adjustRightInd w:val="0"/>
                    <w:snapToGrid w:val="0"/>
                    <w:spacing w:before="0" w:beforeLines="0"/>
                    <w:rPr>
                      <w:rFonts w:eastAsiaTheme="minorEastAsia"/>
                      <w:color w:val="auto"/>
                      <w:sz w:val="22"/>
                      <w:szCs w:val="22"/>
                      <w:highlight w:val="none"/>
                    </w:rPr>
                  </w:pPr>
                  <w:r>
                    <w:rPr>
                      <w:rFonts w:eastAsiaTheme="minorEastAsia"/>
                      <w:color w:val="auto"/>
                      <w:sz w:val="22"/>
                      <w:szCs w:val="22"/>
                      <w:highlight w:val="none"/>
                    </w:rPr>
                    <w:t>数量</w:t>
                  </w:r>
                </w:p>
              </w:tc>
              <w:tc>
                <w:tcPr>
                  <w:tcW w:w="1450" w:type="dxa"/>
                  <w:tcBorders>
                    <w:top w:val="single" w:color="auto" w:sz="4" w:space="0"/>
                    <w:bottom w:val="single" w:color="auto" w:sz="4" w:space="0"/>
                    <w:right w:val="single" w:color="auto" w:sz="4" w:space="0"/>
                  </w:tcBorders>
                  <w:vAlign w:val="center"/>
                </w:tcPr>
                <w:p w14:paraId="2DD9B167">
                  <w:pPr>
                    <w:pStyle w:val="74"/>
                    <w:adjustRightInd w:val="0"/>
                    <w:snapToGrid w:val="0"/>
                    <w:spacing w:before="0" w:beforeLines="0"/>
                    <w:rPr>
                      <w:rFonts w:eastAsiaTheme="minorEastAsia"/>
                      <w:color w:val="auto"/>
                      <w:sz w:val="22"/>
                      <w:szCs w:val="22"/>
                      <w:highlight w:val="none"/>
                    </w:rPr>
                  </w:pPr>
                  <w:r>
                    <w:rPr>
                      <w:rFonts w:hint="eastAsia" w:eastAsiaTheme="minorEastAsia"/>
                      <w:color w:val="auto"/>
                      <w:sz w:val="22"/>
                      <w:szCs w:val="22"/>
                      <w:highlight w:val="none"/>
                    </w:rPr>
                    <w:t>工序</w:t>
                  </w:r>
                </w:p>
              </w:tc>
              <w:tc>
                <w:tcPr>
                  <w:tcW w:w="705" w:type="dxa"/>
                  <w:tcBorders>
                    <w:top w:val="single" w:color="auto" w:sz="4" w:space="0"/>
                    <w:bottom w:val="single" w:color="auto" w:sz="4" w:space="0"/>
                    <w:right w:val="single" w:color="auto" w:sz="4" w:space="0"/>
                  </w:tcBorders>
                  <w:vAlign w:val="center"/>
                </w:tcPr>
                <w:p w14:paraId="6225BE8B">
                  <w:pPr>
                    <w:pStyle w:val="74"/>
                    <w:adjustRightInd w:val="0"/>
                    <w:snapToGrid w:val="0"/>
                    <w:spacing w:before="0" w:beforeLines="0"/>
                    <w:rPr>
                      <w:rFonts w:eastAsiaTheme="minorEastAsia"/>
                      <w:color w:val="auto"/>
                      <w:sz w:val="22"/>
                      <w:szCs w:val="22"/>
                      <w:highlight w:val="none"/>
                    </w:rPr>
                  </w:pPr>
                  <w:r>
                    <w:rPr>
                      <w:rFonts w:hint="eastAsia" w:eastAsiaTheme="minorEastAsia"/>
                      <w:color w:val="auto"/>
                      <w:sz w:val="22"/>
                      <w:szCs w:val="22"/>
                      <w:highlight w:val="none"/>
                    </w:rPr>
                    <w:t>备注</w:t>
                  </w:r>
                </w:p>
              </w:tc>
            </w:tr>
            <w:tr w14:paraId="0169F0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1B4BF846">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222C9C88">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剪板机</w:t>
                  </w:r>
                </w:p>
              </w:tc>
              <w:tc>
                <w:tcPr>
                  <w:tcW w:w="2218" w:type="dxa"/>
                  <w:tcBorders>
                    <w:top w:val="single" w:color="auto" w:sz="4" w:space="0"/>
                    <w:bottom w:val="single" w:color="auto" w:sz="4" w:space="0"/>
                  </w:tcBorders>
                  <w:vAlign w:val="center"/>
                </w:tcPr>
                <w:p w14:paraId="0472CFED">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w:t>
                  </w:r>
                </w:p>
              </w:tc>
              <w:tc>
                <w:tcPr>
                  <w:tcW w:w="732" w:type="dxa"/>
                  <w:tcBorders>
                    <w:top w:val="single" w:color="auto" w:sz="4" w:space="0"/>
                    <w:bottom w:val="single" w:color="auto" w:sz="4" w:space="0"/>
                  </w:tcBorders>
                  <w:vAlign w:val="center"/>
                </w:tcPr>
                <w:p w14:paraId="18EDB9C5">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4BA3B61C">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2</w:t>
                  </w:r>
                </w:p>
              </w:tc>
              <w:tc>
                <w:tcPr>
                  <w:tcW w:w="1450" w:type="dxa"/>
                  <w:tcBorders>
                    <w:top w:val="single" w:color="auto" w:sz="4" w:space="0"/>
                    <w:bottom w:val="single" w:color="auto" w:sz="4" w:space="0"/>
                    <w:right w:val="single" w:color="auto" w:sz="4" w:space="0"/>
                  </w:tcBorders>
                  <w:vAlign w:val="center"/>
                </w:tcPr>
                <w:p w14:paraId="3935F014">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钢板剪板</w:t>
                  </w:r>
                </w:p>
              </w:tc>
              <w:tc>
                <w:tcPr>
                  <w:tcW w:w="705" w:type="dxa"/>
                  <w:tcBorders>
                    <w:top w:val="single" w:color="auto" w:sz="4" w:space="0"/>
                    <w:bottom w:val="single" w:color="auto" w:sz="4" w:space="0"/>
                    <w:right w:val="single" w:color="auto" w:sz="4" w:space="0"/>
                  </w:tcBorders>
                  <w:vAlign w:val="center"/>
                </w:tcPr>
                <w:p w14:paraId="001B5722">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利旧</w:t>
                  </w:r>
                </w:p>
              </w:tc>
            </w:tr>
            <w:tr w14:paraId="17E37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09DBD3CB">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64F522F4">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开卷机</w:t>
                  </w:r>
                </w:p>
              </w:tc>
              <w:tc>
                <w:tcPr>
                  <w:tcW w:w="2218" w:type="dxa"/>
                  <w:tcBorders>
                    <w:top w:val="single" w:color="auto" w:sz="4" w:space="0"/>
                    <w:bottom w:val="single" w:color="auto" w:sz="4" w:space="0"/>
                  </w:tcBorders>
                  <w:vAlign w:val="center"/>
                </w:tcPr>
                <w:p w14:paraId="195092F4">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w:t>
                  </w:r>
                </w:p>
              </w:tc>
              <w:tc>
                <w:tcPr>
                  <w:tcW w:w="732" w:type="dxa"/>
                  <w:tcBorders>
                    <w:top w:val="single" w:color="auto" w:sz="4" w:space="0"/>
                    <w:bottom w:val="single" w:color="auto" w:sz="4" w:space="0"/>
                  </w:tcBorders>
                  <w:vAlign w:val="center"/>
                </w:tcPr>
                <w:p w14:paraId="24AF3ABD">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10562F44">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2</w:t>
                  </w:r>
                </w:p>
              </w:tc>
              <w:tc>
                <w:tcPr>
                  <w:tcW w:w="1450" w:type="dxa"/>
                  <w:tcBorders>
                    <w:top w:val="single" w:color="auto" w:sz="4" w:space="0"/>
                    <w:bottom w:val="single" w:color="auto" w:sz="4" w:space="0"/>
                    <w:right w:val="single" w:color="auto" w:sz="4" w:space="0"/>
                  </w:tcBorders>
                  <w:vAlign w:val="center"/>
                </w:tcPr>
                <w:p w14:paraId="75B9085A">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钢卷开卷</w:t>
                  </w:r>
                </w:p>
              </w:tc>
              <w:tc>
                <w:tcPr>
                  <w:tcW w:w="705" w:type="dxa"/>
                  <w:tcBorders>
                    <w:top w:val="single" w:color="auto" w:sz="4" w:space="0"/>
                    <w:bottom w:val="single" w:color="auto" w:sz="4" w:space="0"/>
                    <w:right w:val="single" w:color="auto" w:sz="4" w:space="0"/>
                  </w:tcBorders>
                  <w:vAlign w:val="center"/>
                </w:tcPr>
                <w:p w14:paraId="1C367641">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利旧</w:t>
                  </w:r>
                </w:p>
              </w:tc>
            </w:tr>
            <w:tr w14:paraId="3B45B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2E641EF2">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0F6E615F">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海天二维激光切割设备</w:t>
                  </w:r>
                </w:p>
              </w:tc>
              <w:tc>
                <w:tcPr>
                  <w:tcW w:w="2218" w:type="dxa"/>
                  <w:tcBorders>
                    <w:top w:val="single" w:color="auto" w:sz="4" w:space="0"/>
                    <w:bottom w:val="single" w:color="auto" w:sz="4" w:space="0"/>
                  </w:tcBorders>
                  <w:vAlign w:val="center"/>
                </w:tcPr>
                <w:p w14:paraId="48A7B34A">
                  <w:pPr>
                    <w:widowControl/>
                    <w:adjustRightInd w:val="0"/>
                    <w:snapToGrid w:val="0"/>
                    <w:jc w:val="center"/>
                    <w:rPr>
                      <w:rFonts w:hint="eastAsia" w:eastAsiaTheme="minorEastAsia"/>
                      <w:color w:val="auto"/>
                      <w:kern w:val="0"/>
                      <w:sz w:val="22"/>
                      <w:szCs w:val="22"/>
                      <w:highlight w:val="none"/>
                      <w:lang w:eastAsia="zh-CN"/>
                    </w:rPr>
                  </w:pPr>
                  <w:r>
                    <w:rPr>
                      <w:rFonts w:hint="eastAsia" w:eastAsiaTheme="minorEastAsia"/>
                      <w:color w:val="auto"/>
                      <w:kern w:val="0"/>
                      <w:sz w:val="22"/>
                      <w:szCs w:val="22"/>
                      <w:highlight w:val="none"/>
                    </w:rPr>
                    <w:t>GL20F，自带滤芯除尘器</w:t>
                  </w:r>
                  <w:r>
                    <w:rPr>
                      <w:rFonts w:hint="eastAsia" w:eastAsiaTheme="minorEastAsia"/>
                      <w:color w:val="auto"/>
                      <w:kern w:val="0"/>
                      <w:sz w:val="22"/>
                      <w:szCs w:val="22"/>
                      <w:highlight w:val="none"/>
                      <w:lang w:eastAsia="zh-CN"/>
                    </w:rPr>
                    <w:t>、螺杆式空压机各1台</w:t>
                  </w:r>
                </w:p>
              </w:tc>
              <w:tc>
                <w:tcPr>
                  <w:tcW w:w="732" w:type="dxa"/>
                  <w:tcBorders>
                    <w:top w:val="single" w:color="auto" w:sz="4" w:space="0"/>
                    <w:bottom w:val="single" w:color="auto" w:sz="4" w:space="0"/>
                  </w:tcBorders>
                  <w:vAlign w:val="center"/>
                </w:tcPr>
                <w:p w14:paraId="3C742EC1">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套</w:t>
                  </w:r>
                </w:p>
              </w:tc>
              <w:tc>
                <w:tcPr>
                  <w:tcW w:w="725" w:type="dxa"/>
                  <w:tcBorders>
                    <w:top w:val="single" w:color="auto" w:sz="4" w:space="0"/>
                    <w:bottom w:val="single" w:color="auto" w:sz="4" w:space="0"/>
                  </w:tcBorders>
                  <w:vAlign w:val="center"/>
                </w:tcPr>
                <w:p w14:paraId="2FFAD7AD">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w:t>
                  </w:r>
                </w:p>
              </w:tc>
              <w:tc>
                <w:tcPr>
                  <w:tcW w:w="1450" w:type="dxa"/>
                  <w:tcBorders>
                    <w:top w:val="single" w:color="auto" w:sz="4" w:space="0"/>
                    <w:bottom w:val="single" w:color="auto" w:sz="4" w:space="0"/>
                    <w:right w:val="single" w:color="auto" w:sz="4" w:space="0"/>
                  </w:tcBorders>
                  <w:vAlign w:val="center"/>
                </w:tcPr>
                <w:p w14:paraId="4C57C59A">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切割</w:t>
                  </w:r>
                </w:p>
              </w:tc>
              <w:tc>
                <w:tcPr>
                  <w:tcW w:w="705" w:type="dxa"/>
                  <w:tcBorders>
                    <w:top w:val="single" w:color="auto" w:sz="4" w:space="0"/>
                    <w:bottom w:val="single" w:color="auto" w:sz="4" w:space="0"/>
                    <w:right w:val="single" w:color="auto" w:sz="4" w:space="0"/>
                  </w:tcBorders>
                  <w:vAlign w:val="center"/>
                </w:tcPr>
                <w:p w14:paraId="410A2C20">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新增</w:t>
                  </w:r>
                </w:p>
              </w:tc>
            </w:tr>
            <w:tr w14:paraId="096E1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61C689BF">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7EE52C10">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lang w:bidi="ar"/>
                    </w:rPr>
                    <w:t>海天三维五轴激光切割设备</w:t>
                  </w:r>
                </w:p>
              </w:tc>
              <w:tc>
                <w:tcPr>
                  <w:tcW w:w="2218" w:type="dxa"/>
                  <w:tcBorders>
                    <w:top w:val="single" w:color="auto" w:sz="4" w:space="0"/>
                    <w:bottom w:val="single" w:color="auto" w:sz="4" w:space="0"/>
                  </w:tcBorders>
                  <w:vAlign w:val="center"/>
                </w:tcPr>
                <w:p w14:paraId="7015A75B">
                  <w:pPr>
                    <w:widowControl/>
                    <w:adjustRightInd w:val="0"/>
                    <w:snapToGrid w:val="0"/>
                    <w:jc w:val="center"/>
                    <w:rPr>
                      <w:rFonts w:hint="eastAsia" w:eastAsiaTheme="minorEastAsia"/>
                      <w:color w:val="auto"/>
                      <w:kern w:val="0"/>
                      <w:sz w:val="22"/>
                      <w:szCs w:val="22"/>
                      <w:highlight w:val="none"/>
                      <w:lang w:val="en-US" w:eastAsia="zh-CN"/>
                    </w:rPr>
                  </w:pPr>
                  <w:r>
                    <w:rPr>
                      <w:rFonts w:hint="eastAsia" w:eastAsiaTheme="minorEastAsia"/>
                      <w:color w:val="auto"/>
                      <w:kern w:val="0"/>
                      <w:sz w:val="22"/>
                      <w:szCs w:val="22"/>
                      <w:highlight w:val="none"/>
                    </w:rPr>
                    <w:t>GC4021A-M4000，自带滤芯除尘器、螺杆式空压机各</w:t>
                  </w:r>
                  <w:r>
                    <w:rPr>
                      <w:rFonts w:hint="eastAsia" w:eastAsiaTheme="minorEastAsia"/>
                      <w:color w:val="auto"/>
                      <w:kern w:val="0"/>
                      <w:sz w:val="22"/>
                      <w:szCs w:val="22"/>
                      <w:highlight w:val="none"/>
                      <w:lang w:val="en-US" w:eastAsia="zh-CN"/>
                    </w:rPr>
                    <w:t>1台</w:t>
                  </w:r>
                </w:p>
              </w:tc>
              <w:tc>
                <w:tcPr>
                  <w:tcW w:w="732" w:type="dxa"/>
                  <w:tcBorders>
                    <w:top w:val="single" w:color="auto" w:sz="4" w:space="0"/>
                    <w:bottom w:val="single" w:color="auto" w:sz="4" w:space="0"/>
                  </w:tcBorders>
                  <w:vAlign w:val="center"/>
                </w:tcPr>
                <w:p w14:paraId="1D9F8DA0">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套</w:t>
                  </w:r>
                </w:p>
              </w:tc>
              <w:tc>
                <w:tcPr>
                  <w:tcW w:w="725" w:type="dxa"/>
                  <w:tcBorders>
                    <w:top w:val="single" w:color="auto" w:sz="4" w:space="0"/>
                    <w:bottom w:val="single" w:color="auto" w:sz="4" w:space="0"/>
                  </w:tcBorders>
                  <w:vAlign w:val="center"/>
                </w:tcPr>
                <w:p w14:paraId="01215C02">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w:t>
                  </w:r>
                </w:p>
              </w:tc>
              <w:tc>
                <w:tcPr>
                  <w:tcW w:w="1450" w:type="dxa"/>
                  <w:tcBorders>
                    <w:top w:val="single" w:color="auto" w:sz="4" w:space="0"/>
                    <w:bottom w:val="single" w:color="auto" w:sz="4" w:space="0"/>
                    <w:right w:val="single" w:color="auto" w:sz="4" w:space="0"/>
                  </w:tcBorders>
                  <w:vAlign w:val="center"/>
                </w:tcPr>
                <w:p w14:paraId="72A7B029">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切割</w:t>
                  </w:r>
                </w:p>
              </w:tc>
              <w:tc>
                <w:tcPr>
                  <w:tcW w:w="705" w:type="dxa"/>
                  <w:tcBorders>
                    <w:top w:val="single" w:color="auto" w:sz="4" w:space="0"/>
                    <w:bottom w:val="single" w:color="auto" w:sz="4" w:space="0"/>
                    <w:right w:val="single" w:color="auto" w:sz="4" w:space="0"/>
                  </w:tcBorders>
                  <w:vAlign w:val="center"/>
                </w:tcPr>
                <w:p w14:paraId="0CBAACA4">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新增</w:t>
                  </w:r>
                </w:p>
              </w:tc>
            </w:tr>
            <w:tr w14:paraId="1E1BA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03F98E50">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6FB36388">
                  <w:pPr>
                    <w:widowControl/>
                    <w:adjustRightInd w:val="0"/>
                    <w:snapToGrid w:val="0"/>
                    <w:jc w:val="center"/>
                    <w:rPr>
                      <w:rFonts w:eastAsiaTheme="minorEastAsia"/>
                      <w:color w:val="auto"/>
                      <w:kern w:val="0"/>
                      <w:sz w:val="22"/>
                      <w:szCs w:val="22"/>
                      <w:highlight w:val="none"/>
                      <w:lang w:bidi="ar"/>
                    </w:rPr>
                  </w:pPr>
                  <w:r>
                    <w:rPr>
                      <w:rFonts w:eastAsiaTheme="minorEastAsia"/>
                      <w:color w:val="auto"/>
                      <w:kern w:val="0"/>
                      <w:sz w:val="22"/>
                      <w:szCs w:val="22"/>
                      <w:highlight w:val="none"/>
                      <w:lang w:bidi="ar"/>
                    </w:rPr>
                    <w:t>机械冲压机</w:t>
                  </w:r>
                </w:p>
              </w:tc>
              <w:tc>
                <w:tcPr>
                  <w:tcW w:w="2218" w:type="dxa"/>
                  <w:tcBorders>
                    <w:top w:val="single" w:color="auto" w:sz="4" w:space="0"/>
                    <w:bottom w:val="single" w:color="auto" w:sz="4" w:space="0"/>
                  </w:tcBorders>
                  <w:vAlign w:val="center"/>
                </w:tcPr>
                <w:p w14:paraId="789D7145">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80T</w:t>
                  </w:r>
                </w:p>
              </w:tc>
              <w:tc>
                <w:tcPr>
                  <w:tcW w:w="732" w:type="dxa"/>
                  <w:tcBorders>
                    <w:top w:val="single" w:color="auto" w:sz="4" w:space="0"/>
                    <w:bottom w:val="single" w:color="auto" w:sz="4" w:space="0"/>
                  </w:tcBorders>
                  <w:vAlign w:val="center"/>
                </w:tcPr>
                <w:p w14:paraId="675483BC">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58B1567D">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3</w:t>
                  </w:r>
                </w:p>
              </w:tc>
              <w:tc>
                <w:tcPr>
                  <w:tcW w:w="1450" w:type="dxa"/>
                  <w:vMerge w:val="restart"/>
                  <w:tcBorders>
                    <w:top w:val="single" w:color="auto" w:sz="4" w:space="0"/>
                    <w:right w:val="single" w:color="auto" w:sz="4" w:space="0"/>
                  </w:tcBorders>
                  <w:vAlign w:val="center"/>
                </w:tcPr>
                <w:p w14:paraId="2D9A4C8B">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冲压</w:t>
                  </w:r>
                </w:p>
              </w:tc>
              <w:tc>
                <w:tcPr>
                  <w:tcW w:w="705" w:type="dxa"/>
                  <w:tcBorders>
                    <w:top w:val="single" w:color="auto" w:sz="4" w:space="0"/>
                    <w:bottom w:val="single" w:color="auto" w:sz="4" w:space="0"/>
                    <w:right w:val="single" w:color="auto" w:sz="4" w:space="0"/>
                  </w:tcBorders>
                  <w:vAlign w:val="center"/>
                </w:tcPr>
                <w:p w14:paraId="61EF004C">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利旧</w:t>
                  </w:r>
                </w:p>
              </w:tc>
            </w:tr>
            <w:tr w14:paraId="53CE8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434B4327">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31CEFDC4">
                  <w:pPr>
                    <w:widowControl/>
                    <w:adjustRightInd w:val="0"/>
                    <w:snapToGrid w:val="0"/>
                    <w:jc w:val="center"/>
                    <w:rPr>
                      <w:rFonts w:eastAsiaTheme="minorEastAsia"/>
                      <w:color w:val="auto"/>
                      <w:kern w:val="0"/>
                      <w:sz w:val="22"/>
                      <w:szCs w:val="22"/>
                      <w:highlight w:val="none"/>
                      <w:lang w:bidi="ar"/>
                    </w:rPr>
                  </w:pPr>
                  <w:r>
                    <w:rPr>
                      <w:rFonts w:eastAsiaTheme="minorEastAsia"/>
                      <w:color w:val="auto"/>
                      <w:kern w:val="0"/>
                      <w:sz w:val="22"/>
                      <w:szCs w:val="22"/>
                      <w:highlight w:val="none"/>
                      <w:lang w:bidi="ar"/>
                    </w:rPr>
                    <w:t>机械冲压机</w:t>
                  </w:r>
                </w:p>
              </w:tc>
              <w:tc>
                <w:tcPr>
                  <w:tcW w:w="2218" w:type="dxa"/>
                  <w:tcBorders>
                    <w:top w:val="single" w:color="auto" w:sz="4" w:space="0"/>
                    <w:bottom w:val="single" w:color="auto" w:sz="4" w:space="0"/>
                  </w:tcBorders>
                  <w:vAlign w:val="center"/>
                </w:tcPr>
                <w:p w14:paraId="0B2588AF">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110T</w:t>
                  </w:r>
                </w:p>
              </w:tc>
              <w:tc>
                <w:tcPr>
                  <w:tcW w:w="732" w:type="dxa"/>
                  <w:tcBorders>
                    <w:top w:val="single" w:color="auto" w:sz="4" w:space="0"/>
                    <w:bottom w:val="single" w:color="auto" w:sz="4" w:space="0"/>
                  </w:tcBorders>
                  <w:vAlign w:val="center"/>
                </w:tcPr>
                <w:p w14:paraId="77C26C78">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7C6D5F7B">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2</w:t>
                  </w:r>
                </w:p>
              </w:tc>
              <w:tc>
                <w:tcPr>
                  <w:tcW w:w="1450" w:type="dxa"/>
                  <w:vMerge w:val="continue"/>
                  <w:tcBorders>
                    <w:right w:val="single" w:color="auto" w:sz="4" w:space="0"/>
                  </w:tcBorders>
                  <w:vAlign w:val="center"/>
                </w:tcPr>
                <w:p w14:paraId="21BA7DA5">
                  <w:pPr>
                    <w:widowControl/>
                    <w:adjustRightInd w:val="0"/>
                    <w:snapToGrid w:val="0"/>
                    <w:jc w:val="center"/>
                    <w:rPr>
                      <w:rFonts w:eastAsiaTheme="minorEastAsia"/>
                      <w:color w:val="auto"/>
                      <w:kern w:val="0"/>
                      <w:sz w:val="22"/>
                      <w:szCs w:val="22"/>
                      <w:highlight w:val="none"/>
                    </w:rPr>
                  </w:pPr>
                </w:p>
              </w:tc>
              <w:tc>
                <w:tcPr>
                  <w:tcW w:w="705" w:type="dxa"/>
                  <w:tcBorders>
                    <w:top w:val="single" w:color="auto" w:sz="4" w:space="0"/>
                    <w:bottom w:val="single" w:color="auto" w:sz="4" w:space="0"/>
                    <w:right w:val="single" w:color="auto" w:sz="4" w:space="0"/>
                  </w:tcBorders>
                  <w:vAlign w:val="center"/>
                </w:tcPr>
                <w:p w14:paraId="5B9B0440">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利旧</w:t>
                  </w:r>
                </w:p>
              </w:tc>
            </w:tr>
            <w:tr w14:paraId="75860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738A30B8">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56DF888F">
                  <w:pPr>
                    <w:widowControl/>
                    <w:adjustRightInd w:val="0"/>
                    <w:snapToGrid w:val="0"/>
                    <w:jc w:val="center"/>
                    <w:rPr>
                      <w:rFonts w:eastAsiaTheme="minorEastAsia"/>
                      <w:color w:val="auto"/>
                      <w:kern w:val="0"/>
                      <w:sz w:val="22"/>
                      <w:szCs w:val="22"/>
                      <w:highlight w:val="none"/>
                      <w:lang w:bidi="ar"/>
                    </w:rPr>
                  </w:pPr>
                  <w:r>
                    <w:rPr>
                      <w:rFonts w:eastAsiaTheme="minorEastAsia"/>
                      <w:color w:val="auto"/>
                      <w:kern w:val="0"/>
                      <w:sz w:val="22"/>
                      <w:szCs w:val="22"/>
                      <w:highlight w:val="none"/>
                      <w:lang w:bidi="ar"/>
                    </w:rPr>
                    <w:t>机械冲压机</w:t>
                  </w:r>
                </w:p>
              </w:tc>
              <w:tc>
                <w:tcPr>
                  <w:tcW w:w="2218" w:type="dxa"/>
                  <w:tcBorders>
                    <w:top w:val="single" w:color="auto" w:sz="4" w:space="0"/>
                    <w:bottom w:val="single" w:color="auto" w:sz="4" w:space="0"/>
                  </w:tcBorders>
                  <w:vAlign w:val="center"/>
                </w:tcPr>
                <w:p w14:paraId="097616E2">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160T</w:t>
                  </w:r>
                </w:p>
              </w:tc>
              <w:tc>
                <w:tcPr>
                  <w:tcW w:w="732" w:type="dxa"/>
                  <w:tcBorders>
                    <w:top w:val="single" w:color="auto" w:sz="4" w:space="0"/>
                    <w:bottom w:val="single" w:color="auto" w:sz="4" w:space="0"/>
                  </w:tcBorders>
                  <w:vAlign w:val="center"/>
                </w:tcPr>
                <w:p w14:paraId="0795B24C">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3A3B4306">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2</w:t>
                  </w:r>
                </w:p>
              </w:tc>
              <w:tc>
                <w:tcPr>
                  <w:tcW w:w="1450" w:type="dxa"/>
                  <w:vMerge w:val="continue"/>
                  <w:tcBorders>
                    <w:right w:val="single" w:color="auto" w:sz="4" w:space="0"/>
                  </w:tcBorders>
                  <w:vAlign w:val="center"/>
                </w:tcPr>
                <w:p w14:paraId="54747815">
                  <w:pPr>
                    <w:widowControl/>
                    <w:adjustRightInd w:val="0"/>
                    <w:snapToGrid w:val="0"/>
                    <w:jc w:val="center"/>
                    <w:rPr>
                      <w:rFonts w:eastAsiaTheme="minorEastAsia"/>
                      <w:color w:val="auto"/>
                      <w:kern w:val="0"/>
                      <w:sz w:val="22"/>
                      <w:szCs w:val="22"/>
                      <w:highlight w:val="none"/>
                    </w:rPr>
                  </w:pPr>
                </w:p>
              </w:tc>
              <w:tc>
                <w:tcPr>
                  <w:tcW w:w="705" w:type="dxa"/>
                  <w:tcBorders>
                    <w:top w:val="single" w:color="auto" w:sz="4" w:space="0"/>
                    <w:bottom w:val="single" w:color="auto" w:sz="4" w:space="0"/>
                    <w:right w:val="single" w:color="auto" w:sz="4" w:space="0"/>
                  </w:tcBorders>
                  <w:vAlign w:val="center"/>
                </w:tcPr>
                <w:p w14:paraId="4DC49B74">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利旧</w:t>
                  </w:r>
                </w:p>
              </w:tc>
            </w:tr>
            <w:tr w14:paraId="33170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57E24A6F">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385D019B">
                  <w:pPr>
                    <w:widowControl/>
                    <w:adjustRightInd w:val="0"/>
                    <w:snapToGrid w:val="0"/>
                    <w:jc w:val="center"/>
                    <w:rPr>
                      <w:rFonts w:eastAsiaTheme="minorEastAsia"/>
                      <w:color w:val="auto"/>
                      <w:kern w:val="0"/>
                      <w:sz w:val="22"/>
                      <w:szCs w:val="22"/>
                      <w:highlight w:val="none"/>
                      <w:lang w:bidi="ar"/>
                    </w:rPr>
                  </w:pPr>
                  <w:r>
                    <w:rPr>
                      <w:rFonts w:eastAsiaTheme="minorEastAsia"/>
                      <w:color w:val="auto"/>
                      <w:kern w:val="0"/>
                      <w:sz w:val="22"/>
                      <w:szCs w:val="22"/>
                      <w:highlight w:val="none"/>
                      <w:lang w:bidi="ar"/>
                    </w:rPr>
                    <w:t>机械冲压机</w:t>
                  </w:r>
                </w:p>
              </w:tc>
              <w:tc>
                <w:tcPr>
                  <w:tcW w:w="2218" w:type="dxa"/>
                  <w:tcBorders>
                    <w:top w:val="single" w:color="auto" w:sz="4" w:space="0"/>
                    <w:bottom w:val="single" w:color="auto" w:sz="4" w:space="0"/>
                  </w:tcBorders>
                  <w:vAlign w:val="center"/>
                </w:tcPr>
                <w:p w14:paraId="7F535AFD">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200T</w:t>
                  </w:r>
                </w:p>
              </w:tc>
              <w:tc>
                <w:tcPr>
                  <w:tcW w:w="732" w:type="dxa"/>
                  <w:tcBorders>
                    <w:top w:val="single" w:color="auto" w:sz="4" w:space="0"/>
                    <w:bottom w:val="single" w:color="auto" w:sz="4" w:space="0"/>
                  </w:tcBorders>
                  <w:vAlign w:val="center"/>
                </w:tcPr>
                <w:p w14:paraId="6AF941D5">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4E3A9FE6">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3</w:t>
                  </w:r>
                </w:p>
              </w:tc>
              <w:tc>
                <w:tcPr>
                  <w:tcW w:w="1450" w:type="dxa"/>
                  <w:vMerge w:val="continue"/>
                  <w:tcBorders>
                    <w:right w:val="single" w:color="auto" w:sz="4" w:space="0"/>
                  </w:tcBorders>
                  <w:vAlign w:val="center"/>
                </w:tcPr>
                <w:p w14:paraId="625A10D2">
                  <w:pPr>
                    <w:widowControl/>
                    <w:adjustRightInd w:val="0"/>
                    <w:snapToGrid w:val="0"/>
                    <w:jc w:val="center"/>
                    <w:rPr>
                      <w:rFonts w:eastAsiaTheme="minorEastAsia"/>
                      <w:color w:val="auto"/>
                      <w:kern w:val="0"/>
                      <w:sz w:val="22"/>
                      <w:szCs w:val="22"/>
                      <w:highlight w:val="none"/>
                    </w:rPr>
                  </w:pPr>
                </w:p>
              </w:tc>
              <w:tc>
                <w:tcPr>
                  <w:tcW w:w="705" w:type="dxa"/>
                  <w:tcBorders>
                    <w:top w:val="single" w:color="auto" w:sz="4" w:space="0"/>
                    <w:bottom w:val="single" w:color="auto" w:sz="4" w:space="0"/>
                    <w:right w:val="single" w:color="auto" w:sz="4" w:space="0"/>
                  </w:tcBorders>
                  <w:vAlign w:val="center"/>
                </w:tcPr>
                <w:p w14:paraId="429488B4">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利旧</w:t>
                  </w:r>
                </w:p>
              </w:tc>
            </w:tr>
            <w:tr w14:paraId="50745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5D0EB011">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6D12CDF0">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lang w:bidi="ar"/>
                    </w:rPr>
                    <w:t>机械</w:t>
                  </w:r>
                  <w:r>
                    <w:rPr>
                      <w:rFonts w:eastAsiaTheme="minorEastAsia"/>
                      <w:color w:val="auto"/>
                      <w:kern w:val="0"/>
                      <w:sz w:val="22"/>
                      <w:szCs w:val="22"/>
                      <w:highlight w:val="none"/>
                    </w:rPr>
                    <w:t>冲压机</w:t>
                  </w:r>
                </w:p>
              </w:tc>
              <w:tc>
                <w:tcPr>
                  <w:tcW w:w="2218" w:type="dxa"/>
                  <w:tcBorders>
                    <w:top w:val="single" w:color="auto" w:sz="4" w:space="0"/>
                    <w:bottom w:val="single" w:color="auto" w:sz="4" w:space="0"/>
                  </w:tcBorders>
                  <w:vAlign w:val="center"/>
                </w:tcPr>
                <w:p w14:paraId="6D9D3920">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400T</w:t>
                  </w:r>
                </w:p>
              </w:tc>
              <w:tc>
                <w:tcPr>
                  <w:tcW w:w="732" w:type="dxa"/>
                  <w:tcBorders>
                    <w:top w:val="single" w:color="auto" w:sz="4" w:space="0"/>
                    <w:bottom w:val="single" w:color="auto" w:sz="4" w:space="0"/>
                  </w:tcBorders>
                  <w:vAlign w:val="center"/>
                </w:tcPr>
                <w:p w14:paraId="75041FE9">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1DA4008F">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2</w:t>
                  </w:r>
                </w:p>
              </w:tc>
              <w:tc>
                <w:tcPr>
                  <w:tcW w:w="1450" w:type="dxa"/>
                  <w:vMerge w:val="continue"/>
                  <w:tcBorders>
                    <w:right w:val="single" w:color="auto" w:sz="4" w:space="0"/>
                  </w:tcBorders>
                  <w:vAlign w:val="center"/>
                </w:tcPr>
                <w:p w14:paraId="3E34EDE8">
                  <w:pPr>
                    <w:widowControl/>
                    <w:adjustRightInd w:val="0"/>
                    <w:snapToGrid w:val="0"/>
                    <w:jc w:val="center"/>
                    <w:rPr>
                      <w:rFonts w:eastAsiaTheme="minorEastAsia"/>
                      <w:color w:val="auto"/>
                      <w:kern w:val="0"/>
                      <w:sz w:val="22"/>
                      <w:szCs w:val="22"/>
                      <w:highlight w:val="none"/>
                    </w:rPr>
                  </w:pPr>
                </w:p>
              </w:tc>
              <w:tc>
                <w:tcPr>
                  <w:tcW w:w="705" w:type="dxa"/>
                  <w:tcBorders>
                    <w:top w:val="single" w:color="auto" w:sz="4" w:space="0"/>
                    <w:bottom w:val="single" w:color="auto" w:sz="4" w:space="0"/>
                    <w:right w:val="single" w:color="auto" w:sz="4" w:space="0"/>
                  </w:tcBorders>
                  <w:vAlign w:val="center"/>
                </w:tcPr>
                <w:p w14:paraId="477FEF64">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利旧</w:t>
                  </w:r>
                </w:p>
              </w:tc>
            </w:tr>
            <w:tr w14:paraId="2D460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358CF752">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3D747A94">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lang w:bidi="ar"/>
                    </w:rPr>
                    <w:t>机械</w:t>
                  </w:r>
                  <w:r>
                    <w:rPr>
                      <w:rFonts w:eastAsiaTheme="minorEastAsia"/>
                      <w:color w:val="auto"/>
                      <w:kern w:val="0"/>
                      <w:sz w:val="22"/>
                      <w:szCs w:val="22"/>
                      <w:highlight w:val="none"/>
                    </w:rPr>
                    <w:t>冲压机</w:t>
                  </w:r>
                </w:p>
              </w:tc>
              <w:tc>
                <w:tcPr>
                  <w:tcW w:w="2218" w:type="dxa"/>
                  <w:tcBorders>
                    <w:top w:val="single" w:color="auto" w:sz="4" w:space="0"/>
                    <w:bottom w:val="single" w:color="auto" w:sz="4" w:space="0"/>
                  </w:tcBorders>
                  <w:vAlign w:val="center"/>
                </w:tcPr>
                <w:p w14:paraId="09C2DF6B">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450T</w:t>
                  </w:r>
                </w:p>
              </w:tc>
              <w:tc>
                <w:tcPr>
                  <w:tcW w:w="732" w:type="dxa"/>
                  <w:tcBorders>
                    <w:top w:val="single" w:color="auto" w:sz="4" w:space="0"/>
                    <w:bottom w:val="single" w:color="auto" w:sz="4" w:space="0"/>
                  </w:tcBorders>
                  <w:vAlign w:val="center"/>
                </w:tcPr>
                <w:p w14:paraId="48EBF829">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36DC1E94">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w:t>
                  </w:r>
                </w:p>
              </w:tc>
              <w:tc>
                <w:tcPr>
                  <w:tcW w:w="1450" w:type="dxa"/>
                  <w:vMerge w:val="continue"/>
                  <w:tcBorders>
                    <w:right w:val="single" w:color="auto" w:sz="4" w:space="0"/>
                  </w:tcBorders>
                  <w:vAlign w:val="center"/>
                </w:tcPr>
                <w:p w14:paraId="4E563F38">
                  <w:pPr>
                    <w:widowControl/>
                    <w:adjustRightInd w:val="0"/>
                    <w:snapToGrid w:val="0"/>
                    <w:jc w:val="center"/>
                    <w:rPr>
                      <w:rFonts w:eastAsiaTheme="minorEastAsia"/>
                      <w:color w:val="auto"/>
                      <w:kern w:val="0"/>
                      <w:sz w:val="22"/>
                      <w:szCs w:val="22"/>
                      <w:highlight w:val="none"/>
                    </w:rPr>
                  </w:pPr>
                </w:p>
              </w:tc>
              <w:tc>
                <w:tcPr>
                  <w:tcW w:w="705" w:type="dxa"/>
                  <w:tcBorders>
                    <w:top w:val="single" w:color="auto" w:sz="4" w:space="0"/>
                    <w:bottom w:val="single" w:color="auto" w:sz="4" w:space="0"/>
                    <w:right w:val="single" w:color="auto" w:sz="4" w:space="0"/>
                  </w:tcBorders>
                  <w:vAlign w:val="center"/>
                </w:tcPr>
                <w:p w14:paraId="67D88EB4">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利旧</w:t>
                  </w:r>
                </w:p>
              </w:tc>
            </w:tr>
            <w:tr w14:paraId="69CB3F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2E6C50D8">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2D6AED1E">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lang w:bidi="ar"/>
                    </w:rPr>
                    <w:t>机械</w:t>
                  </w:r>
                  <w:r>
                    <w:rPr>
                      <w:rFonts w:eastAsiaTheme="minorEastAsia"/>
                      <w:color w:val="auto"/>
                      <w:kern w:val="0"/>
                      <w:sz w:val="22"/>
                      <w:szCs w:val="22"/>
                      <w:highlight w:val="none"/>
                    </w:rPr>
                    <w:t>冲压机</w:t>
                  </w:r>
                </w:p>
              </w:tc>
              <w:tc>
                <w:tcPr>
                  <w:tcW w:w="2218" w:type="dxa"/>
                  <w:tcBorders>
                    <w:top w:val="single" w:color="auto" w:sz="4" w:space="0"/>
                    <w:bottom w:val="single" w:color="auto" w:sz="4" w:space="0"/>
                  </w:tcBorders>
                  <w:vAlign w:val="center"/>
                </w:tcPr>
                <w:p w14:paraId="385AA6FC">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800T</w:t>
                  </w:r>
                </w:p>
              </w:tc>
              <w:tc>
                <w:tcPr>
                  <w:tcW w:w="732" w:type="dxa"/>
                  <w:tcBorders>
                    <w:top w:val="single" w:color="auto" w:sz="4" w:space="0"/>
                    <w:bottom w:val="single" w:color="auto" w:sz="4" w:space="0"/>
                  </w:tcBorders>
                  <w:vAlign w:val="center"/>
                </w:tcPr>
                <w:p w14:paraId="4913AF7C">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55BA3B57">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w:t>
                  </w:r>
                </w:p>
              </w:tc>
              <w:tc>
                <w:tcPr>
                  <w:tcW w:w="1450" w:type="dxa"/>
                  <w:vMerge w:val="continue"/>
                  <w:tcBorders>
                    <w:bottom w:val="single" w:color="auto" w:sz="4" w:space="0"/>
                    <w:right w:val="single" w:color="auto" w:sz="4" w:space="0"/>
                  </w:tcBorders>
                  <w:vAlign w:val="center"/>
                </w:tcPr>
                <w:p w14:paraId="49E510A2">
                  <w:pPr>
                    <w:widowControl/>
                    <w:adjustRightInd w:val="0"/>
                    <w:snapToGrid w:val="0"/>
                    <w:jc w:val="center"/>
                    <w:rPr>
                      <w:rFonts w:eastAsiaTheme="minorEastAsia"/>
                      <w:color w:val="auto"/>
                      <w:kern w:val="0"/>
                      <w:sz w:val="22"/>
                      <w:szCs w:val="22"/>
                      <w:highlight w:val="none"/>
                    </w:rPr>
                  </w:pPr>
                </w:p>
              </w:tc>
              <w:tc>
                <w:tcPr>
                  <w:tcW w:w="705" w:type="dxa"/>
                  <w:tcBorders>
                    <w:top w:val="single" w:color="auto" w:sz="4" w:space="0"/>
                    <w:bottom w:val="single" w:color="auto" w:sz="4" w:space="0"/>
                    <w:right w:val="single" w:color="auto" w:sz="4" w:space="0"/>
                  </w:tcBorders>
                  <w:vAlign w:val="center"/>
                </w:tcPr>
                <w:p w14:paraId="19646679">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利旧</w:t>
                  </w:r>
                </w:p>
              </w:tc>
            </w:tr>
            <w:tr w14:paraId="109AC9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51BEE4E5">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6BA76F6B">
                  <w:pPr>
                    <w:widowControl/>
                    <w:adjustRightInd w:val="0"/>
                    <w:snapToGrid w:val="0"/>
                    <w:jc w:val="center"/>
                    <w:rPr>
                      <w:rFonts w:eastAsiaTheme="minorEastAsia"/>
                      <w:color w:val="auto"/>
                      <w:kern w:val="0"/>
                      <w:sz w:val="22"/>
                      <w:szCs w:val="22"/>
                      <w:highlight w:val="none"/>
                      <w:lang w:bidi="ar"/>
                    </w:rPr>
                  </w:pPr>
                  <w:r>
                    <w:rPr>
                      <w:rFonts w:eastAsiaTheme="minorEastAsia"/>
                      <w:color w:val="auto"/>
                      <w:kern w:val="0"/>
                      <w:sz w:val="22"/>
                      <w:szCs w:val="22"/>
                      <w:highlight w:val="none"/>
                      <w:lang w:bidi="ar"/>
                    </w:rPr>
                    <w:t>冲压液压机</w:t>
                  </w:r>
                </w:p>
              </w:tc>
              <w:tc>
                <w:tcPr>
                  <w:tcW w:w="2218" w:type="dxa"/>
                  <w:tcBorders>
                    <w:top w:val="single" w:color="auto" w:sz="4" w:space="0"/>
                    <w:bottom w:val="single" w:color="auto" w:sz="4" w:space="0"/>
                  </w:tcBorders>
                  <w:vAlign w:val="center"/>
                </w:tcPr>
                <w:p w14:paraId="51910320">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630T</w:t>
                  </w:r>
                </w:p>
              </w:tc>
              <w:tc>
                <w:tcPr>
                  <w:tcW w:w="732" w:type="dxa"/>
                  <w:tcBorders>
                    <w:top w:val="single" w:color="auto" w:sz="4" w:space="0"/>
                    <w:bottom w:val="single" w:color="auto" w:sz="4" w:space="0"/>
                  </w:tcBorders>
                  <w:vAlign w:val="center"/>
                </w:tcPr>
                <w:p w14:paraId="6A6761A6">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53A31B21">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2</w:t>
                  </w:r>
                </w:p>
              </w:tc>
              <w:tc>
                <w:tcPr>
                  <w:tcW w:w="1450" w:type="dxa"/>
                  <w:vMerge w:val="restart"/>
                  <w:tcBorders>
                    <w:top w:val="single" w:color="auto" w:sz="4" w:space="0"/>
                    <w:right w:val="single" w:color="auto" w:sz="4" w:space="0"/>
                  </w:tcBorders>
                  <w:vAlign w:val="center"/>
                </w:tcPr>
                <w:p w14:paraId="6FA2CB56">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冲压</w:t>
                  </w:r>
                  <w:r>
                    <w:rPr>
                      <w:rFonts w:hint="eastAsia" w:eastAsiaTheme="minorEastAsia"/>
                      <w:color w:val="auto"/>
                      <w:kern w:val="0"/>
                      <w:sz w:val="22"/>
                      <w:szCs w:val="22"/>
                      <w:highlight w:val="none"/>
                      <w:lang w:eastAsia="zh-CN"/>
                    </w:rPr>
                    <w:t>、液压</w:t>
                  </w:r>
                </w:p>
              </w:tc>
              <w:tc>
                <w:tcPr>
                  <w:tcW w:w="705" w:type="dxa"/>
                  <w:tcBorders>
                    <w:top w:val="single" w:color="auto" w:sz="4" w:space="0"/>
                    <w:bottom w:val="single" w:color="auto" w:sz="4" w:space="0"/>
                    <w:right w:val="single" w:color="auto" w:sz="4" w:space="0"/>
                  </w:tcBorders>
                  <w:vAlign w:val="center"/>
                </w:tcPr>
                <w:p w14:paraId="1C988036">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利旧</w:t>
                  </w:r>
                </w:p>
              </w:tc>
            </w:tr>
            <w:tr w14:paraId="407CE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01BC519B">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6ACCE1AE">
                  <w:pPr>
                    <w:widowControl/>
                    <w:adjustRightInd w:val="0"/>
                    <w:snapToGrid w:val="0"/>
                    <w:jc w:val="center"/>
                    <w:rPr>
                      <w:rFonts w:eastAsiaTheme="minorEastAsia"/>
                      <w:color w:val="auto"/>
                      <w:kern w:val="0"/>
                      <w:sz w:val="22"/>
                      <w:szCs w:val="22"/>
                      <w:highlight w:val="none"/>
                      <w:lang w:bidi="ar"/>
                    </w:rPr>
                  </w:pPr>
                  <w:r>
                    <w:rPr>
                      <w:rFonts w:eastAsiaTheme="minorEastAsia"/>
                      <w:color w:val="auto"/>
                      <w:kern w:val="0"/>
                      <w:sz w:val="22"/>
                      <w:szCs w:val="22"/>
                      <w:highlight w:val="none"/>
                      <w:lang w:bidi="ar"/>
                    </w:rPr>
                    <w:t>冲压液压机</w:t>
                  </w:r>
                </w:p>
              </w:tc>
              <w:tc>
                <w:tcPr>
                  <w:tcW w:w="2218" w:type="dxa"/>
                  <w:tcBorders>
                    <w:top w:val="single" w:color="auto" w:sz="4" w:space="0"/>
                    <w:bottom w:val="single" w:color="auto" w:sz="4" w:space="0"/>
                  </w:tcBorders>
                  <w:vAlign w:val="center"/>
                </w:tcPr>
                <w:p w14:paraId="6B229541">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800T</w:t>
                  </w:r>
                </w:p>
              </w:tc>
              <w:tc>
                <w:tcPr>
                  <w:tcW w:w="732" w:type="dxa"/>
                  <w:tcBorders>
                    <w:top w:val="single" w:color="auto" w:sz="4" w:space="0"/>
                    <w:bottom w:val="single" w:color="auto" w:sz="4" w:space="0"/>
                  </w:tcBorders>
                  <w:vAlign w:val="center"/>
                </w:tcPr>
                <w:p w14:paraId="304EDE02">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72A92C9E">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w:t>
                  </w:r>
                </w:p>
              </w:tc>
              <w:tc>
                <w:tcPr>
                  <w:tcW w:w="1450" w:type="dxa"/>
                  <w:vMerge w:val="continue"/>
                  <w:tcBorders>
                    <w:right w:val="single" w:color="auto" w:sz="4" w:space="0"/>
                  </w:tcBorders>
                  <w:vAlign w:val="center"/>
                </w:tcPr>
                <w:p w14:paraId="278C7A03">
                  <w:pPr>
                    <w:widowControl/>
                    <w:adjustRightInd w:val="0"/>
                    <w:snapToGrid w:val="0"/>
                    <w:jc w:val="center"/>
                    <w:rPr>
                      <w:rFonts w:eastAsiaTheme="minorEastAsia"/>
                      <w:color w:val="auto"/>
                      <w:kern w:val="0"/>
                      <w:sz w:val="22"/>
                      <w:szCs w:val="22"/>
                      <w:highlight w:val="none"/>
                    </w:rPr>
                  </w:pPr>
                </w:p>
              </w:tc>
              <w:tc>
                <w:tcPr>
                  <w:tcW w:w="705" w:type="dxa"/>
                  <w:tcBorders>
                    <w:top w:val="single" w:color="auto" w:sz="4" w:space="0"/>
                    <w:bottom w:val="single" w:color="auto" w:sz="4" w:space="0"/>
                    <w:right w:val="single" w:color="auto" w:sz="4" w:space="0"/>
                  </w:tcBorders>
                  <w:vAlign w:val="center"/>
                </w:tcPr>
                <w:p w14:paraId="69670116">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利旧</w:t>
                  </w:r>
                </w:p>
              </w:tc>
            </w:tr>
            <w:tr w14:paraId="5D9380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49B54DF1">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6D0B868F">
                  <w:pPr>
                    <w:widowControl/>
                    <w:adjustRightInd w:val="0"/>
                    <w:snapToGrid w:val="0"/>
                    <w:jc w:val="center"/>
                    <w:rPr>
                      <w:rFonts w:eastAsiaTheme="minorEastAsia"/>
                      <w:color w:val="auto"/>
                      <w:kern w:val="0"/>
                      <w:sz w:val="22"/>
                      <w:szCs w:val="22"/>
                      <w:highlight w:val="none"/>
                      <w:lang w:bidi="ar"/>
                    </w:rPr>
                  </w:pPr>
                  <w:r>
                    <w:rPr>
                      <w:rFonts w:eastAsiaTheme="minorEastAsia"/>
                      <w:color w:val="auto"/>
                      <w:kern w:val="0"/>
                      <w:sz w:val="22"/>
                      <w:szCs w:val="22"/>
                      <w:highlight w:val="none"/>
                      <w:lang w:bidi="ar"/>
                    </w:rPr>
                    <w:t>冲压液压机</w:t>
                  </w:r>
                </w:p>
              </w:tc>
              <w:tc>
                <w:tcPr>
                  <w:tcW w:w="2218" w:type="dxa"/>
                  <w:tcBorders>
                    <w:top w:val="single" w:color="auto" w:sz="4" w:space="0"/>
                    <w:bottom w:val="single" w:color="auto" w:sz="4" w:space="0"/>
                  </w:tcBorders>
                  <w:vAlign w:val="center"/>
                </w:tcPr>
                <w:p w14:paraId="5B399E25">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1250T</w:t>
                  </w:r>
                </w:p>
              </w:tc>
              <w:tc>
                <w:tcPr>
                  <w:tcW w:w="732" w:type="dxa"/>
                  <w:tcBorders>
                    <w:top w:val="single" w:color="auto" w:sz="4" w:space="0"/>
                    <w:bottom w:val="single" w:color="auto" w:sz="4" w:space="0"/>
                  </w:tcBorders>
                  <w:vAlign w:val="center"/>
                </w:tcPr>
                <w:p w14:paraId="6AB4706D">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5EB89394">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w:t>
                  </w:r>
                </w:p>
              </w:tc>
              <w:tc>
                <w:tcPr>
                  <w:tcW w:w="1450" w:type="dxa"/>
                  <w:vMerge w:val="continue"/>
                  <w:tcBorders>
                    <w:bottom w:val="single" w:color="auto" w:sz="4" w:space="0"/>
                    <w:right w:val="single" w:color="auto" w:sz="4" w:space="0"/>
                  </w:tcBorders>
                  <w:vAlign w:val="center"/>
                </w:tcPr>
                <w:p w14:paraId="1ACF9099">
                  <w:pPr>
                    <w:widowControl/>
                    <w:adjustRightInd w:val="0"/>
                    <w:snapToGrid w:val="0"/>
                    <w:jc w:val="center"/>
                    <w:rPr>
                      <w:rFonts w:eastAsiaTheme="minorEastAsia"/>
                      <w:color w:val="auto"/>
                      <w:kern w:val="0"/>
                      <w:sz w:val="22"/>
                      <w:szCs w:val="22"/>
                      <w:highlight w:val="none"/>
                    </w:rPr>
                  </w:pPr>
                </w:p>
              </w:tc>
              <w:tc>
                <w:tcPr>
                  <w:tcW w:w="705" w:type="dxa"/>
                  <w:tcBorders>
                    <w:top w:val="single" w:color="auto" w:sz="4" w:space="0"/>
                    <w:bottom w:val="single" w:color="auto" w:sz="4" w:space="0"/>
                    <w:right w:val="single" w:color="auto" w:sz="4" w:space="0"/>
                  </w:tcBorders>
                  <w:vAlign w:val="center"/>
                </w:tcPr>
                <w:p w14:paraId="0ECB94E0">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利旧</w:t>
                  </w:r>
                </w:p>
              </w:tc>
            </w:tr>
            <w:tr w14:paraId="1A934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1121A573">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3217B1E6">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冲压液压机</w:t>
                  </w:r>
                </w:p>
              </w:tc>
              <w:tc>
                <w:tcPr>
                  <w:tcW w:w="2218" w:type="dxa"/>
                  <w:tcBorders>
                    <w:top w:val="single" w:color="auto" w:sz="4" w:space="0"/>
                    <w:bottom w:val="single" w:color="auto" w:sz="4" w:space="0"/>
                  </w:tcBorders>
                  <w:vAlign w:val="center"/>
                </w:tcPr>
                <w:p w14:paraId="0E5E7D65">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2400T</w:t>
                  </w:r>
                </w:p>
              </w:tc>
              <w:tc>
                <w:tcPr>
                  <w:tcW w:w="732" w:type="dxa"/>
                  <w:tcBorders>
                    <w:top w:val="single" w:color="auto" w:sz="4" w:space="0"/>
                    <w:bottom w:val="single" w:color="auto" w:sz="4" w:space="0"/>
                  </w:tcBorders>
                  <w:vAlign w:val="center"/>
                </w:tcPr>
                <w:p w14:paraId="6B1FA646">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6D4369A3">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w:t>
                  </w:r>
                </w:p>
              </w:tc>
              <w:tc>
                <w:tcPr>
                  <w:tcW w:w="1450" w:type="dxa"/>
                  <w:vMerge w:val="restart"/>
                  <w:tcBorders>
                    <w:top w:val="single" w:color="auto" w:sz="4" w:space="0"/>
                    <w:right w:val="single" w:color="auto" w:sz="4" w:space="0"/>
                  </w:tcBorders>
                  <w:vAlign w:val="center"/>
                </w:tcPr>
                <w:p w14:paraId="10FF2FCA">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迪斯油压自动化生产线</w:t>
                  </w:r>
                </w:p>
              </w:tc>
              <w:tc>
                <w:tcPr>
                  <w:tcW w:w="705" w:type="dxa"/>
                  <w:tcBorders>
                    <w:top w:val="single" w:color="auto" w:sz="4" w:space="0"/>
                    <w:bottom w:val="single" w:color="auto" w:sz="4" w:space="0"/>
                    <w:right w:val="single" w:color="auto" w:sz="4" w:space="0"/>
                  </w:tcBorders>
                  <w:vAlign w:val="center"/>
                </w:tcPr>
                <w:p w14:paraId="75B8F0A7">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改造</w:t>
                  </w:r>
                </w:p>
              </w:tc>
            </w:tr>
            <w:tr w14:paraId="4F7A4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4BAC0FA1">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27E490DC">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冲压液压机</w:t>
                  </w:r>
                </w:p>
              </w:tc>
              <w:tc>
                <w:tcPr>
                  <w:tcW w:w="2218" w:type="dxa"/>
                  <w:tcBorders>
                    <w:top w:val="single" w:color="auto" w:sz="4" w:space="0"/>
                    <w:bottom w:val="single" w:color="auto" w:sz="4" w:space="0"/>
                  </w:tcBorders>
                  <w:vAlign w:val="center"/>
                </w:tcPr>
                <w:p w14:paraId="170A7B45">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1250T</w:t>
                  </w:r>
                </w:p>
              </w:tc>
              <w:tc>
                <w:tcPr>
                  <w:tcW w:w="732" w:type="dxa"/>
                  <w:tcBorders>
                    <w:top w:val="single" w:color="auto" w:sz="4" w:space="0"/>
                    <w:bottom w:val="single" w:color="auto" w:sz="4" w:space="0"/>
                  </w:tcBorders>
                  <w:vAlign w:val="center"/>
                </w:tcPr>
                <w:p w14:paraId="41C32115">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65D0B622">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w:t>
                  </w:r>
                </w:p>
              </w:tc>
              <w:tc>
                <w:tcPr>
                  <w:tcW w:w="1450" w:type="dxa"/>
                  <w:vMerge w:val="continue"/>
                  <w:tcBorders>
                    <w:right w:val="single" w:color="auto" w:sz="4" w:space="0"/>
                  </w:tcBorders>
                  <w:vAlign w:val="center"/>
                </w:tcPr>
                <w:p w14:paraId="1860CD93">
                  <w:pPr>
                    <w:widowControl/>
                    <w:adjustRightInd w:val="0"/>
                    <w:snapToGrid w:val="0"/>
                    <w:jc w:val="center"/>
                    <w:rPr>
                      <w:rFonts w:eastAsiaTheme="minorEastAsia"/>
                      <w:color w:val="auto"/>
                      <w:kern w:val="0"/>
                      <w:sz w:val="22"/>
                      <w:szCs w:val="22"/>
                      <w:highlight w:val="none"/>
                    </w:rPr>
                  </w:pPr>
                </w:p>
              </w:tc>
              <w:tc>
                <w:tcPr>
                  <w:tcW w:w="705" w:type="dxa"/>
                  <w:tcBorders>
                    <w:top w:val="single" w:color="auto" w:sz="4" w:space="0"/>
                    <w:bottom w:val="single" w:color="auto" w:sz="4" w:space="0"/>
                    <w:right w:val="single" w:color="auto" w:sz="4" w:space="0"/>
                  </w:tcBorders>
                  <w:vAlign w:val="center"/>
                </w:tcPr>
                <w:p w14:paraId="57C32F05">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改造</w:t>
                  </w:r>
                </w:p>
              </w:tc>
            </w:tr>
            <w:tr w14:paraId="45B97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609CBF1F">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52C48DD8">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冲压液压机</w:t>
                  </w:r>
                </w:p>
              </w:tc>
              <w:tc>
                <w:tcPr>
                  <w:tcW w:w="2218" w:type="dxa"/>
                  <w:tcBorders>
                    <w:top w:val="single" w:color="auto" w:sz="4" w:space="0"/>
                    <w:bottom w:val="single" w:color="auto" w:sz="4" w:space="0"/>
                  </w:tcBorders>
                  <w:vAlign w:val="center"/>
                </w:tcPr>
                <w:p w14:paraId="514D2C3A">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800T</w:t>
                  </w:r>
                </w:p>
              </w:tc>
              <w:tc>
                <w:tcPr>
                  <w:tcW w:w="732" w:type="dxa"/>
                  <w:tcBorders>
                    <w:top w:val="single" w:color="auto" w:sz="4" w:space="0"/>
                    <w:bottom w:val="single" w:color="auto" w:sz="4" w:space="0"/>
                  </w:tcBorders>
                  <w:vAlign w:val="center"/>
                </w:tcPr>
                <w:p w14:paraId="3B7A0D13">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1918567F">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2</w:t>
                  </w:r>
                </w:p>
              </w:tc>
              <w:tc>
                <w:tcPr>
                  <w:tcW w:w="1450" w:type="dxa"/>
                  <w:vMerge w:val="continue"/>
                  <w:tcBorders>
                    <w:bottom w:val="single" w:color="auto" w:sz="4" w:space="0"/>
                    <w:right w:val="single" w:color="auto" w:sz="4" w:space="0"/>
                  </w:tcBorders>
                  <w:shd w:val="clear" w:color="auto" w:fill="auto"/>
                  <w:vAlign w:val="center"/>
                </w:tcPr>
                <w:p w14:paraId="34B3F614">
                  <w:pPr>
                    <w:widowControl/>
                    <w:adjustRightInd w:val="0"/>
                    <w:snapToGrid w:val="0"/>
                    <w:jc w:val="center"/>
                    <w:rPr>
                      <w:rFonts w:eastAsiaTheme="minorEastAsia"/>
                      <w:color w:val="auto"/>
                      <w:kern w:val="0"/>
                      <w:sz w:val="22"/>
                      <w:szCs w:val="22"/>
                      <w:highlight w:val="none"/>
                    </w:rPr>
                  </w:pPr>
                </w:p>
              </w:tc>
              <w:tc>
                <w:tcPr>
                  <w:tcW w:w="705" w:type="dxa"/>
                  <w:tcBorders>
                    <w:top w:val="single" w:color="auto" w:sz="4" w:space="0"/>
                    <w:bottom w:val="single" w:color="auto" w:sz="4" w:space="0"/>
                    <w:right w:val="single" w:color="auto" w:sz="4" w:space="0"/>
                  </w:tcBorders>
                  <w:shd w:val="clear" w:color="auto" w:fill="auto"/>
                  <w:vAlign w:val="center"/>
                </w:tcPr>
                <w:p w14:paraId="41C55C4D">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改造</w:t>
                  </w:r>
                </w:p>
              </w:tc>
            </w:tr>
            <w:tr w14:paraId="461A3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4C865CB6">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29F303FD">
                  <w:pPr>
                    <w:adjustRightInd w:val="0"/>
                    <w:snapToGrid w:val="0"/>
                    <w:jc w:val="center"/>
                    <w:rPr>
                      <w:rFonts w:eastAsiaTheme="minorEastAsia"/>
                      <w:color w:val="auto"/>
                      <w:kern w:val="0"/>
                      <w:sz w:val="22"/>
                      <w:szCs w:val="22"/>
                      <w:highlight w:val="none"/>
                    </w:rPr>
                  </w:pPr>
                  <w:r>
                    <w:rPr>
                      <w:rFonts w:eastAsiaTheme="minorEastAsia"/>
                      <w:color w:val="auto"/>
                      <w:sz w:val="22"/>
                      <w:szCs w:val="22"/>
                      <w:highlight w:val="none"/>
                    </w:rPr>
                    <w:t>KUKA机器人（点焊）</w:t>
                  </w:r>
                </w:p>
              </w:tc>
              <w:tc>
                <w:tcPr>
                  <w:tcW w:w="2218" w:type="dxa"/>
                  <w:tcBorders>
                    <w:top w:val="single" w:color="auto" w:sz="4" w:space="0"/>
                    <w:bottom w:val="single" w:color="auto" w:sz="4" w:space="0"/>
                  </w:tcBorders>
                  <w:vAlign w:val="center"/>
                </w:tcPr>
                <w:p w14:paraId="0CCF3AFD">
                  <w:pPr>
                    <w:widowControl/>
                    <w:adjustRightInd w:val="0"/>
                    <w:snapToGrid w:val="0"/>
                    <w:jc w:val="center"/>
                    <w:textAlignment w:val="center"/>
                    <w:rPr>
                      <w:rFonts w:eastAsiaTheme="minorEastAsia"/>
                      <w:color w:val="auto"/>
                      <w:kern w:val="0"/>
                      <w:sz w:val="22"/>
                      <w:szCs w:val="22"/>
                      <w:highlight w:val="none"/>
                    </w:rPr>
                  </w:pPr>
                  <w:r>
                    <w:rPr>
                      <w:rFonts w:eastAsiaTheme="minorEastAsia"/>
                      <w:color w:val="auto"/>
                      <w:kern w:val="0"/>
                      <w:sz w:val="22"/>
                      <w:szCs w:val="22"/>
                      <w:highlight w:val="none"/>
                      <w:lang w:bidi="ar"/>
                    </w:rPr>
                    <w:t>KR 120 R3100 ultra</w:t>
                  </w:r>
                </w:p>
              </w:tc>
              <w:tc>
                <w:tcPr>
                  <w:tcW w:w="732" w:type="dxa"/>
                  <w:tcBorders>
                    <w:top w:val="single" w:color="auto" w:sz="4" w:space="0"/>
                    <w:bottom w:val="single" w:color="auto" w:sz="4" w:space="0"/>
                  </w:tcBorders>
                  <w:vAlign w:val="center"/>
                </w:tcPr>
                <w:p w14:paraId="35139C4C">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0DA63C36">
                  <w:pPr>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2</w:t>
                  </w:r>
                </w:p>
              </w:tc>
              <w:tc>
                <w:tcPr>
                  <w:tcW w:w="1450" w:type="dxa"/>
                  <w:vMerge w:val="restart"/>
                  <w:tcBorders>
                    <w:top w:val="single" w:color="auto" w:sz="4" w:space="0"/>
                    <w:right w:val="single" w:color="auto" w:sz="4" w:space="0"/>
                  </w:tcBorders>
                  <w:vAlign w:val="center"/>
                </w:tcPr>
                <w:p w14:paraId="3D957114">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焊接</w:t>
                  </w:r>
                </w:p>
              </w:tc>
              <w:tc>
                <w:tcPr>
                  <w:tcW w:w="705" w:type="dxa"/>
                  <w:tcBorders>
                    <w:top w:val="single" w:color="auto" w:sz="4" w:space="0"/>
                    <w:bottom w:val="single" w:color="auto" w:sz="4" w:space="0"/>
                    <w:right w:val="single" w:color="auto" w:sz="4" w:space="0"/>
                  </w:tcBorders>
                  <w:vAlign w:val="center"/>
                </w:tcPr>
                <w:p w14:paraId="1356B7BE">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新增</w:t>
                  </w:r>
                </w:p>
              </w:tc>
            </w:tr>
            <w:tr w14:paraId="1339D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020A1A61">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7B13B186">
                  <w:pPr>
                    <w:adjustRightInd w:val="0"/>
                    <w:snapToGrid w:val="0"/>
                    <w:jc w:val="center"/>
                    <w:rPr>
                      <w:rFonts w:eastAsiaTheme="minorEastAsia"/>
                      <w:color w:val="auto"/>
                      <w:kern w:val="0"/>
                      <w:sz w:val="22"/>
                      <w:szCs w:val="22"/>
                      <w:highlight w:val="none"/>
                    </w:rPr>
                  </w:pPr>
                  <w:r>
                    <w:rPr>
                      <w:rFonts w:eastAsiaTheme="minorEastAsia"/>
                      <w:color w:val="auto"/>
                      <w:sz w:val="22"/>
                      <w:szCs w:val="22"/>
                      <w:highlight w:val="none"/>
                    </w:rPr>
                    <w:t>KUKA机器人（点焊）</w:t>
                  </w:r>
                </w:p>
              </w:tc>
              <w:tc>
                <w:tcPr>
                  <w:tcW w:w="2218" w:type="dxa"/>
                  <w:tcBorders>
                    <w:top w:val="single" w:color="auto" w:sz="4" w:space="0"/>
                    <w:bottom w:val="single" w:color="auto" w:sz="4" w:space="0"/>
                  </w:tcBorders>
                  <w:vAlign w:val="center"/>
                </w:tcPr>
                <w:p w14:paraId="1F14C111">
                  <w:pPr>
                    <w:widowControl/>
                    <w:adjustRightInd w:val="0"/>
                    <w:snapToGrid w:val="0"/>
                    <w:jc w:val="center"/>
                    <w:textAlignment w:val="center"/>
                    <w:rPr>
                      <w:rFonts w:eastAsiaTheme="minorEastAsia"/>
                      <w:color w:val="auto"/>
                      <w:kern w:val="0"/>
                      <w:sz w:val="22"/>
                      <w:szCs w:val="22"/>
                      <w:highlight w:val="none"/>
                    </w:rPr>
                  </w:pPr>
                  <w:r>
                    <w:rPr>
                      <w:rFonts w:eastAsiaTheme="minorEastAsia"/>
                      <w:color w:val="auto"/>
                      <w:kern w:val="0"/>
                      <w:sz w:val="22"/>
                      <w:szCs w:val="22"/>
                      <w:highlight w:val="none"/>
                      <w:lang w:bidi="ar"/>
                    </w:rPr>
                    <w:t>KR 120 R2700 prime</w:t>
                  </w:r>
                </w:p>
              </w:tc>
              <w:tc>
                <w:tcPr>
                  <w:tcW w:w="732" w:type="dxa"/>
                  <w:tcBorders>
                    <w:top w:val="single" w:color="auto" w:sz="4" w:space="0"/>
                    <w:bottom w:val="single" w:color="auto" w:sz="4" w:space="0"/>
                  </w:tcBorders>
                  <w:vAlign w:val="center"/>
                </w:tcPr>
                <w:p w14:paraId="6DB53500">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682D2505">
                  <w:pPr>
                    <w:adjustRightInd w:val="0"/>
                    <w:snapToGrid w:val="0"/>
                    <w:jc w:val="center"/>
                    <w:rPr>
                      <w:rFonts w:eastAsiaTheme="minorEastAsia"/>
                      <w:color w:val="auto"/>
                      <w:kern w:val="0"/>
                      <w:sz w:val="22"/>
                      <w:szCs w:val="22"/>
                      <w:highlight w:val="none"/>
                    </w:rPr>
                  </w:pPr>
                  <w:r>
                    <w:rPr>
                      <w:rFonts w:eastAsiaTheme="minorEastAsia"/>
                      <w:color w:val="auto"/>
                      <w:sz w:val="22"/>
                      <w:szCs w:val="22"/>
                      <w:highlight w:val="none"/>
                    </w:rPr>
                    <w:t>3</w:t>
                  </w:r>
                </w:p>
              </w:tc>
              <w:tc>
                <w:tcPr>
                  <w:tcW w:w="1450" w:type="dxa"/>
                  <w:vMerge w:val="continue"/>
                  <w:tcBorders>
                    <w:right w:val="single" w:color="auto" w:sz="4" w:space="0"/>
                  </w:tcBorders>
                  <w:vAlign w:val="center"/>
                </w:tcPr>
                <w:p w14:paraId="0C9ACDFF">
                  <w:pPr>
                    <w:widowControl/>
                    <w:adjustRightInd w:val="0"/>
                    <w:snapToGrid w:val="0"/>
                    <w:jc w:val="center"/>
                    <w:rPr>
                      <w:rFonts w:eastAsiaTheme="minorEastAsia"/>
                      <w:color w:val="auto"/>
                      <w:kern w:val="0"/>
                      <w:sz w:val="22"/>
                      <w:szCs w:val="22"/>
                      <w:highlight w:val="none"/>
                    </w:rPr>
                  </w:pPr>
                </w:p>
              </w:tc>
              <w:tc>
                <w:tcPr>
                  <w:tcW w:w="705" w:type="dxa"/>
                  <w:tcBorders>
                    <w:top w:val="single" w:color="auto" w:sz="4" w:space="0"/>
                    <w:bottom w:val="single" w:color="auto" w:sz="4" w:space="0"/>
                    <w:right w:val="single" w:color="auto" w:sz="4" w:space="0"/>
                  </w:tcBorders>
                  <w:vAlign w:val="center"/>
                </w:tcPr>
                <w:p w14:paraId="56FF1FDE">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新增</w:t>
                  </w:r>
                </w:p>
              </w:tc>
            </w:tr>
            <w:tr w14:paraId="6360D5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34A41493">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5B572B8B">
                  <w:pPr>
                    <w:adjustRightInd w:val="0"/>
                    <w:snapToGrid w:val="0"/>
                    <w:jc w:val="center"/>
                    <w:rPr>
                      <w:rFonts w:eastAsiaTheme="minorEastAsia"/>
                      <w:color w:val="auto"/>
                      <w:kern w:val="0"/>
                      <w:sz w:val="22"/>
                      <w:szCs w:val="22"/>
                      <w:highlight w:val="none"/>
                    </w:rPr>
                  </w:pPr>
                  <w:r>
                    <w:rPr>
                      <w:rFonts w:eastAsiaTheme="minorEastAsia"/>
                      <w:color w:val="auto"/>
                      <w:sz w:val="22"/>
                      <w:szCs w:val="22"/>
                      <w:highlight w:val="none"/>
                    </w:rPr>
                    <w:t>KUKA机器人（点焊）</w:t>
                  </w:r>
                </w:p>
              </w:tc>
              <w:tc>
                <w:tcPr>
                  <w:tcW w:w="2218" w:type="dxa"/>
                  <w:tcBorders>
                    <w:top w:val="single" w:color="auto" w:sz="4" w:space="0"/>
                    <w:bottom w:val="single" w:color="auto" w:sz="4" w:space="0"/>
                  </w:tcBorders>
                  <w:vAlign w:val="center"/>
                </w:tcPr>
                <w:p w14:paraId="157B6AC7">
                  <w:pPr>
                    <w:widowControl/>
                    <w:adjustRightInd w:val="0"/>
                    <w:snapToGrid w:val="0"/>
                    <w:jc w:val="center"/>
                    <w:textAlignment w:val="center"/>
                    <w:rPr>
                      <w:rFonts w:eastAsiaTheme="minorEastAsia"/>
                      <w:color w:val="auto"/>
                      <w:kern w:val="0"/>
                      <w:sz w:val="22"/>
                      <w:szCs w:val="22"/>
                      <w:highlight w:val="none"/>
                    </w:rPr>
                  </w:pPr>
                  <w:r>
                    <w:rPr>
                      <w:rFonts w:eastAsiaTheme="minorEastAsia"/>
                      <w:color w:val="auto"/>
                      <w:kern w:val="0"/>
                      <w:sz w:val="22"/>
                      <w:szCs w:val="22"/>
                      <w:highlight w:val="none"/>
                      <w:lang w:bidi="ar"/>
                    </w:rPr>
                    <w:t>KR 120 R2700 prime</w:t>
                  </w:r>
                </w:p>
              </w:tc>
              <w:tc>
                <w:tcPr>
                  <w:tcW w:w="732" w:type="dxa"/>
                  <w:tcBorders>
                    <w:top w:val="single" w:color="auto" w:sz="4" w:space="0"/>
                    <w:bottom w:val="single" w:color="auto" w:sz="4" w:space="0"/>
                  </w:tcBorders>
                  <w:vAlign w:val="center"/>
                </w:tcPr>
                <w:p w14:paraId="42888595">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45F32609">
                  <w:pPr>
                    <w:adjustRightInd w:val="0"/>
                    <w:snapToGrid w:val="0"/>
                    <w:jc w:val="center"/>
                    <w:rPr>
                      <w:rFonts w:eastAsiaTheme="minorEastAsia"/>
                      <w:color w:val="auto"/>
                      <w:kern w:val="0"/>
                      <w:sz w:val="22"/>
                      <w:szCs w:val="22"/>
                      <w:highlight w:val="none"/>
                    </w:rPr>
                  </w:pPr>
                  <w:r>
                    <w:rPr>
                      <w:rFonts w:eastAsiaTheme="minorEastAsia"/>
                      <w:color w:val="auto"/>
                      <w:sz w:val="22"/>
                      <w:szCs w:val="22"/>
                      <w:highlight w:val="none"/>
                    </w:rPr>
                    <w:t>1</w:t>
                  </w:r>
                </w:p>
              </w:tc>
              <w:tc>
                <w:tcPr>
                  <w:tcW w:w="1450" w:type="dxa"/>
                  <w:vMerge w:val="continue"/>
                  <w:tcBorders>
                    <w:right w:val="single" w:color="auto" w:sz="4" w:space="0"/>
                  </w:tcBorders>
                  <w:vAlign w:val="center"/>
                </w:tcPr>
                <w:p w14:paraId="0123A8D4">
                  <w:pPr>
                    <w:widowControl/>
                    <w:adjustRightInd w:val="0"/>
                    <w:snapToGrid w:val="0"/>
                    <w:jc w:val="center"/>
                    <w:rPr>
                      <w:rFonts w:eastAsiaTheme="minorEastAsia"/>
                      <w:color w:val="auto"/>
                      <w:kern w:val="0"/>
                      <w:sz w:val="22"/>
                      <w:szCs w:val="22"/>
                      <w:highlight w:val="none"/>
                    </w:rPr>
                  </w:pPr>
                </w:p>
              </w:tc>
              <w:tc>
                <w:tcPr>
                  <w:tcW w:w="705" w:type="dxa"/>
                  <w:tcBorders>
                    <w:top w:val="single" w:color="auto" w:sz="4" w:space="0"/>
                    <w:bottom w:val="single" w:color="auto" w:sz="4" w:space="0"/>
                    <w:right w:val="single" w:color="auto" w:sz="4" w:space="0"/>
                  </w:tcBorders>
                  <w:vAlign w:val="center"/>
                </w:tcPr>
                <w:p w14:paraId="66D6738A">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新增</w:t>
                  </w:r>
                </w:p>
              </w:tc>
            </w:tr>
            <w:tr w14:paraId="51B75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35E1F0E5">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063C261C">
                  <w:pPr>
                    <w:adjustRightInd w:val="0"/>
                    <w:snapToGrid w:val="0"/>
                    <w:jc w:val="center"/>
                    <w:rPr>
                      <w:rFonts w:eastAsiaTheme="minorEastAsia"/>
                      <w:color w:val="auto"/>
                      <w:kern w:val="0"/>
                      <w:sz w:val="22"/>
                      <w:szCs w:val="22"/>
                      <w:highlight w:val="none"/>
                    </w:rPr>
                  </w:pPr>
                  <w:r>
                    <w:rPr>
                      <w:rFonts w:eastAsiaTheme="minorEastAsia"/>
                      <w:color w:val="auto"/>
                      <w:sz w:val="22"/>
                      <w:szCs w:val="22"/>
                      <w:highlight w:val="none"/>
                    </w:rPr>
                    <w:t>OTC机器人（弧焊）</w:t>
                  </w:r>
                </w:p>
              </w:tc>
              <w:tc>
                <w:tcPr>
                  <w:tcW w:w="2218" w:type="dxa"/>
                  <w:tcBorders>
                    <w:top w:val="single" w:color="auto" w:sz="4" w:space="0"/>
                    <w:bottom w:val="single" w:color="auto" w:sz="4" w:space="0"/>
                  </w:tcBorders>
                  <w:vAlign w:val="center"/>
                </w:tcPr>
                <w:p w14:paraId="78BA07C5">
                  <w:pPr>
                    <w:widowControl/>
                    <w:adjustRightInd w:val="0"/>
                    <w:snapToGrid w:val="0"/>
                    <w:jc w:val="center"/>
                    <w:textAlignment w:val="center"/>
                    <w:rPr>
                      <w:rFonts w:eastAsiaTheme="minorEastAsia"/>
                      <w:color w:val="auto"/>
                      <w:kern w:val="0"/>
                      <w:sz w:val="22"/>
                      <w:szCs w:val="22"/>
                      <w:highlight w:val="none"/>
                    </w:rPr>
                  </w:pPr>
                  <w:r>
                    <w:rPr>
                      <w:rFonts w:eastAsiaTheme="minorEastAsia"/>
                      <w:color w:val="auto"/>
                      <w:kern w:val="0"/>
                      <w:sz w:val="22"/>
                      <w:szCs w:val="22"/>
                      <w:highlight w:val="none"/>
                      <w:lang w:bidi="ar"/>
                    </w:rPr>
                    <w:t>FD-B6 NB61-CCFN</w:t>
                  </w:r>
                </w:p>
              </w:tc>
              <w:tc>
                <w:tcPr>
                  <w:tcW w:w="732" w:type="dxa"/>
                  <w:tcBorders>
                    <w:top w:val="single" w:color="auto" w:sz="4" w:space="0"/>
                    <w:bottom w:val="single" w:color="auto" w:sz="4" w:space="0"/>
                  </w:tcBorders>
                  <w:vAlign w:val="center"/>
                </w:tcPr>
                <w:p w14:paraId="3EC5BC30">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0DC6FA26">
                  <w:pPr>
                    <w:adjustRightInd w:val="0"/>
                    <w:snapToGrid w:val="0"/>
                    <w:jc w:val="center"/>
                    <w:rPr>
                      <w:rFonts w:eastAsiaTheme="minorEastAsia"/>
                      <w:color w:val="auto"/>
                      <w:kern w:val="0"/>
                      <w:sz w:val="22"/>
                      <w:szCs w:val="22"/>
                      <w:highlight w:val="none"/>
                    </w:rPr>
                  </w:pPr>
                  <w:r>
                    <w:rPr>
                      <w:rFonts w:eastAsiaTheme="minorEastAsia"/>
                      <w:color w:val="auto"/>
                      <w:sz w:val="22"/>
                      <w:szCs w:val="22"/>
                      <w:highlight w:val="none"/>
                    </w:rPr>
                    <w:t>2</w:t>
                  </w:r>
                </w:p>
              </w:tc>
              <w:tc>
                <w:tcPr>
                  <w:tcW w:w="1450" w:type="dxa"/>
                  <w:vMerge w:val="continue"/>
                  <w:tcBorders>
                    <w:right w:val="single" w:color="auto" w:sz="4" w:space="0"/>
                  </w:tcBorders>
                  <w:vAlign w:val="center"/>
                </w:tcPr>
                <w:p w14:paraId="51006B15">
                  <w:pPr>
                    <w:widowControl/>
                    <w:adjustRightInd w:val="0"/>
                    <w:snapToGrid w:val="0"/>
                    <w:jc w:val="center"/>
                    <w:rPr>
                      <w:rFonts w:eastAsiaTheme="minorEastAsia"/>
                      <w:color w:val="auto"/>
                      <w:kern w:val="0"/>
                      <w:sz w:val="22"/>
                      <w:szCs w:val="22"/>
                      <w:highlight w:val="none"/>
                    </w:rPr>
                  </w:pPr>
                </w:p>
              </w:tc>
              <w:tc>
                <w:tcPr>
                  <w:tcW w:w="705" w:type="dxa"/>
                  <w:tcBorders>
                    <w:top w:val="single" w:color="auto" w:sz="4" w:space="0"/>
                    <w:bottom w:val="single" w:color="auto" w:sz="4" w:space="0"/>
                    <w:right w:val="single" w:color="auto" w:sz="4" w:space="0"/>
                  </w:tcBorders>
                  <w:vAlign w:val="center"/>
                </w:tcPr>
                <w:p w14:paraId="5DDA4F25">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新增</w:t>
                  </w:r>
                </w:p>
              </w:tc>
            </w:tr>
            <w:tr w14:paraId="0328A0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0343764C">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398729E2">
                  <w:pPr>
                    <w:adjustRightInd w:val="0"/>
                    <w:snapToGrid w:val="0"/>
                    <w:jc w:val="center"/>
                    <w:rPr>
                      <w:rFonts w:eastAsiaTheme="minorEastAsia"/>
                      <w:color w:val="auto"/>
                      <w:kern w:val="0"/>
                      <w:sz w:val="22"/>
                      <w:szCs w:val="22"/>
                      <w:highlight w:val="none"/>
                    </w:rPr>
                  </w:pPr>
                  <w:r>
                    <w:rPr>
                      <w:rFonts w:eastAsiaTheme="minorEastAsia"/>
                      <w:color w:val="auto"/>
                      <w:sz w:val="22"/>
                      <w:szCs w:val="22"/>
                      <w:highlight w:val="none"/>
                    </w:rPr>
                    <w:t>OTC机器人（弧焊）</w:t>
                  </w:r>
                </w:p>
              </w:tc>
              <w:tc>
                <w:tcPr>
                  <w:tcW w:w="2218" w:type="dxa"/>
                  <w:tcBorders>
                    <w:top w:val="single" w:color="auto" w:sz="4" w:space="0"/>
                    <w:bottom w:val="single" w:color="auto" w:sz="4" w:space="0"/>
                  </w:tcBorders>
                  <w:vAlign w:val="center"/>
                </w:tcPr>
                <w:p w14:paraId="07EEAB17">
                  <w:pPr>
                    <w:widowControl/>
                    <w:adjustRightInd w:val="0"/>
                    <w:snapToGrid w:val="0"/>
                    <w:jc w:val="center"/>
                    <w:textAlignment w:val="center"/>
                    <w:rPr>
                      <w:rFonts w:eastAsiaTheme="minorEastAsia"/>
                      <w:color w:val="auto"/>
                      <w:kern w:val="0"/>
                      <w:sz w:val="22"/>
                      <w:szCs w:val="22"/>
                      <w:highlight w:val="none"/>
                    </w:rPr>
                  </w:pPr>
                  <w:r>
                    <w:rPr>
                      <w:rFonts w:eastAsiaTheme="minorEastAsia"/>
                      <w:color w:val="auto"/>
                      <w:kern w:val="0"/>
                      <w:sz w:val="22"/>
                      <w:szCs w:val="22"/>
                      <w:highlight w:val="none"/>
                      <w:lang w:bidi="ar"/>
                    </w:rPr>
                    <w:t>FD-B4</w:t>
                  </w:r>
                </w:p>
              </w:tc>
              <w:tc>
                <w:tcPr>
                  <w:tcW w:w="732" w:type="dxa"/>
                  <w:tcBorders>
                    <w:top w:val="single" w:color="auto" w:sz="4" w:space="0"/>
                    <w:bottom w:val="single" w:color="auto" w:sz="4" w:space="0"/>
                  </w:tcBorders>
                  <w:vAlign w:val="center"/>
                </w:tcPr>
                <w:p w14:paraId="597E10D5">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2DF0D984">
                  <w:pPr>
                    <w:adjustRightInd w:val="0"/>
                    <w:snapToGrid w:val="0"/>
                    <w:jc w:val="center"/>
                    <w:rPr>
                      <w:rFonts w:eastAsiaTheme="minorEastAsia"/>
                      <w:color w:val="auto"/>
                      <w:kern w:val="0"/>
                      <w:sz w:val="22"/>
                      <w:szCs w:val="22"/>
                      <w:highlight w:val="none"/>
                    </w:rPr>
                  </w:pPr>
                  <w:r>
                    <w:rPr>
                      <w:rFonts w:eastAsiaTheme="minorEastAsia"/>
                      <w:color w:val="auto"/>
                      <w:sz w:val="22"/>
                      <w:szCs w:val="22"/>
                      <w:highlight w:val="none"/>
                    </w:rPr>
                    <w:t>1</w:t>
                  </w:r>
                </w:p>
              </w:tc>
              <w:tc>
                <w:tcPr>
                  <w:tcW w:w="1450" w:type="dxa"/>
                  <w:vMerge w:val="continue"/>
                  <w:tcBorders>
                    <w:bottom w:val="single" w:color="auto" w:sz="4" w:space="0"/>
                    <w:right w:val="single" w:color="auto" w:sz="4" w:space="0"/>
                  </w:tcBorders>
                  <w:vAlign w:val="center"/>
                </w:tcPr>
                <w:p w14:paraId="71425940">
                  <w:pPr>
                    <w:widowControl/>
                    <w:adjustRightInd w:val="0"/>
                    <w:snapToGrid w:val="0"/>
                    <w:jc w:val="center"/>
                    <w:rPr>
                      <w:rFonts w:eastAsiaTheme="minorEastAsia"/>
                      <w:color w:val="auto"/>
                      <w:kern w:val="0"/>
                      <w:sz w:val="22"/>
                      <w:szCs w:val="22"/>
                      <w:highlight w:val="none"/>
                    </w:rPr>
                  </w:pPr>
                </w:p>
              </w:tc>
              <w:tc>
                <w:tcPr>
                  <w:tcW w:w="705" w:type="dxa"/>
                  <w:tcBorders>
                    <w:top w:val="single" w:color="auto" w:sz="4" w:space="0"/>
                    <w:bottom w:val="single" w:color="auto" w:sz="4" w:space="0"/>
                    <w:right w:val="single" w:color="auto" w:sz="4" w:space="0"/>
                  </w:tcBorders>
                  <w:vAlign w:val="center"/>
                </w:tcPr>
                <w:p w14:paraId="1FDCF785">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新增</w:t>
                  </w:r>
                </w:p>
              </w:tc>
            </w:tr>
            <w:tr w14:paraId="15BF6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106721E4">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75C68239">
                  <w:pPr>
                    <w:adjustRightInd w:val="0"/>
                    <w:snapToGrid w:val="0"/>
                    <w:jc w:val="center"/>
                    <w:rPr>
                      <w:rFonts w:eastAsiaTheme="minorEastAsia"/>
                      <w:color w:val="auto"/>
                      <w:kern w:val="0"/>
                      <w:sz w:val="22"/>
                      <w:szCs w:val="22"/>
                      <w:highlight w:val="none"/>
                    </w:rPr>
                  </w:pPr>
                  <w:r>
                    <w:rPr>
                      <w:rFonts w:eastAsiaTheme="minorEastAsia"/>
                      <w:color w:val="auto"/>
                      <w:sz w:val="22"/>
                      <w:szCs w:val="22"/>
                      <w:highlight w:val="none"/>
                    </w:rPr>
                    <w:t>KUKA机器人（</w:t>
                  </w:r>
                  <w:bookmarkStart w:id="40" w:name="hmcheck_de525abc005a45b1bfae701b20107eab"/>
                  <w:r>
                    <w:rPr>
                      <w:rFonts w:eastAsiaTheme="minorEastAsia"/>
                      <w:color w:val="auto"/>
                      <w:sz w:val="22"/>
                      <w:szCs w:val="22"/>
                      <w:highlight w:val="none"/>
                      <w:shd w:val="clear" w:fill="FFAFAA"/>
                    </w:rPr>
                    <w:t>滚边</w:t>
                  </w:r>
                  <w:bookmarkEnd w:id="40"/>
                  <w:r>
                    <w:rPr>
                      <w:rFonts w:eastAsiaTheme="minorEastAsia"/>
                      <w:color w:val="auto"/>
                      <w:sz w:val="22"/>
                      <w:szCs w:val="22"/>
                      <w:highlight w:val="none"/>
                    </w:rPr>
                    <w:t>）</w:t>
                  </w:r>
                </w:p>
              </w:tc>
              <w:tc>
                <w:tcPr>
                  <w:tcW w:w="2218" w:type="dxa"/>
                  <w:tcBorders>
                    <w:top w:val="single" w:color="auto" w:sz="4" w:space="0"/>
                    <w:bottom w:val="single" w:color="auto" w:sz="4" w:space="0"/>
                  </w:tcBorders>
                  <w:vAlign w:val="center"/>
                </w:tcPr>
                <w:p w14:paraId="5B28E56A">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lang w:bidi="ar"/>
                    </w:rPr>
                    <w:t>KR 120 R2700 prime</w:t>
                  </w:r>
                </w:p>
              </w:tc>
              <w:tc>
                <w:tcPr>
                  <w:tcW w:w="732" w:type="dxa"/>
                  <w:tcBorders>
                    <w:top w:val="single" w:color="auto" w:sz="4" w:space="0"/>
                    <w:bottom w:val="single" w:color="auto" w:sz="4" w:space="0"/>
                  </w:tcBorders>
                  <w:vAlign w:val="center"/>
                </w:tcPr>
                <w:p w14:paraId="6D05D699">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1C33D68E">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2</w:t>
                  </w:r>
                </w:p>
              </w:tc>
              <w:tc>
                <w:tcPr>
                  <w:tcW w:w="1450" w:type="dxa"/>
                  <w:tcBorders>
                    <w:top w:val="single" w:color="auto" w:sz="4" w:space="0"/>
                    <w:bottom w:val="single" w:color="auto" w:sz="4" w:space="0"/>
                    <w:right w:val="single" w:color="auto" w:sz="4" w:space="0"/>
                  </w:tcBorders>
                  <w:vAlign w:val="center"/>
                </w:tcPr>
                <w:p w14:paraId="4EB15F63">
                  <w:pPr>
                    <w:widowControl/>
                    <w:adjustRightInd w:val="0"/>
                    <w:snapToGrid w:val="0"/>
                    <w:jc w:val="center"/>
                    <w:rPr>
                      <w:rFonts w:eastAsiaTheme="minorEastAsia"/>
                      <w:color w:val="auto"/>
                      <w:kern w:val="0"/>
                      <w:sz w:val="22"/>
                      <w:szCs w:val="22"/>
                      <w:highlight w:val="none"/>
                    </w:rPr>
                  </w:pPr>
                  <w:bookmarkStart w:id="41" w:name="hmcheck_71017960ae424135a29231cd02b88bb6"/>
                  <w:r>
                    <w:rPr>
                      <w:rFonts w:eastAsiaTheme="minorEastAsia"/>
                      <w:color w:val="auto"/>
                      <w:kern w:val="0"/>
                      <w:sz w:val="22"/>
                      <w:szCs w:val="22"/>
                      <w:highlight w:val="none"/>
                      <w:shd w:val="clear" w:fill="FFAFAA"/>
                    </w:rPr>
                    <w:t>滚边</w:t>
                  </w:r>
                  <w:bookmarkEnd w:id="41"/>
                </w:p>
              </w:tc>
              <w:tc>
                <w:tcPr>
                  <w:tcW w:w="705" w:type="dxa"/>
                  <w:tcBorders>
                    <w:top w:val="single" w:color="auto" w:sz="4" w:space="0"/>
                    <w:bottom w:val="single" w:color="auto" w:sz="4" w:space="0"/>
                    <w:right w:val="single" w:color="auto" w:sz="4" w:space="0"/>
                  </w:tcBorders>
                  <w:vAlign w:val="center"/>
                </w:tcPr>
                <w:p w14:paraId="733F96A2">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新增</w:t>
                  </w:r>
                </w:p>
              </w:tc>
            </w:tr>
            <w:tr w14:paraId="640B2E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24C86B42">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1439964D">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移动式二保焊机</w:t>
                  </w:r>
                </w:p>
              </w:tc>
              <w:tc>
                <w:tcPr>
                  <w:tcW w:w="2218" w:type="dxa"/>
                  <w:tcBorders>
                    <w:top w:val="single" w:color="auto" w:sz="4" w:space="0"/>
                    <w:bottom w:val="single" w:color="auto" w:sz="4" w:space="0"/>
                  </w:tcBorders>
                  <w:vAlign w:val="center"/>
                </w:tcPr>
                <w:p w14:paraId="609D1E48">
                  <w:pPr>
                    <w:widowControl/>
                    <w:adjustRightInd w:val="0"/>
                    <w:snapToGrid w:val="0"/>
                    <w:jc w:val="center"/>
                    <w:rPr>
                      <w:rFonts w:eastAsiaTheme="minorEastAsia"/>
                      <w:color w:val="auto"/>
                      <w:kern w:val="0"/>
                      <w:sz w:val="22"/>
                      <w:szCs w:val="22"/>
                      <w:highlight w:val="none"/>
                      <w:lang w:bidi="ar"/>
                    </w:rPr>
                  </w:pPr>
                  <w:r>
                    <w:rPr>
                      <w:rFonts w:hint="eastAsia" w:eastAsiaTheme="minorEastAsia"/>
                      <w:color w:val="auto"/>
                      <w:kern w:val="0"/>
                      <w:sz w:val="22"/>
                      <w:szCs w:val="22"/>
                      <w:highlight w:val="none"/>
                      <w:lang w:bidi="ar"/>
                    </w:rPr>
                    <w:t>/</w:t>
                  </w:r>
                </w:p>
              </w:tc>
              <w:tc>
                <w:tcPr>
                  <w:tcW w:w="732" w:type="dxa"/>
                  <w:tcBorders>
                    <w:top w:val="single" w:color="auto" w:sz="4" w:space="0"/>
                    <w:bottom w:val="single" w:color="auto" w:sz="4" w:space="0"/>
                  </w:tcBorders>
                  <w:vAlign w:val="center"/>
                </w:tcPr>
                <w:p w14:paraId="3E5525BC">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3738D568">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8</w:t>
                  </w:r>
                </w:p>
              </w:tc>
              <w:tc>
                <w:tcPr>
                  <w:tcW w:w="1450" w:type="dxa"/>
                  <w:tcBorders>
                    <w:top w:val="single" w:color="auto" w:sz="4" w:space="0"/>
                    <w:bottom w:val="single" w:color="auto" w:sz="4" w:space="0"/>
                    <w:right w:val="single" w:color="auto" w:sz="4" w:space="0"/>
                  </w:tcBorders>
                  <w:vAlign w:val="center"/>
                </w:tcPr>
                <w:p w14:paraId="40527CDD">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CO</w:t>
                  </w:r>
                  <w:r>
                    <w:rPr>
                      <w:rFonts w:hint="eastAsia" w:eastAsiaTheme="minorEastAsia"/>
                      <w:color w:val="auto"/>
                      <w:kern w:val="0"/>
                      <w:sz w:val="22"/>
                      <w:szCs w:val="22"/>
                      <w:highlight w:val="none"/>
                      <w:vertAlign w:val="subscript"/>
                    </w:rPr>
                    <w:t>2</w:t>
                  </w:r>
                  <w:r>
                    <w:rPr>
                      <w:rFonts w:hint="eastAsia" w:eastAsiaTheme="minorEastAsia"/>
                      <w:color w:val="auto"/>
                      <w:kern w:val="0"/>
                      <w:sz w:val="22"/>
                      <w:szCs w:val="22"/>
                      <w:highlight w:val="none"/>
                    </w:rPr>
                    <w:t>保护焊</w:t>
                  </w:r>
                </w:p>
              </w:tc>
              <w:tc>
                <w:tcPr>
                  <w:tcW w:w="705" w:type="dxa"/>
                  <w:tcBorders>
                    <w:top w:val="single" w:color="auto" w:sz="4" w:space="0"/>
                    <w:bottom w:val="single" w:color="auto" w:sz="4" w:space="0"/>
                    <w:right w:val="single" w:color="auto" w:sz="4" w:space="0"/>
                  </w:tcBorders>
                  <w:vAlign w:val="center"/>
                </w:tcPr>
                <w:p w14:paraId="151DE848">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利旧</w:t>
                  </w:r>
                </w:p>
              </w:tc>
            </w:tr>
            <w:tr w14:paraId="06E6B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1ECF5C06">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583BD9EA">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便携式打磨器</w:t>
                  </w:r>
                </w:p>
              </w:tc>
              <w:tc>
                <w:tcPr>
                  <w:tcW w:w="2218" w:type="dxa"/>
                  <w:tcBorders>
                    <w:top w:val="single" w:color="auto" w:sz="4" w:space="0"/>
                    <w:bottom w:val="single" w:color="auto" w:sz="4" w:space="0"/>
                  </w:tcBorders>
                  <w:vAlign w:val="center"/>
                </w:tcPr>
                <w:p w14:paraId="4DF48073">
                  <w:pPr>
                    <w:widowControl/>
                    <w:adjustRightInd w:val="0"/>
                    <w:snapToGrid w:val="0"/>
                    <w:jc w:val="center"/>
                    <w:rPr>
                      <w:rFonts w:eastAsiaTheme="minorEastAsia"/>
                      <w:color w:val="auto"/>
                      <w:kern w:val="0"/>
                      <w:sz w:val="22"/>
                      <w:szCs w:val="22"/>
                      <w:highlight w:val="none"/>
                      <w:lang w:bidi="ar"/>
                    </w:rPr>
                  </w:pPr>
                  <w:r>
                    <w:rPr>
                      <w:rFonts w:hint="eastAsia" w:eastAsiaTheme="minorEastAsia"/>
                      <w:color w:val="auto"/>
                      <w:kern w:val="0"/>
                      <w:sz w:val="22"/>
                      <w:szCs w:val="22"/>
                      <w:highlight w:val="none"/>
                      <w:lang w:bidi="ar"/>
                    </w:rPr>
                    <w:t>/</w:t>
                  </w:r>
                </w:p>
              </w:tc>
              <w:tc>
                <w:tcPr>
                  <w:tcW w:w="732" w:type="dxa"/>
                  <w:tcBorders>
                    <w:top w:val="single" w:color="auto" w:sz="4" w:space="0"/>
                    <w:bottom w:val="single" w:color="auto" w:sz="4" w:space="0"/>
                  </w:tcBorders>
                  <w:vAlign w:val="center"/>
                </w:tcPr>
                <w:p w14:paraId="4BB81212">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0F872C59">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4</w:t>
                  </w:r>
                </w:p>
              </w:tc>
              <w:tc>
                <w:tcPr>
                  <w:tcW w:w="1450" w:type="dxa"/>
                  <w:tcBorders>
                    <w:top w:val="single" w:color="auto" w:sz="4" w:space="0"/>
                    <w:bottom w:val="single" w:color="auto" w:sz="4" w:space="0"/>
                    <w:right w:val="single" w:color="auto" w:sz="4" w:space="0"/>
                  </w:tcBorders>
                  <w:vAlign w:val="center"/>
                </w:tcPr>
                <w:p w14:paraId="55011FA2">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打磨</w:t>
                  </w:r>
                </w:p>
              </w:tc>
              <w:tc>
                <w:tcPr>
                  <w:tcW w:w="705" w:type="dxa"/>
                  <w:tcBorders>
                    <w:top w:val="single" w:color="auto" w:sz="4" w:space="0"/>
                    <w:bottom w:val="single" w:color="auto" w:sz="4" w:space="0"/>
                    <w:right w:val="single" w:color="auto" w:sz="4" w:space="0"/>
                  </w:tcBorders>
                  <w:vAlign w:val="center"/>
                </w:tcPr>
                <w:p w14:paraId="3E17DE4A">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利旧</w:t>
                  </w:r>
                </w:p>
              </w:tc>
            </w:tr>
            <w:tr w14:paraId="1790F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shd w:val="clear" w:color="auto" w:fill="auto"/>
                  <w:vAlign w:val="center"/>
                </w:tcPr>
                <w:p w14:paraId="2D64386C">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58945B15">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废金属传输及压块打包系统</w:t>
                  </w:r>
                </w:p>
              </w:tc>
              <w:tc>
                <w:tcPr>
                  <w:tcW w:w="2218" w:type="dxa"/>
                  <w:tcBorders>
                    <w:top w:val="single" w:color="auto" w:sz="4" w:space="0"/>
                    <w:bottom w:val="single" w:color="auto" w:sz="4" w:space="0"/>
                  </w:tcBorders>
                  <w:vAlign w:val="center"/>
                </w:tcPr>
                <w:p w14:paraId="51CD5F6E">
                  <w:pPr>
                    <w:widowControl/>
                    <w:adjustRightInd w:val="0"/>
                    <w:snapToGrid w:val="0"/>
                    <w:jc w:val="center"/>
                    <w:rPr>
                      <w:rFonts w:eastAsiaTheme="minorEastAsia"/>
                      <w:color w:val="auto"/>
                      <w:kern w:val="0"/>
                      <w:sz w:val="22"/>
                      <w:szCs w:val="22"/>
                      <w:highlight w:val="none"/>
                      <w:lang w:bidi="ar"/>
                    </w:rPr>
                  </w:pPr>
                  <w:r>
                    <w:rPr>
                      <w:rFonts w:hint="eastAsia" w:eastAsiaTheme="minorEastAsia"/>
                      <w:color w:val="auto"/>
                      <w:kern w:val="0"/>
                      <w:sz w:val="22"/>
                      <w:szCs w:val="22"/>
                      <w:highlight w:val="none"/>
                      <w:lang w:bidi="ar"/>
                    </w:rPr>
                    <w:t>/</w:t>
                  </w:r>
                </w:p>
              </w:tc>
              <w:tc>
                <w:tcPr>
                  <w:tcW w:w="732" w:type="dxa"/>
                  <w:tcBorders>
                    <w:top w:val="single" w:color="auto" w:sz="4" w:space="0"/>
                    <w:bottom w:val="single" w:color="auto" w:sz="4" w:space="0"/>
                  </w:tcBorders>
                  <w:vAlign w:val="center"/>
                </w:tcPr>
                <w:p w14:paraId="73F87CE4">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套</w:t>
                  </w:r>
                </w:p>
              </w:tc>
              <w:tc>
                <w:tcPr>
                  <w:tcW w:w="725" w:type="dxa"/>
                  <w:tcBorders>
                    <w:top w:val="single" w:color="auto" w:sz="4" w:space="0"/>
                    <w:bottom w:val="single" w:color="auto" w:sz="4" w:space="0"/>
                  </w:tcBorders>
                  <w:vAlign w:val="center"/>
                </w:tcPr>
                <w:p w14:paraId="6046A159">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1</w:t>
                  </w:r>
                </w:p>
              </w:tc>
              <w:tc>
                <w:tcPr>
                  <w:tcW w:w="1450" w:type="dxa"/>
                  <w:tcBorders>
                    <w:top w:val="single" w:color="auto" w:sz="4" w:space="0"/>
                    <w:bottom w:val="single" w:color="auto" w:sz="4" w:space="0"/>
                    <w:right w:val="single" w:color="auto" w:sz="4" w:space="0"/>
                  </w:tcBorders>
                  <w:vAlign w:val="center"/>
                </w:tcPr>
                <w:p w14:paraId="1350ADDF">
                  <w:pPr>
                    <w:widowControl/>
                    <w:adjustRightInd w:val="0"/>
                    <w:snapToGrid w:val="0"/>
                    <w:jc w:val="center"/>
                    <w:rPr>
                      <w:rFonts w:eastAsiaTheme="minorEastAsia"/>
                      <w:color w:val="auto"/>
                      <w:kern w:val="0"/>
                      <w:sz w:val="22"/>
                      <w:szCs w:val="22"/>
                      <w:highlight w:val="none"/>
                    </w:rPr>
                  </w:pPr>
                </w:p>
              </w:tc>
              <w:tc>
                <w:tcPr>
                  <w:tcW w:w="705" w:type="dxa"/>
                  <w:tcBorders>
                    <w:top w:val="single" w:color="auto" w:sz="4" w:space="0"/>
                    <w:bottom w:val="single" w:color="auto" w:sz="4" w:space="0"/>
                    <w:right w:val="single" w:color="auto" w:sz="4" w:space="0"/>
                  </w:tcBorders>
                  <w:vAlign w:val="center"/>
                </w:tcPr>
                <w:p w14:paraId="2ED2BD29">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新增</w:t>
                  </w:r>
                </w:p>
              </w:tc>
            </w:tr>
            <w:tr w14:paraId="0956B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shd w:val="clear" w:color="auto" w:fill="auto"/>
                  <w:vAlign w:val="center"/>
                </w:tcPr>
                <w:p w14:paraId="05E5C5C7">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36BA63FE">
                  <w:pPr>
                    <w:adjustRightInd w:val="0"/>
                    <w:snapToGrid w:val="0"/>
                    <w:jc w:val="center"/>
                    <w:rPr>
                      <w:rFonts w:eastAsiaTheme="minorEastAsia"/>
                      <w:color w:val="auto"/>
                      <w:sz w:val="22"/>
                      <w:szCs w:val="22"/>
                      <w:highlight w:val="none"/>
                    </w:rPr>
                  </w:pPr>
                  <w:r>
                    <w:rPr>
                      <w:rFonts w:eastAsiaTheme="minorEastAsia"/>
                      <w:color w:val="auto"/>
                      <w:sz w:val="22"/>
                      <w:szCs w:val="22"/>
                      <w:highlight w:val="none"/>
                    </w:rPr>
                    <w:t>螺杆式空压机</w:t>
                  </w:r>
                </w:p>
              </w:tc>
              <w:tc>
                <w:tcPr>
                  <w:tcW w:w="2218" w:type="dxa"/>
                  <w:tcBorders>
                    <w:top w:val="single" w:color="auto" w:sz="4" w:space="0"/>
                    <w:bottom w:val="single" w:color="auto" w:sz="4" w:space="0"/>
                  </w:tcBorders>
                  <w:vAlign w:val="center"/>
                </w:tcPr>
                <w:p w14:paraId="3DAFC580">
                  <w:pPr>
                    <w:widowControl/>
                    <w:adjustRightInd w:val="0"/>
                    <w:snapToGrid w:val="0"/>
                    <w:jc w:val="center"/>
                    <w:rPr>
                      <w:rFonts w:eastAsiaTheme="minorEastAsia"/>
                      <w:color w:val="auto"/>
                      <w:kern w:val="0"/>
                      <w:sz w:val="22"/>
                      <w:szCs w:val="22"/>
                      <w:highlight w:val="none"/>
                      <w:lang w:bidi="ar"/>
                    </w:rPr>
                  </w:pPr>
                  <w:r>
                    <w:rPr>
                      <w:rFonts w:hint="eastAsia" w:eastAsiaTheme="minorEastAsia"/>
                      <w:color w:val="auto"/>
                      <w:kern w:val="0"/>
                      <w:sz w:val="22"/>
                      <w:szCs w:val="22"/>
                      <w:highlight w:val="none"/>
                      <w:lang w:bidi="ar"/>
                    </w:rPr>
                    <w:t>HMA-100</w:t>
                  </w:r>
                  <w:r>
                    <w:rPr>
                      <w:rFonts w:hint="eastAsia" w:eastAsiaTheme="minorEastAsia"/>
                      <w:color w:val="auto"/>
                      <w:kern w:val="0"/>
                      <w:sz w:val="22"/>
                      <w:szCs w:val="22"/>
                      <w:highlight w:val="none"/>
                      <w:lang w:eastAsia="zh-CN" w:bidi="ar"/>
                    </w:rPr>
                    <w:t>，</w:t>
                  </w:r>
                  <w:r>
                    <w:rPr>
                      <w:rFonts w:hint="eastAsia" w:eastAsiaTheme="minorEastAsia"/>
                      <w:color w:val="auto"/>
                      <w:sz w:val="22"/>
                      <w:szCs w:val="22"/>
                      <w:highlight w:val="none"/>
                      <w:lang w:eastAsia="zh-CN"/>
                    </w:rPr>
                    <w:t>风冷</w:t>
                  </w:r>
                </w:p>
              </w:tc>
              <w:tc>
                <w:tcPr>
                  <w:tcW w:w="732" w:type="dxa"/>
                  <w:tcBorders>
                    <w:top w:val="single" w:color="auto" w:sz="4" w:space="0"/>
                    <w:bottom w:val="single" w:color="auto" w:sz="4" w:space="0"/>
                  </w:tcBorders>
                  <w:vAlign w:val="center"/>
                </w:tcPr>
                <w:p w14:paraId="3C575B74">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7B313BAD">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w:t>
                  </w:r>
                </w:p>
              </w:tc>
              <w:tc>
                <w:tcPr>
                  <w:tcW w:w="1450" w:type="dxa"/>
                  <w:tcBorders>
                    <w:top w:val="single" w:color="auto" w:sz="4" w:space="0"/>
                    <w:bottom w:val="single" w:color="auto" w:sz="4" w:space="0"/>
                    <w:right w:val="single" w:color="auto" w:sz="4" w:space="0"/>
                  </w:tcBorders>
                  <w:vAlign w:val="center"/>
                </w:tcPr>
                <w:p w14:paraId="25356E69">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仪表用气</w:t>
                  </w:r>
                </w:p>
              </w:tc>
              <w:tc>
                <w:tcPr>
                  <w:tcW w:w="705" w:type="dxa"/>
                  <w:tcBorders>
                    <w:top w:val="single" w:color="auto" w:sz="4" w:space="0"/>
                    <w:bottom w:val="single" w:color="auto" w:sz="4" w:space="0"/>
                    <w:right w:val="single" w:color="auto" w:sz="4" w:space="0"/>
                  </w:tcBorders>
                  <w:vAlign w:val="center"/>
                </w:tcPr>
                <w:p w14:paraId="45DEB597">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利旧</w:t>
                  </w:r>
                </w:p>
              </w:tc>
            </w:tr>
            <w:tr w14:paraId="36674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05FAF192">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320E807A">
                  <w:pPr>
                    <w:adjustRightInd w:val="0"/>
                    <w:snapToGrid w:val="0"/>
                    <w:jc w:val="center"/>
                    <w:rPr>
                      <w:rFonts w:hint="default" w:eastAsiaTheme="minorEastAsia"/>
                      <w:color w:val="auto"/>
                      <w:sz w:val="22"/>
                      <w:szCs w:val="22"/>
                      <w:highlight w:val="none"/>
                      <w:lang w:eastAsia="zh-CN"/>
                    </w:rPr>
                  </w:pPr>
                  <w:r>
                    <w:rPr>
                      <w:rFonts w:hint="eastAsia" w:eastAsiaTheme="minorEastAsia"/>
                      <w:color w:val="auto"/>
                      <w:sz w:val="22"/>
                      <w:szCs w:val="22"/>
                      <w:highlight w:val="none"/>
                      <w:lang w:eastAsia="zh-CN"/>
                    </w:rPr>
                    <w:t>冷却塔</w:t>
                  </w:r>
                  <w:r>
                    <w:rPr>
                      <w:rFonts w:hint="eastAsia" w:eastAsiaTheme="minorEastAsia"/>
                      <w:color w:val="auto"/>
                      <w:sz w:val="22"/>
                      <w:szCs w:val="22"/>
                      <w:highlight w:val="none"/>
                      <w:lang w:val="en-US" w:eastAsia="zh-CN"/>
                    </w:rPr>
                    <w:t>1</w:t>
                  </w:r>
                </w:p>
              </w:tc>
              <w:tc>
                <w:tcPr>
                  <w:tcW w:w="2218" w:type="dxa"/>
                  <w:tcBorders>
                    <w:top w:val="single" w:color="auto" w:sz="4" w:space="0"/>
                    <w:bottom w:val="single" w:color="auto" w:sz="4" w:space="0"/>
                  </w:tcBorders>
                  <w:vAlign w:val="center"/>
                </w:tcPr>
                <w:p w14:paraId="6751618C">
                  <w:pPr>
                    <w:widowControl/>
                    <w:adjustRightInd w:val="0"/>
                    <w:snapToGrid w:val="0"/>
                    <w:jc w:val="center"/>
                    <w:rPr>
                      <w:rFonts w:hint="default" w:eastAsiaTheme="minorEastAsia"/>
                      <w:color w:val="auto"/>
                      <w:kern w:val="0"/>
                      <w:sz w:val="22"/>
                      <w:szCs w:val="22"/>
                      <w:highlight w:val="none"/>
                      <w:lang w:val="en-US" w:eastAsia="zh-CN" w:bidi="ar"/>
                    </w:rPr>
                  </w:pPr>
                  <w:r>
                    <w:rPr>
                      <w:rFonts w:hint="eastAsia" w:eastAsiaTheme="minorEastAsia"/>
                      <w:color w:val="auto"/>
                      <w:kern w:val="0"/>
                      <w:sz w:val="22"/>
                      <w:szCs w:val="22"/>
                      <w:highlight w:val="none"/>
                      <w:lang w:val="en-US" w:eastAsia="zh-CN" w:bidi="ar"/>
                    </w:rPr>
                    <w:t>配套冷却水箱容积为35m³，设置2台循环水泵，设计流量分别约为156.2m³/h、160m³/h</w:t>
                  </w:r>
                </w:p>
              </w:tc>
              <w:tc>
                <w:tcPr>
                  <w:tcW w:w="732" w:type="dxa"/>
                  <w:tcBorders>
                    <w:top w:val="single" w:color="auto" w:sz="4" w:space="0"/>
                    <w:bottom w:val="single" w:color="auto" w:sz="4" w:space="0"/>
                  </w:tcBorders>
                  <w:shd w:val="clear" w:color="auto" w:fill="auto"/>
                  <w:vAlign w:val="center"/>
                </w:tcPr>
                <w:p w14:paraId="06674C99">
                  <w:pPr>
                    <w:widowControl/>
                    <w:adjustRightInd w:val="0"/>
                    <w:snapToGrid w:val="0"/>
                    <w:jc w:val="center"/>
                    <w:rPr>
                      <w:rFonts w:hint="eastAsia" w:eastAsiaTheme="minorEastAsia"/>
                      <w:color w:val="auto"/>
                      <w:kern w:val="0"/>
                      <w:sz w:val="22"/>
                      <w:szCs w:val="22"/>
                      <w:highlight w:val="none"/>
                      <w:lang w:eastAsia="zh-CN"/>
                    </w:rPr>
                  </w:pPr>
                  <w:r>
                    <w:rPr>
                      <w:rFonts w:hint="eastAsia" w:eastAsiaTheme="minorEastAsia"/>
                      <w:color w:val="auto"/>
                      <w:kern w:val="0"/>
                      <w:sz w:val="22"/>
                      <w:szCs w:val="22"/>
                      <w:highlight w:val="none"/>
                      <w:lang w:eastAsia="zh-CN"/>
                    </w:rPr>
                    <w:t>台</w:t>
                  </w:r>
                </w:p>
              </w:tc>
              <w:tc>
                <w:tcPr>
                  <w:tcW w:w="725" w:type="dxa"/>
                  <w:tcBorders>
                    <w:top w:val="single" w:color="auto" w:sz="4" w:space="0"/>
                    <w:bottom w:val="single" w:color="auto" w:sz="4" w:space="0"/>
                  </w:tcBorders>
                  <w:shd w:val="clear" w:color="auto" w:fill="auto"/>
                  <w:vAlign w:val="center"/>
                </w:tcPr>
                <w:p w14:paraId="124E85A2">
                  <w:pPr>
                    <w:widowControl/>
                    <w:adjustRightInd w:val="0"/>
                    <w:snapToGrid w:val="0"/>
                    <w:jc w:val="center"/>
                    <w:rPr>
                      <w:rFonts w:hint="eastAsia" w:eastAsiaTheme="minorEastAsia"/>
                      <w:color w:val="auto"/>
                      <w:kern w:val="0"/>
                      <w:sz w:val="22"/>
                      <w:szCs w:val="22"/>
                      <w:highlight w:val="none"/>
                      <w:lang w:val="en-US" w:eastAsia="zh-CN"/>
                    </w:rPr>
                  </w:pPr>
                  <w:r>
                    <w:rPr>
                      <w:rFonts w:hint="eastAsia" w:eastAsiaTheme="minorEastAsia"/>
                      <w:color w:val="auto"/>
                      <w:kern w:val="0"/>
                      <w:sz w:val="22"/>
                      <w:szCs w:val="22"/>
                      <w:highlight w:val="none"/>
                      <w:lang w:val="en-US" w:eastAsia="zh-CN"/>
                    </w:rPr>
                    <w:t>1</w:t>
                  </w:r>
                </w:p>
              </w:tc>
              <w:tc>
                <w:tcPr>
                  <w:tcW w:w="1450" w:type="dxa"/>
                  <w:tcBorders>
                    <w:top w:val="single" w:color="auto" w:sz="4" w:space="0"/>
                    <w:bottom w:val="single" w:color="auto" w:sz="4" w:space="0"/>
                    <w:right w:val="single" w:color="auto" w:sz="4" w:space="0"/>
                  </w:tcBorders>
                  <w:vAlign w:val="center"/>
                </w:tcPr>
                <w:p w14:paraId="63C75CEA">
                  <w:pPr>
                    <w:widowControl/>
                    <w:adjustRightInd w:val="0"/>
                    <w:snapToGrid w:val="0"/>
                    <w:jc w:val="center"/>
                    <w:rPr>
                      <w:rFonts w:hint="eastAsia" w:eastAsiaTheme="minorEastAsia"/>
                      <w:color w:val="auto"/>
                      <w:kern w:val="0"/>
                      <w:sz w:val="22"/>
                      <w:szCs w:val="22"/>
                      <w:highlight w:val="none"/>
                    </w:rPr>
                  </w:pPr>
                  <w:r>
                    <w:rPr>
                      <w:rFonts w:hint="eastAsia" w:eastAsiaTheme="minorEastAsia"/>
                      <w:color w:val="auto"/>
                      <w:kern w:val="0"/>
                      <w:sz w:val="22"/>
                      <w:szCs w:val="22"/>
                      <w:highlight w:val="none"/>
                      <w:lang w:eastAsia="zh-CN"/>
                    </w:rPr>
                    <w:t>大型迪斯油压机</w:t>
                  </w:r>
                  <w:r>
                    <w:rPr>
                      <w:rFonts w:hint="eastAsia" w:eastAsiaTheme="minorEastAsia"/>
                      <w:color w:val="auto"/>
                      <w:kern w:val="0"/>
                      <w:sz w:val="22"/>
                      <w:szCs w:val="22"/>
                      <w:highlight w:val="none"/>
                    </w:rPr>
                    <w:t>冷却</w:t>
                  </w:r>
                </w:p>
              </w:tc>
              <w:tc>
                <w:tcPr>
                  <w:tcW w:w="705" w:type="dxa"/>
                  <w:tcBorders>
                    <w:top w:val="single" w:color="auto" w:sz="4" w:space="0"/>
                    <w:bottom w:val="single" w:color="auto" w:sz="4" w:space="0"/>
                    <w:right w:val="single" w:color="auto" w:sz="4" w:space="0"/>
                  </w:tcBorders>
                  <w:vAlign w:val="center"/>
                </w:tcPr>
                <w:p w14:paraId="0BFE4809">
                  <w:pPr>
                    <w:widowControl/>
                    <w:adjustRightInd w:val="0"/>
                    <w:snapToGrid w:val="0"/>
                    <w:jc w:val="center"/>
                    <w:rPr>
                      <w:rFonts w:hint="eastAsia" w:eastAsiaTheme="minorEastAsia"/>
                      <w:color w:val="auto"/>
                      <w:kern w:val="0"/>
                      <w:sz w:val="22"/>
                      <w:szCs w:val="22"/>
                      <w:highlight w:val="none"/>
                    </w:rPr>
                  </w:pPr>
                  <w:r>
                    <w:rPr>
                      <w:rFonts w:hint="eastAsia" w:eastAsiaTheme="minorEastAsia"/>
                      <w:color w:val="auto"/>
                      <w:kern w:val="0"/>
                      <w:sz w:val="22"/>
                      <w:szCs w:val="22"/>
                      <w:highlight w:val="none"/>
                    </w:rPr>
                    <w:t>新增</w:t>
                  </w:r>
                </w:p>
              </w:tc>
            </w:tr>
            <w:tr w14:paraId="3D305C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204311AC">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6A77B4D2">
                  <w:pPr>
                    <w:adjustRightInd w:val="0"/>
                    <w:snapToGrid w:val="0"/>
                    <w:jc w:val="center"/>
                    <w:rPr>
                      <w:rFonts w:hint="eastAsia" w:eastAsiaTheme="minorEastAsia"/>
                      <w:color w:val="auto"/>
                      <w:sz w:val="22"/>
                      <w:szCs w:val="22"/>
                      <w:highlight w:val="none"/>
                      <w:lang w:eastAsia="zh-CN"/>
                    </w:rPr>
                  </w:pPr>
                  <w:r>
                    <w:rPr>
                      <w:rFonts w:hint="eastAsia" w:eastAsiaTheme="minorEastAsia"/>
                      <w:color w:val="auto"/>
                      <w:sz w:val="22"/>
                      <w:szCs w:val="22"/>
                      <w:highlight w:val="none"/>
                      <w:lang w:eastAsia="zh-CN"/>
                    </w:rPr>
                    <w:t>冷却塔</w:t>
                  </w:r>
                  <w:r>
                    <w:rPr>
                      <w:rFonts w:hint="eastAsia" w:eastAsiaTheme="minorEastAsia"/>
                      <w:color w:val="auto"/>
                      <w:sz w:val="22"/>
                      <w:szCs w:val="22"/>
                      <w:highlight w:val="none"/>
                      <w:lang w:val="en-US" w:eastAsia="zh-CN"/>
                    </w:rPr>
                    <w:t>2</w:t>
                  </w:r>
                </w:p>
              </w:tc>
              <w:tc>
                <w:tcPr>
                  <w:tcW w:w="2218" w:type="dxa"/>
                  <w:tcBorders>
                    <w:top w:val="single" w:color="auto" w:sz="4" w:space="0"/>
                    <w:bottom w:val="single" w:color="auto" w:sz="4" w:space="0"/>
                  </w:tcBorders>
                  <w:vAlign w:val="center"/>
                </w:tcPr>
                <w:p w14:paraId="10BC604A">
                  <w:pPr>
                    <w:widowControl/>
                    <w:adjustRightInd w:val="0"/>
                    <w:snapToGrid w:val="0"/>
                    <w:jc w:val="center"/>
                    <w:rPr>
                      <w:rFonts w:hint="eastAsia" w:eastAsiaTheme="minorEastAsia"/>
                      <w:color w:val="auto"/>
                      <w:kern w:val="0"/>
                      <w:sz w:val="22"/>
                      <w:szCs w:val="22"/>
                      <w:highlight w:val="none"/>
                      <w:lang w:val="en-US" w:eastAsia="zh-CN" w:bidi="ar"/>
                    </w:rPr>
                  </w:pPr>
                  <w:r>
                    <w:rPr>
                      <w:rFonts w:hint="eastAsia"/>
                      <w:color w:val="auto"/>
                      <w:kern w:val="0"/>
                      <w:sz w:val="22"/>
                      <w:szCs w:val="22"/>
                      <w:highlight w:val="none"/>
                      <w:lang w:bidi="ar"/>
                    </w:rPr>
                    <w:t>配套冷却水箱容积为</w:t>
                  </w:r>
                  <w:r>
                    <w:rPr>
                      <w:rFonts w:hint="eastAsia"/>
                      <w:color w:val="auto"/>
                      <w:kern w:val="0"/>
                      <w:sz w:val="22"/>
                      <w:szCs w:val="22"/>
                      <w:highlight w:val="none"/>
                      <w:lang w:val="en-US" w:eastAsia="zh-CN" w:bidi="ar"/>
                    </w:rPr>
                    <w:t>35</w:t>
                  </w:r>
                  <w:r>
                    <w:rPr>
                      <w:rFonts w:hint="eastAsia"/>
                      <w:color w:val="auto"/>
                      <w:kern w:val="0"/>
                      <w:sz w:val="22"/>
                      <w:szCs w:val="22"/>
                      <w:highlight w:val="none"/>
                      <w:lang w:bidi="ar"/>
                    </w:rPr>
                    <w:t>m³，设置2台循环水泵，</w:t>
                  </w:r>
                  <w:r>
                    <w:rPr>
                      <w:rFonts w:hint="eastAsia"/>
                      <w:color w:val="auto"/>
                      <w:kern w:val="0"/>
                      <w:sz w:val="22"/>
                      <w:szCs w:val="22"/>
                      <w:highlight w:val="none"/>
                      <w:lang w:eastAsia="zh-CN" w:bidi="ar"/>
                    </w:rPr>
                    <w:t>设计流量均</w:t>
                  </w:r>
                  <w:r>
                    <w:rPr>
                      <w:rFonts w:hint="eastAsia"/>
                      <w:color w:val="auto"/>
                      <w:kern w:val="0"/>
                      <w:sz w:val="22"/>
                      <w:szCs w:val="22"/>
                      <w:highlight w:val="none"/>
                      <w:lang w:bidi="ar"/>
                    </w:rPr>
                    <w:t>为</w:t>
                  </w:r>
                  <w:r>
                    <w:rPr>
                      <w:rFonts w:hint="eastAsia"/>
                      <w:color w:val="auto"/>
                      <w:kern w:val="0"/>
                      <w:sz w:val="22"/>
                      <w:szCs w:val="22"/>
                      <w:highlight w:val="none"/>
                      <w:lang w:val="en-US" w:eastAsia="zh-CN" w:bidi="ar"/>
                    </w:rPr>
                    <w:t>165</w:t>
                  </w:r>
                  <w:r>
                    <w:rPr>
                      <w:rFonts w:hint="eastAsia"/>
                      <w:color w:val="auto"/>
                      <w:kern w:val="0"/>
                      <w:sz w:val="22"/>
                      <w:szCs w:val="22"/>
                      <w:highlight w:val="none"/>
                      <w:lang w:bidi="ar"/>
                    </w:rPr>
                    <w:t>m³/h</w:t>
                  </w:r>
                </w:p>
              </w:tc>
              <w:tc>
                <w:tcPr>
                  <w:tcW w:w="732" w:type="dxa"/>
                  <w:tcBorders>
                    <w:top w:val="single" w:color="auto" w:sz="4" w:space="0"/>
                    <w:bottom w:val="single" w:color="auto" w:sz="4" w:space="0"/>
                  </w:tcBorders>
                  <w:shd w:val="clear" w:color="auto" w:fill="auto"/>
                  <w:vAlign w:val="center"/>
                </w:tcPr>
                <w:p w14:paraId="7DE7DABB">
                  <w:pPr>
                    <w:widowControl/>
                    <w:adjustRightInd w:val="0"/>
                    <w:snapToGrid w:val="0"/>
                    <w:jc w:val="center"/>
                    <w:rPr>
                      <w:rFonts w:hint="eastAsia" w:eastAsiaTheme="minorEastAsia"/>
                      <w:color w:val="auto"/>
                      <w:kern w:val="0"/>
                      <w:sz w:val="22"/>
                      <w:szCs w:val="22"/>
                      <w:highlight w:val="none"/>
                      <w:lang w:eastAsia="zh-CN"/>
                    </w:rPr>
                  </w:pPr>
                  <w:r>
                    <w:rPr>
                      <w:rFonts w:hint="eastAsia"/>
                      <w:color w:val="auto"/>
                      <w:kern w:val="0"/>
                      <w:sz w:val="22"/>
                      <w:szCs w:val="22"/>
                      <w:highlight w:val="none"/>
                    </w:rPr>
                    <w:t>台</w:t>
                  </w:r>
                </w:p>
              </w:tc>
              <w:tc>
                <w:tcPr>
                  <w:tcW w:w="725" w:type="dxa"/>
                  <w:tcBorders>
                    <w:top w:val="single" w:color="auto" w:sz="4" w:space="0"/>
                    <w:bottom w:val="single" w:color="auto" w:sz="4" w:space="0"/>
                  </w:tcBorders>
                  <w:shd w:val="clear" w:color="auto" w:fill="auto"/>
                  <w:vAlign w:val="center"/>
                </w:tcPr>
                <w:p w14:paraId="64B6AB54">
                  <w:pPr>
                    <w:widowControl/>
                    <w:adjustRightInd w:val="0"/>
                    <w:snapToGrid w:val="0"/>
                    <w:jc w:val="center"/>
                    <w:rPr>
                      <w:rFonts w:hint="eastAsia" w:eastAsiaTheme="minorEastAsia"/>
                      <w:color w:val="auto"/>
                      <w:kern w:val="0"/>
                      <w:sz w:val="22"/>
                      <w:szCs w:val="22"/>
                      <w:highlight w:val="none"/>
                      <w:lang w:val="en-US" w:eastAsia="zh-CN"/>
                    </w:rPr>
                  </w:pPr>
                  <w:r>
                    <w:rPr>
                      <w:rFonts w:hint="eastAsia"/>
                      <w:color w:val="auto"/>
                      <w:kern w:val="0"/>
                      <w:sz w:val="22"/>
                      <w:szCs w:val="22"/>
                      <w:highlight w:val="none"/>
                    </w:rPr>
                    <w:t>1</w:t>
                  </w:r>
                </w:p>
              </w:tc>
              <w:tc>
                <w:tcPr>
                  <w:tcW w:w="1450" w:type="dxa"/>
                  <w:tcBorders>
                    <w:top w:val="single" w:color="auto" w:sz="4" w:space="0"/>
                    <w:bottom w:val="single" w:color="auto" w:sz="4" w:space="0"/>
                    <w:right w:val="single" w:color="auto" w:sz="4" w:space="0"/>
                  </w:tcBorders>
                  <w:vAlign w:val="center"/>
                </w:tcPr>
                <w:p w14:paraId="27669554">
                  <w:pPr>
                    <w:widowControl/>
                    <w:adjustRightInd w:val="0"/>
                    <w:snapToGrid w:val="0"/>
                    <w:jc w:val="center"/>
                    <w:rPr>
                      <w:rFonts w:hint="eastAsia" w:eastAsiaTheme="minorEastAsia"/>
                      <w:color w:val="auto"/>
                      <w:kern w:val="0"/>
                      <w:sz w:val="22"/>
                      <w:szCs w:val="22"/>
                      <w:highlight w:val="none"/>
                    </w:rPr>
                  </w:pPr>
                  <w:r>
                    <w:rPr>
                      <w:rFonts w:hint="eastAsia"/>
                      <w:color w:val="auto"/>
                      <w:kern w:val="0"/>
                      <w:sz w:val="22"/>
                      <w:szCs w:val="22"/>
                      <w:highlight w:val="none"/>
                    </w:rPr>
                    <w:t>大型迪斯油压机冷却</w:t>
                  </w:r>
                </w:p>
              </w:tc>
              <w:tc>
                <w:tcPr>
                  <w:tcW w:w="705" w:type="dxa"/>
                  <w:tcBorders>
                    <w:top w:val="single" w:color="auto" w:sz="4" w:space="0"/>
                    <w:bottom w:val="single" w:color="auto" w:sz="4" w:space="0"/>
                    <w:right w:val="single" w:color="auto" w:sz="4" w:space="0"/>
                  </w:tcBorders>
                  <w:vAlign w:val="center"/>
                </w:tcPr>
                <w:p w14:paraId="322FE9A2">
                  <w:pPr>
                    <w:widowControl/>
                    <w:adjustRightInd w:val="0"/>
                    <w:snapToGrid w:val="0"/>
                    <w:jc w:val="center"/>
                    <w:rPr>
                      <w:rFonts w:hint="eastAsia" w:eastAsiaTheme="minorEastAsia"/>
                      <w:color w:val="auto"/>
                      <w:kern w:val="0"/>
                      <w:sz w:val="22"/>
                      <w:szCs w:val="22"/>
                      <w:highlight w:val="none"/>
                    </w:rPr>
                  </w:pPr>
                  <w:r>
                    <w:rPr>
                      <w:rFonts w:hint="eastAsia"/>
                      <w:color w:val="auto"/>
                      <w:kern w:val="0"/>
                      <w:sz w:val="22"/>
                      <w:szCs w:val="22"/>
                      <w:highlight w:val="none"/>
                    </w:rPr>
                    <w:t>新增</w:t>
                  </w:r>
                </w:p>
              </w:tc>
            </w:tr>
            <w:tr w14:paraId="369CC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25187470">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0083B5E4">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滤芯除尘器</w:t>
                  </w:r>
                </w:p>
              </w:tc>
              <w:tc>
                <w:tcPr>
                  <w:tcW w:w="2218" w:type="dxa"/>
                  <w:tcBorders>
                    <w:top w:val="single" w:color="auto" w:sz="4" w:space="0"/>
                    <w:bottom w:val="single" w:color="auto" w:sz="4" w:space="0"/>
                  </w:tcBorders>
                  <w:vAlign w:val="center"/>
                </w:tcPr>
                <w:p w14:paraId="582FFCF9">
                  <w:pPr>
                    <w:widowControl/>
                    <w:adjustRightInd w:val="0"/>
                    <w:snapToGrid w:val="0"/>
                    <w:jc w:val="center"/>
                    <w:rPr>
                      <w:rFonts w:eastAsiaTheme="minorEastAsia"/>
                      <w:color w:val="auto"/>
                      <w:kern w:val="0"/>
                      <w:sz w:val="22"/>
                      <w:szCs w:val="22"/>
                      <w:highlight w:val="none"/>
                      <w:lang w:bidi="ar"/>
                    </w:rPr>
                  </w:pPr>
                  <w:r>
                    <w:rPr>
                      <w:rFonts w:hint="eastAsia" w:eastAsiaTheme="minorEastAsia"/>
                      <w:color w:val="auto"/>
                      <w:kern w:val="0"/>
                      <w:sz w:val="22"/>
                      <w:szCs w:val="22"/>
                      <w:highlight w:val="none"/>
                      <w:lang w:bidi="ar"/>
                    </w:rPr>
                    <w:t>设15m排气筒1个（DA001），风量15000m³/h</w:t>
                  </w:r>
                </w:p>
              </w:tc>
              <w:tc>
                <w:tcPr>
                  <w:tcW w:w="732" w:type="dxa"/>
                  <w:tcBorders>
                    <w:top w:val="single" w:color="auto" w:sz="4" w:space="0"/>
                    <w:bottom w:val="single" w:color="auto" w:sz="4" w:space="0"/>
                  </w:tcBorders>
                  <w:vAlign w:val="center"/>
                </w:tcPr>
                <w:p w14:paraId="060AAE30">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18F5A320">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1</w:t>
                  </w:r>
                </w:p>
              </w:tc>
              <w:tc>
                <w:tcPr>
                  <w:tcW w:w="1450" w:type="dxa"/>
                  <w:tcBorders>
                    <w:top w:val="single" w:color="auto" w:sz="4" w:space="0"/>
                    <w:bottom w:val="single" w:color="auto" w:sz="4" w:space="0"/>
                    <w:right w:val="single" w:color="auto" w:sz="4" w:space="0"/>
                  </w:tcBorders>
                  <w:vAlign w:val="center"/>
                </w:tcPr>
                <w:p w14:paraId="2EEC32EC">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固定式弧焊间焊接治理</w:t>
                  </w:r>
                </w:p>
              </w:tc>
              <w:tc>
                <w:tcPr>
                  <w:tcW w:w="705" w:type="dxa"/>
                  <w:tcBorders>
                    <w:top w:val="single" w:color="auto" w:sz="4" w:space="0"/>
                    <w:bottom w:val="single" w:color="auto" w:sz="4" w:space="0"/>
                    <w:right w:val="single" w:color="auto" w:sz="4" w:space="0"/>
                  </w:tcBorders>
                  <w:vAlign w:val="center"/>
                </w:tcPr>
                <w:p w14:paraId="459D92A3">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新增</w:t>
                  </w:r>
                </w:p>
              </w:tc>
            </w:tr>
            <w:tr w14:paraId="33F5EB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op w:val="single" w:color="auto" w:sz="4" w:space="0"/>
                    <w:left w:val="single" w:color="auto" w:sz="4" w:space="0"/>
                    <w:bottom w:val="single" w:color="auto" w:sz="4" w:space="0"/>
                  </w:tcBorders>
                  <w:vAlign w:val="center"/>
                </w:tcPr>
                <w:p w14:paraId="17BE098F">
                  <w:pPr>
                    <w:pStyle w:val="74"/>
                    <w:numPr>
                      <w:ilvl w:val="0"/>
                      <w:numId w:val="8"/>
                    </w:numPr>
                    <w:adjustRightInd w:val="0"/>
                    <w:snapToGrid w:val="0"/>
                    <w:spacing w:before="0" w:beforeLines="0"/>
                    <w:rPr>
                      <w:rFonts w:eastAsiaTheme="minorEastAsia"/>
                      <w:bCs/>
                      <w:color w:val="auto"/>
                      <w:sz w:val="22"/>
                      <w:szCs w:val="22"/>
                      <w:highlight w:val="none"/>
                    </w:rPr>
                  </w:pPr>
                </w:p>
              </w:tc>
              <w:tc>
                <w:tcPr>
                  <w:tcW w:w="1778" w:type="dxa"/>
                  <w:tcBorders>
                    <w:top w:val="single" w:color="auto" w:sz="4" w:space="0"/>
                    <w:bottom w:val="single" w:color="auto" w:sz="4" w:space="0"/>
                  </w:tcBorders>
                  <w:vAlign w:val="center"/>
                </w:tcPr>
                <w:p w14:paraId="6E278E7D">
                  <w:pPr>
                    <w:adjustRightInd w:val="0"/>
                    <w:snapToGrid w:val="0"/>
                    <w:jc w:val="center"/>
                    <w:rPr>
                      <w:rFonts w:hint="eastAsia" w:eastAsiaTheme="minorEastAsia"/>
                      <w:color w:val="auto"/>
                      <w:sz w:val="22"/>
                      <w:szCs w:val="22"/>
                      <w:highlight w:val="none"/>
                      <w:lang w:eastAsia="zh-CN"/>
                    </w:rPr>
                  </w:pPr>
                  <w:r>
                    <w:rPr>
                      <w:rFonts w:eastAsiaTheme="minorEastAsia"/>
                      <w:color w:val="auto"/>
                      <w:sz w:val="22"/>
                      <w:szCs w:val="22"/>
                      <w:highlight w:val="none"/>
                    </w:rPr>
                    <w:t>移动式</w:t>
                  </w:r>
                  <w:r>
                    <w:rPr>
                      <w:rFonts w:hint="eastAsia" w:eastAsiaTheme="minorEastAsia"/>
                      <w:color w:val="auto"/>
                      <w:sz w:val="22"/>
                      <w:szCs w:val="22"/>
                      <w:highlight w:val="none"/>
                      <w:lang w:eastAsia="zh-CN"/>
                    </w:rPr>
                    <w:t>滤芯除尘器</w:t>
                  </w:r>
                </w:p>
              </w:tc>
              <w:tc>
                <w:tcPr>
                  <w:tcW w:w="2218" w:type="dxa"/>
                  <w:tcBorders>
                    <w:top w:val="single" w:color="auto" w:sz="4" w:space="0"/>
                    <w:bottom w:val="single" w:color="auto" w:sz="4" w:space="0"/>
                  </w:tcBorders>
                  <w:vAlign w:val="center"/>
                </w:tcPr>
                <w:p w14:paraId="3A8DD57A">
                  <w:pPr>
                    <w:widowControl/>
                    <w:adjustRightInd w:val="0"/>
                    <w:snapToGrid w:val="0"/>
                    <w:jc w:val="center"/>
                    <w:rPr>
                      <w:rFonts w:eastAsiaTheme="minorEastAsia"/>
                      <w:color w:val="auto"/>
                      <w:kern w:val="0"/>
                      <w:sz w:val="22"/>
                      <w:szCs w:val="22"/>
                      <w:highlight w:val="none"/>
                      <w:lang w:bidi="ar"/>
                    </w:rPr>
                  </w:pPr>
                  <w:r>
                    <w:rPr>
                      <w:rFonts w:hint="eastAsia" w:eastAsiaTheme="minorEastAsia"/>
                      <w:color w:val="auto"/>
                      <w:kern w:val="0"/>
                      <w:sz w:val="22"/>
                      <w:szCs w:val="22"/>
                      <w:highlight w:val="none"/>
                      <w:lang w:bidi="ar"/>
                    </w:rPr>
                    <w:t>含集气设备</w:t>
                  </w:r>
                </w:p>
              </w:tc>
              <w:tc>
                <w:tcPr>
                  <w:tcW w:w="732" w:type="dxa"/>
                  <w:tcBorders>
                    <w:top w:val="single" w:color="auto" w:sz="4" w:space="0"/>
                    <w:bottom w:val="single" w:color="auto" w:sz="4" w:space="0"/>
                  </w:tcBorders>
                  <w:vAlign w:val="center"/>
                </w:tcPr>
                <w:p w14:paraId="1F4694BC">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台</w:t>
                  </w:r>
                </w:p>
              </w:tc>
              <w:tc>
                <w:tcPr>
                  <w:tcW w:w="725" w:type="dxa"/>
                  <w:tcBorders>
                    <w:top w:val="single" w:color="auto" w:sz="4" w:space="0"/>
                    <w:bottom w:val="single" w:color="auto" w:sz="4" w:space="0"/>
                  </w:tcBorders>
                  <w:vAlign w:val="center"/>
                </w:tcPr>
                <w:p w14:paraId="6176B4BB">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8</w:t>
                  </w:r>
                </w:p>
              </w:tc>
              <w:tc>
                <w:tcPr>
                  <w:tcW w:w="1450" w:type="dxa"/>
                  <w:tcBorders>
                    <w:top w:val="single" w:color="auto" w:sz="4" w:space="0"/>
                    <w:bottom w:val="single" w:color="auto" w:sz="4" w:space="0"/>
                    <w:right w:val="single" w:color="auto" w:sz="4" w:space="0"/>
                  </w:tcBorders>
                  <w:vAlign w:val="center"/>
                </w:tcPr>
                <w:p w14:paraId="2769F3A7">
                  <w:pPr>
                    <w:widowControl/>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不合格产品补焊烟尘、打磨粉尘治理</w:t>
                  </w:r>
                </w:p>
              </w:tc>
              <w:tc>
                <w:tcPr>
                  <w:tcW w:w="705" w:type="dxa"/>
                  <w:tcBorders>
                    <w:top w:val="single" w:color="auto" w:sz="4" w:space="0"/>
                    <w:bottom w:val="single" w:color="auto" w:sz="4" w:space="0"/>
                    <w:right w:val="single" w:color="auto" w:sz="4" w:space="0"/>
                  </w:tcBorders>
                  <w:vAlign w:val="center"/>
                </w:tcPr>
                <w:p w14:paraId="657F82A2">
                  <w:pPr>
                    <w:widowControl/>
                    <w:adjustRightInd w:val="0"/>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新增</w:t>
                  </w:r>
                </w:p>
              </w:tc>
            </w:tr>
          </w:tbl>
          <w:p w14:paraId="7C8DEF5A">
            <w:pPr>
              <w:ind w:firstLine="520" w:firstLineChars="200"/>
              <w:rPr>
                <w:color w:val="auto"/>
                <w:sz w:val="26"/>
                <w:highlight w:val="none"/>
              </w:rPr>
            </w:pPr>
          </w:p>
          <w:p w14:paraId="5108BC93">
            <w:pPr>
              <w:spacing w:line="460" w:lineRule="exact"/>
              <w:ind w:firstLine="520" w:firstLineChars="200"/>
              <w:rPr>
                <w:color w:val="auto"/>
                <w:sz w:val="26"/>
                <w:highlight w:val="none"/>
              </w:rPr>
            </w:pPr>
            <w:r>
              <w:rPr>
                <w:rFonts w:hint="eastAsia"/>
                <w:color w:val="auto"/>
                <w:sz w:val="26"/>
                <w:highlight w:val="none"/>
              </w:rPr>
              <w:t>（2）生产设备与产能匹配性分析</w:t>
            </w:r>
          </w:p>
          <w:p w14:paraId="67BCA9E0">
            <w:pPr>
              <w:autoSpaceDE w:val="0"/>
              <w:autoSpaceDN w:val="0"/>
              <w:adjustRightInd w:val="0"/>
              <w:spacing w:line="480" w:lineRule="exact"/>
              <w:ind w:firstLine="520" w:firstLineChars="200"/>
              <w:textAlignment w:val="baseline"/>
              <w:rPr>
                <w:color w:val="auto"/>
                <w:kern w:val="0"/>
                <w:sz w:val="26"/>
                <w:szCs w:val="26"/>
                <w:highlight w:val="none"/>
              </w:rPr>
            </w:pPr>
            <w:r>
              <w:rPr>
                <w:rFonts w:hint="eastAsia"/>
                <w:color w:val="auto"/>
                <w:kern w:val="0"/>
                <w:sz w:val="26"/>
                <w:szCs w:val="26"/>
                <w:highlight w:val="none"/>
              </w:rPr>
              <w:t>根据建设单位提供资料，本项目产能的控制性环节在于冲液压</w:t>
            </w:r>
            <w:r>
              <w:rPr>
                <w:rFonts w:hint="eastAsia"/>
                <w:color w:val="auto"/>
                <w:kern w:val="0"/>
                <w:sz w:val="26"/>
                <w:szCs w:val="26"/>
                <w:highlight w:val="none"/>
                <w:lang w:eastAsia="zh-CN"/>
              </w:rPr>
              <w:t>，</w:t>
            </w:r>
            <w:r>
              <w:rPr>
                <w:rFonts w:hint="eastAsia"/>
                <w:color w:val="auto"/>
                <w:kern w:val="0"/>
                <w:sz w:val="26"/>
                <w:szCs w:val="26"/>
                <w:highlight w:val="none"/>
              </w:rPr>
              <w:t xml:space="preserve">为必不可少环节。 </w:t>
            </w:r>
          </w:p>
          <w:p w14:paraId="0245FF2C">
            <w:pPr>
              <w:autoSpaceDE w:val="0"/>
              <w:autoSpaceDN w:val="0"/>
              <w:adjustRightInd w:val="0"/>
              <w:spacing w:line="480" w:lineRule="exact"/>
              <w:ind w:firstLine="520" w:firstLineChars="200"/>
              <w:textAlignment w:val="baseline"/>
              <w:rPr>
                <w:color w:val="auto"/>
                <w:kern w:val="0"/>
                <w:sz w:val="26"/>
                <w:szCs w:val="26"/>
                <w:highlight w:val="none"/>
              </w:rPr>
            </w:pPr>
            <w:r>
              <w:rPr>
                <w:rFonts w:hint="eastAsia"/>
                <w:color w:val="auto"/>
                <w:kern w:val="0"/>
                <w:sz w:val="26"/>
                <w:szCs w:val="26"/>
                <w:highlight w:val="none"/>
              </w:rPr>
              <w:t>本项目设有3条冲液压线。根据设计，大型迪斯油压生产线设备产能为210件/h、中型冲液压生产线设备产能为1000件/h、小型冲压生产线设备产能为1400件/h，3条线满负荷工作的时数为4800h/a（每天工作16h，每年工作300天），项目生产设备能力为1252.8万件，能满足项目设计年产3万吨（约1250万件）汽车配件产能规模要求，设备生产能力与设计产能匹配。</w:t>
            </w:r>
          </w:p>
          <w:p w14:paraId="5183131E">
            <w:pPr>
              <w:autoSpaceDE w:val="0"/>
              <w:autoSpaceDN w:val="0"/>
              <w:adjustRightInd w:val="0"/>
              <w:spacing w:line="480" w:lineRule="exact"/>
              <w:ind w:firstLine="522" w:firstLineChars="200"/>
              <w:jc w:val="left"/>
              <w:textAlignment w:val="baseline"/>
              <w:rPr>
                <w:b/>
                <w:color w:val="auto"/>
                <w:kern w:val="0"/>
                <w:sz w:val="26"/>
                <w:szCs w:val="26"/>
                <w:highlight w:val="none"/>
              </w:rPr>
            </w:pPr>
            <w:r>
              <w:rPr>
                <w:rFonts w:hint="eastAsia"/>
                <w:b/>
                <w:color w:val="auto"/>
                <w:kern w:val="0"/>
                <w:sz w:val="26"/>
                <w:szCs w:val="26"/>
                <w:highlight w:val="none"/>
              </w:rPr>
              <w:t>2.6主要原辅材料及资源能源</w:t>
            </w:r>
          </w:p>
          <w:p w14:paraId="1FC03F30">
            <w:pPr>
              <w:autoSpaceDE w:val="0"/>
              <w:autoSpaceDN w:val="0"/>
              <w:adjustRightInd w:val="0"/>
              <w:spacing w:line="480" w:lineRule="exact"/>
              <w:ind w:firstLine="522" w:firstLineChars="200"/>
              <w:jc w:val="left"/>
              <w:textAlignment w:val="baseline"/>
              <w:rPr>
                <w:b/>
                <w:color w:val="auto"/>
                <w:kern w:val="0"/>
                <w:sz w:val="26"/>
                <w:szCs w:val="26"/>
                <w:highlight w:val="none"/>
              </w:rPr>
            </w:pPr>
            <w:r>
              <w:rPr>
                <w:rFonts w:hint="eastAsia"/>
                <w:b/>
                <w:color w:val="auto"/>
                <w:kern w:val="0"/>
                <w:sz w:val="26"/>
                <w:szCs w:val="26"/>
                <w:highlight w:val="none"/>
              </w:rPr>
              <w:t>2</w:t>
            </w:r>
            <w:r>
              <w:rPr>
                <w:b/>
                <w:color w:val="auto"/>
                <w:kern w:val="0"/>
                <w:sz w:val="26"/>
                <w:szCs w:val="26"/>
                <w:highlight w:val="none"/>
              </w:rPr>
              <w:t>.6</w:t>
            </w:r>
            <w:r>
              <w:rPr>
                <w:rFonts w:hint="eastAsia"/>
                <w:b/>
                <w:color w:val="auto"/>
                <w:kern w:val="0"/>
                <w:sz w:val="26"/>
                <w:szCs w:val="26"/>
                <w:highlight w:val="none"/>
              </w:rPr>
              <w:t>.</w:t>
            </w:r>
            <w:r>
              <w:rPr>
                <w:b/>
                <w:color w:val="auto"/>
                <w:kern w:val="0"/>
                <w:sz w:val="26"/>
                <w:szCs w:val="26"/>
                <w:highlight w:val="none"/>
              </w:rPr>
              <w:t>1</w:t>
            </w:r>
            <w:r>
              <w:rPr>
                <w:rFonts w:hint="eastAsia"/>
                <w:b/>
                <w:color w:val="auto"/>
                <w:kern w:val="0"/>
                <w:sz w:val="26"/>
                <w:szCs w:val="26"/>
                <w:highlight w:val="none"/>
              </w:rPr>
              <w:t xml:space="preserve"> 主要原辅材料消耗情况 </w:t>
            </w:r>
            <w:r>
              <w:rPr>
                <w:b/>
                <w:color w:val="auto"/>
                <w:kern w:val="0"/>
                <w:sz w:val="26"/>
                <w:szCs w:val="26"/>
                <w:highlight w:val="none"/>
              </w:rPr>
              <w:t xml:space="preserve"> </w:t>
            </w:r>
          </w:p>
          <w:p w14:paraId="1018361A">
            <w:pPr>
              <w:autoSpaceDE w:val="0"/>
              <w:autoSpaceDN w:val="0"/>
              <w:adjustRightInd w:val="0"/>
              <w:spacing w:line="480" w:lineRule="exact"/>
              <w:ind w:firstLine="520" w:firstLineChars="200"/>
              <w:jc w:val="left"/>
              <w:textAlignment w:val="baseline"/>
              <w:rPr>
                <w:color w:val="auto"/>
                <w:kern w:val="0"/>
                <w:sz w:val="26"/>
                <w:szCs w:val="26"/>
                <w:highlight w:val="none"/>
              </w:rPr>
            </w:pPr>
            <w:r>
              <w:rPr>
                <w:rFonts w:hint="eastAsia"/>
                <w:color w:val="auto"/>
                <w:kern w:val="0"/>
                <w:sz w:val="26"/>
                <w:szCs w:val="26"/>
                <w:highlight w:val="none"/>
              </w:rPr>
              <w:t>根据建设单位提供的资料，项目主要原辅材料见下表。</w:t>
            </w:r>
          </w:p>
          <w:p w14:paraId="61131FA1">
            <w:pPr>
              <w:autoSpaceDE w:val="0"/>
              <w:autoSpaceDN w:val="0"/>
              <w:adjustRightInd w:val="0"/>
              <w:jc w:val="center"/>
              <w:textAlignment w:val="baseline"/>
              <w:rPr>
                <w:color w:val="auto"/>
                <w:kern w:val="0"/>
                <w:sz w:val="26"/>
                <w:szCs w:val="26"/>
                <w:highlight w:val="none"/>
              </w:rPr>
            </w:pPr>
          </w:p>
          <w:p w14:paraId="2722D0A3">
            <w:pPr>
              <w:autoSpaceDE w:val="0"/>
              <w:autoSpaceDN w:val="0"/>
              <w:adjustRightInd w:val="0"/>
              <w:jc w:val="center"/>
              <w:textAlignment w:val="baseline"/>
              <w:rPr>
                <w:bCs/>
                <w:color w:val="auto"/>
                <w:kern w:val="0"/>
                <w:sz w:val="26"/>
                <w:szCs w:val="26"/>
                <w:highlight w:val="none"/>
              </w:rPr>
            </w:pPr>
            <w:r>
              <w:rPr>
                <w:rFonts w:hint="eastAsia"/>
                <w:bCs/>
                <w:color w:val="auto"/>
                <w:kern w:val="0"/>
                <w:sz w:val="26"/>
                <w:szCs w:val="26"/>
                <w:highlight w:val="none"/>
              </w:rPr>
              <w:t>表2.</w:t>
            </w:r>
            <w:r>
              <w:rPr>
                <w:bCs/>
                <w:color w:val="auto"/>
                <w:kern w:val="0"/>
                <w:sz w:val="26"/>
                <w:szCs w:val="26"/>
                <w:highlight w:val="none"/>
              </w:rPr>
              <w:t>6</w:t>
            </w:r>
            <w:r>
              <w:rPr>
                <w:rFonts w:hint="eastAsia"/>
                <w:bCs/>
                <w:color w:val="auto"/>
                <w:kern w:val="0"/>
                <w:sz w:val="26"/>
                <w:szCs w:val="26"/>
                <w:highlight w:val="none"/>
              </w:rPr>
              <w:t xml:space="preserve">-1 </w:t>
            </w:r>
            <w:r>
              <w:rPr>
                <w:bCs/>
                <w:color w:val="auto"/>
                <w:kern w:val="0"/>
                <w:sz w:val="26"/>
                <w:szCs w:val="26"/>
                <w:highlight w:val="none"/>
              </w:rPr>
              <w:t xml:space="preserve"> </w:t>
            </w:r>
            <w:r>
              <w:rPr>
                <w:rFonts w:hint="eastAsia"/>
                <w:bCs/>
                <w:color w:val="auto"/>
                <w:kern w:val="0"/>
                <w:sz w:val="26"/>
                <w:szCs w:val="26"/>
                <w:highlight w:val="none"/>
              </w:rPr>
              <w:t>本项目加工</w:t>
            </w:r>
            <w:r>
              <w:rPr>
                <w:bCs/>
                <w:color w:val="auto"/>
                <w:kern w:val="0"/>
                <w:sz w:val="26"/>
                <w:szCs w:val="26"/>
                <w:highlight w:val="none"/>
              </w:rPr>
              <w:t>主要原辅材料一览表</w:t>
            </w:r>
          </w:p>
          <w:tbl>
            <w:tblPr>
              <w:tblStyle w:val="16"/>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77"/>
              <w:gridCol w:w="401"/>
              <w:gridCol w:w="867"/>
              <w:gridCol w:w="1009"/>
              <w:gridCol w:w="1762"/>
              <w:gridCol w:w="1225"/>
              <w:gridCol w:w="1511"/>
            </w:tblGrid>
            <w:tr w14:paraId="6C98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7F61FB10">
                  <w:pPr>
                    <w:pStyle w:val="74"/>
                    <w:spacing w:before="0" w:beforeLines="0"/>
                    <w:rPr>
                      <w:rFonts w:eastAsia="宋体"/>
                      <w:color w:val="auto"/>
                      <w:sz w:val="22"/>
                      <w:szCs w:val="22"/>
                      <w:highlight w:val="none"/>
                    </w:rPr>
                  </w:pPr>
                  <w:r>
                    <w:rPr>
                      <w:rFonts w:eastAsia="宋体"/>
                      <w:color w:val="auto"/>
                      <w:sz w:val="22"/>
                      <w:szCs w:val="22"/>
                      <w:highlight w:val="none"/>
                    </w:rPr>
                    <w:t>序号</w:t>
                  </w:r>
                </w:p>
              </w:tc>
              <w:tc>
                <w:tcPr>
                  <w:tcW w:w="877" w:type="dxa"/>
                  <w:vAlign w:val="center"/>
                </w:tcPr>
                <w:p w14:paraId="76224A3F">
                  <w:pPr>
                    <w:pStyle w:val="74"/>
                    <w:spacing w:before="0" w:beforeLines="0"/>
                    <w:rPr>
                      <w:rFonts w:eastAsia="宋体"/>
                      <w:color w:val="auto"/>
                      <w:sz w:val="22"/>
                      <w:szCs w:val="22"/>
                      <w:highlight w:val="none"/>
                    </w:rPr>
                  </w:pPr>
                  <w:r>
                    <w:rPr>
                      <w:rFonts w:eastAsia="宋体"/>
                      <w:color w:val="auto"/>
                      <w:sz w:val="22"/>
                      <w:szCs w:val="22"/>
                      <w:highlight w:val="none"/>
                    </w:rPr>
                    <w:t>原辅材料</w:t>
                  </w:r>
                  <w:r>
                    <w:rPr>
                      <w:rFonts w:hint="eastAsia" w:eastAsia="宋体"/>
                      <w:color w:val="auto"/>
                      <w:sz w:val="22"/>
                      <w:szCs w:val="22"/>
                      <w:highlight w:val="none"/>
                    </w:rPr>
                    <w:t>名称</w:t>
                  </w:r>
                </w:p>
              </w:tc>
              <w:tc>
                <w:tcPr>
                  <w:tcW w:w="401" w:type="dxa"/>
                  <w:vAlign w:val="center"/>
                </w:tcPr>
                <w:p w14:paraId="217D140B">
                  <w:pPr>
                    <w:pStyle w:val="74"/>
                    <w:spacing w:before="0" w:beforeLines="0"/>
                    <w:rPr>
                      <w:rFonts w:eastAsia="宋体"/>
                      <w:color w:val="auto"/>
                      <w:sz w:val="22"/>
                      <w:szCs w:val="22"/>
                      <w:highlight w:val="none"/>
                    </w:rPr>
                  </w:pPr>
                  <w:r>
                    <w:rPr>
                      <w:rFonts w:eastAsia="宋体"/>
                      <w:color w:val="auto"/>
                      <w:sz w:val="22"/>
                      <w:szCs w:val="22"/>
                      <w:highlight w:val="none"/>
                    </w:rPr>
                    <w:t>单位</w:t>
                  </w:r>
                </w:p>
              </w:tc>
              <w:tc>
                <w:tcPr>
                  <w:tcW w:w="867" w:type="dxa"/>
                  <w:vAlign w:val="center"/>
                </w:tcPr>
                <w:p w14:paraId="4D85E993">
                  <w:pPr>
                    <w:pStyle w:val="74"/>
                    <w:spacing w:before="0" w:beforeLines="0"/>
                    <w:rPr>
                      <w:rFonts w:eastAsia="宋体"/>
                      <w:color w:val="auto"/>
                      <w:sz w:val="22"/>
                      <w:szCs w:val="22"/>
                      <w:highlight w:val="none"/>
                    </w:rPr>
                  </w:pPr>
                  <w:r>
                    <w:rPr>
                      <w:rFonts w:eastAsia="宋体"/>
                      <w:color w:val="auto"/>
                      <w:sz w:val="22"/>
                      <w:szCs w:val="22"/>
                      <w:highlight w:val="none"/>
                    </w:rPr>
                    <w:t>年消耗</w:t>
                  </w:r>
                  <w:r>
                    <w:rPr>
                      <w:rFonts w:hint="eastAsia" w:eastAsia="宋体"/>
                      <w:color w:val="auto"/>
                      <w:sz w:val="22"/>
                      <w:szCs w:val="22"/>
                      <w:highlight w:val="none"/>
                    </w:rPr>
                    <w:t>（t）</w:t>
                  </w:r>
                </w:p>
              </w:tc>
              <w:tc>
                <w:tcPr>
                  <w:tcW w:w="1009" w:type="dxa"/>
                  <w:vAlign w:val="center"/>
                </w:tcPr>
                <w:p w14:paraId="1C8827C6">
                  <w:pPr>
                    <w:pStyle w:val="74"/>
                    <w:spacing w:before="0" w:beforeLines="0"/>
                    <w:rPr>
                      <w:rFonts w:eastAsia="宋体"/>
                      <w:color w:val="auto"/>
                      <w:sz w:val="22"/>
                      <w:szCs w:val="22"/>
                      <w:highlight w:val="none"/>
                    </w:rPr>
                  </w:pPr>
                  <w:r>
                    <w:rPr>
                      <w:rFonts w:eastAsia="宋体"/>
                      <w:color w:val="auto"/>
                      <w:sz w:val="22"/>
                      <w:szCs w:val="22"/>
                      <w:highlight w:val="none"/>
                    </w:rPr>
                    <w:t>最大暂存量</w:t>
                  </w:r>
                  <w:r>
                    <w:rPr>
                      <w:rFonts w:hint="eastAsia" w:eastAsia="宋体"/>
                      <w:color w:val="auto"/>
                      <w:sz w:val="22"/>
                      <w:szCs w:val="22"/>
                      <w:highlight w:val="none"/>
                    </w:rPr>
                    <w:t>（t）</w:t>
                  </w:r>
                </w:p>
              </w:tc>
              <w:tc>
                <w:tcPr>
                  <w:tcW w:w="1762" w:type="dxa"/>
                  <w:vAlign w:val="center"/>
                </w:tcPr>
                <w:p w14:paraId="6B92011F">
                  <w:pPr>
                    <w:pStyle w:val="74"/>
                    <w:spacing w:before="0" w:beforeLines="0"/>
                    <w:rPr>
                      <w:rFonts w:eastAsia="宋体"/>
                      <w:color w:val="auto"/>
                      <w:sz w:val="22"/>
                      <w:szCs w:val="22"/>
                      <w:highlight w:val="none"/>
                    </w:rPr>
                  </w:pPr>
                  <w:r>
                    <w:rPr>
                      <w:rFonts w:hint="eastAsia" w:eastAsia="宋体"/>
                      <w:color w:val="auto"/>
                      <w:sz w:val="22"/>
                      <w:szCs w:val="22"/>
                      <w:highlight w:val="none"/>
                    </w:rPr>
                    <w:t>包装规格、存储方式</w:t>
                  </w:r>
                </w:p>
              </w:tc>
              <w:tc>
                <w:tcPr>
                  <w:tcW w:w="1225" w:type="dxa"/>
                  <w:vAlign w:val="center"/>
                </w:tcPr>
                <w:p w14:paraId="066EA0F5">
                  <w:pPr>
                    <w:pStyle w:val="74"/>
                    <w:spacing w:before="0" w:beforeLines="0"/>
                    <w:rPr>
                      <w:rFonts w:eastAsia="宋体"/>
                      <w:color w:val="auto"/>
                      <w:sz w:val="22"/>
                      <w:szCs w:val="22"/>
                      <w:highlight w:val="none"/>
                    </w:rPr>
                  </w:pPr>
                  <w:r>
                    <w:rPr>
                      <w:rFonts w:eastAsia="宋体"/>
                      <w:color w:val="auto"/>
                      <w:sz w:val="22"/>
                      <w:szCs w:val="22"/>
                      <w:highlight w:val="none"/>
                    </w:rPr>
                    <w:t>存放位置</w:t>
                  </w:r>
                </w:p>
              </w:tc>
              <w:tc>
                <w:tcPr>
                  <w:tcW w:w="1511" w:type="dxa"/>
                  <w:vAlign w:val="center"/>
                </w:tcPr>
                <w:p w14:paraId="6723E393">
                  <w:pPr>
                    <w:pStyle w:val="74"/>
                    <w:spacing w:before="0" w:beforeLines="0"/>
                    <w:rPr>
                      <w:rFonts w:eastAsia="宋体"/>
                      <w:color w:val="auto"/>
                      <w:sz w:val="22"/>
                      <w:szCs w:val="22"/>
                      <w:highlight w:val="none"/>
                    </w:rPr>
                  </w:pPr>
                  <w:r>
                    <w:rPr>
                      <w:rFonts w:hint="eastAsia" w:eastAsia="宋体"/>
                      <w:color w:val="auto"/>
                      <w:sz w:val="22"/>
                      <w:szCs w:val="22"/>
                      <w:highlight w:val="none"/>
                    </w:rPr>
                    <w:t>备注</w:t>
                  </w:r>
                </w:p>
              </w:tc>
            </w:tr>
            <w:tr w14:paraId="21E38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5EC938EC">
                  <w:pPr>
                    <w:pStyle w:val="74"/>
                    <w:numPr>
                      <w:ilvl w:val="0"/>
                      <w:numId w:val="9"/>
                    </w:numPr>
                    <w:spacing w:before="0" w:beforeLines="0"/>
                    <w:rPr>
                      <w:rFonts w:eastAsia="宋体"/>
                      <w:color w:val="auto"/>
                      <w:sz w:val="22"/>
                      <w:szCs w:val="22"/>
                      <w:highlight w:val="none"/>
                    </w:rPr>
                  </w:pPr>
                </w:p>
              </w:tc>
              <w:tc>
                <w:tcPr>
                  <w:tcW w:w="877" w:type="dxa"/>
                  <w:vAlign w:val="center"/>
                </w:tcPr>
                <w:p w14:paraId="4A55589F">
                  <w:pPr>
                    <w:pStyle w:val="74"/>
                    <w:spacing w:before="0" w:beforeLines="0"/>
                    <w:rPr>
                      <w:rFonts w:eastAsia="宋体"/>
                      <w:color w:val="auto"/>
                      <w:sz w:val="22"/>
                      <w:szCs w:val="22"/>
                      <w:highlight w:val="none"/>
                    </w:rPr>
                  </w:pPr>
                  <w:r>
                    <w:rPr>
                      <w:rFonts w:hint="eastAsia" w:eastAsia="宋体"/>
                      <w:color w:val="auto"/>
                      <w:sz w:val="22"/>
                      <w:szCs w:val="22"/>
                      <w:highlight w:val="none"/>
                    </w:rPr>
                    <w:t>钢板、钢卷</w:t>
                  </w:r>
                </w:p>
              </w:tc>
              <w:tc>
                <w:tcPr>
                  <w:tcW w:w="401" w:type="dxa"/>
                  <w:vAlign w:val="center"/>
                </w:tcPr>
                <w:p w14:paraId="3F89C849">
                  <w:pPr>
                    <w:pStyle w:val="74"/>
                    <w:spacing w:before="0" w:beforeLines="0"/>
                    <w:rPr>
                      <w:rFonts w:eastAsia="宋体"/>
                      <w:color w:val="auto"/>
                      <w:sz w:val="22"/>
                      <w:szCs w:val="22"/>
                      <w:highlight w:val="none"/>
                    </w:rPr>
                  </w:pPr>
                  <w:r>
                    <w:rPr>
                      <w:rFonts w:eastAsia="宋体"/>
                      <w:color w:val="auto"/>
                      <w:sz w:val="22"/>
                      <w:szCs w:val="22"/>
                      <w:highlight w:val="none"/>
                    </w:rPr>
                    <w:t>吨</w:t>
                  </w:r>
                </w:p>
              </w:tc>
              <w:tc>
                <w:tcPr>
                  <w:tcW w:w="867" w:type="dxa"/>
                  <w:vAlign w:val="center"/>
                </w:tcPr>
                <w:p w14:paraId="0021DED6">
                  <w:pPr>
                    <w:pStyle w:val="74"/>
                    <w:spacing w:before="0" w:beforeLines="0"/>
                    <w:rPr>
                      <w:rFonts w:eastAsia="宋体"/>
                      <w:color w:val="auto"/>
                      <w:sz w:val="22"/>
                      <w:szCs w:val="22"/>
                      <w:highlight w:val="none"/>
                    </w:rPr>
                  </w:pPr>
                  <w:r>
                    <w:rPr>
                      <w:rFonts w:hint="eastAsia" w:eastAsia="宋体"/>
                      <w:color w:val="auto"/>
                      <w:sz w:val="22"/>
                      <w:szCs w:val="22"/>
                      <w:highlight w:val="none"/>
                    </w:rPr>
                    <w:t>34090</w:t>
                  </w:r>
                </w:p>
              </w:tc>
              <w:tc>
                <w:tcPr>
                  <w:tcW w:w="1009" w:type="dxa"/>
                  <w:vAlign w:val="center"/>
                </w:tcPr>
                <w:p w14:paraId="6D40A31E">
                  <w:pPr>
                    <w:pStyle w:val="74"/>
                    <w:spacing w:before="0" w:beforeLines="0"/>
                    <w:rPr>
                      <w:rFonts w:eastAsia="宋体"/>
                      <w:color w:val="auto"/>
                      <w:sz w:val="22"/>
                      <w:szCs w:val="22"/>
                      <w:highlight w:val="none"/>
                    </w:rPr>
                  </w:pPr>
                  <w:r>
                    <w:rPr>
                      <w:rFonts w:hint="eastAsia" w:eastAsia="宋体"/>
                      <w:color w:val="auto"/>
                      <w:sz w:val="22"/>
                      <w:szCs w:val="22"/>
                      <w:highlight w:val="none"/>
                    </w:rPr>
                    <w:t>3500</w:t>
                  </w:r>
                </w:p>
              </w:tc>
              <w:tc>
                <w:tcPr>
                  <w:tcW w:w="1762" w:type="dxa"/>
                  <w:vAlign w:val="center"/>
                </w:tcPr>
                <w:p w14:paraId="30706D89">
                  <w:pPr>
                    <w:pStyle w:val="74"/>
                    <w:spacing w:before="0" w:beforeLines="0"/>
                    <w:rPr>
                      <w:rFonts w:eastAsia="宋体"/>
                      <w:color w:val="auto"/>
                      <w:sz w:val="22"/>
                      <w:szCs w:val="22"/>
                      <w:highlight w:val="none"/>
                    </w:rPr>
                  </w:pPr>
                  <w:r>
                    <w:rPr>
                      <w:rFonts w:hint="eastAsia" w:eastAsia="宋体"/>
                      <w:color w:val="auto"/>
                      <w:sz w:val="22"/>
                      <w:szCs w:val="22"/>
                      <w:highlight w:val="none"/>
                    </w:rPr>
                    <w:t>捆装</w:t>
                  </w:r>
                </w:p>
              </w:tc>
              <w:tc>
                <w:tcPr>
                  <w:tcW w:w="1225" w:type="dxa"/>
                  <w:vAlign w:val="center"/>
                </w:tcPr>
                <w:p w14:paraId="0224D068">
                  <w:pPr>
                    <w:pStyle w:val="74"/>
                    <w:spacing w:before="0" w:beforeLines="0"/>
                    <w:rPr>
                      <w:rFonts w:eastAsia="宋体"/>
                      <w:color w:val="auto"/>
                      <w:sz w:val="22"/>
                      <w:szCs w:val="22"/>
                      <w:highlight w:val="none"/>
                    </w:rPr>
                  </w:pPr>
                  <w:r>
                    <w:rPr>
                      <w:rFonts w:hint="eastAsia" w:eastAsia="宋体"/>
                      <w:color w:val="auto"/>
                      <w:sz w:val="22"/>
                      <w:szCs w:val="22"/>
                      <w:highlight w:val="none"/>
                    </w:rPr>
                    <w:t>原料区</w:t>
                  </w:r>
                </w:p>
              </w:tc>
              <w:tc>
                <w:tcPr>
                  <w:tcW w:w="1511" w:type="dxa"/>
                  <w:vAlign w:val="center"/>
                </w:tcPr>
                <w:p w14:paraId="6AD3AD73">
                  <w:pPr>
                    <w:pStyle w:val="74"/>
                    <w:spacing w:before="0" w:beforeLines="0"/>
                    <w:rPr>
                      <w:rFonts w:eastAsia="宋体"/>
                      <w:color w:val="auto"/>
                      <w:sz w:val="22"/>
                      <w:szCs w:val="22"/>
                      <w:highlight w:val="none"/>
                    </w:rPr>
                  </w:pPr>
                  <w:r>
                    <w:rPr>
                      <w:rFonts w:hint="eastAsia" w:eastAsia="宋体"/>
                      <w:color w:val="auto"/>
                      <w:sz w:val="22"/>
                      <w:szCs w:val="22"/>
                      <w:highlight w:val="none"/>
                    </w:rPr>
                    <w:t>产品原料</w:t>
                  </w:r>
                </w:p>
              </w:tc>
            </w:tr>
            <w:tr w14:paraId="34C8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701C4936">
                  <w:pPr>
                    <w:pStyle w:val="74"/>
                    <w:numPr>
                      <w:ilvl w:val="0"/>
                      <w:numId w:val="9"/>
                    </w:numPr>
                    <w:spacing w:before="0" w:beforeLines="0"/>
                    <w:rPr>
                      <w:rFonts w:eastAsia="宋体"/>
                      <w:color w:val="auto"/>
                      <w:sz w:val="22"/>
                      <w:szCs w:val="22"/>
                      <w:highlight w:val="none"/>
                    </w:rPr>
                  </w:pPr>
                </w:p>
              </w:tc>
              <w:tc>
                <w:tcPr>
                  <w:tcW w:w="877" w:type="dxa"/>
                  <w:vAlign w:val="center"/>
                </w:tcPr>
                <w:p w14:paraId="3E5C42AF">
                  <w:pPr>
                    <w:pStyle w:val="74"/>
                    <w:spacing w:before="0" w:beforeLines="0"/>
                    <w:rPr>
                      <w:rFonts w:eastAsia="宋体"/>
                      <w:color w:val="auto"/>
                      <w:sz w:val="22"/>
                      <w:szCs w:val="22"/>
                      <w:highlight w:val="none"/>
                    </w:rPr>
                  </w:pPr>
                  <w:r>
                    <w:rPr>
                      <w:rFonts w:hint="eastAsia" w:eastAsia="宋体"/>
                      <w:color w:val="auto"/>
                      <w:sz w:val="22"/>
                      <w:szCs w:val="22"/>
                      <w:highlight w:val="none"/>
                    </w:rPr>
                    <w:t>液压油</w:t>
                  </w:r>
                </w:p>
              </w:tc>
              <w:tc>
                <w:tcPr>
                  <w:tcW w:w="401" w:type="dxa"/>
                  <w:vAlign w:val="center"/>
                </w:tcPr>
                <w:p w14:paraId="5F9FD89C">
                  <w:pPr>
                    <w:pStyle w:val="74"/>
                    <w:spacing w:before="0" w:beforeLines="0"/>
                    <w:rPr>
                      <w:rFonts w:eastAsia="宋体"/>
                      <w:color w:val="auto"/>
                      <w:sz w:val="22"/>
                      <w:szCs w:val="22"/>
                      <w:highlight w:val="none"/>
                    </w:rPr>
                  </w:pPr>
                  <w:r>
                    <w:rPr>
                      <w:rFonts w:hint="eastAsia" w:eastAsia="宋体"/>
                      <w:color w:val="auto"/>
                      <w:sz w:val="22"/>
                      <w:szCs w:val="22"/>
                      <w:highlight w:val="none"/>
                    </w:rPr>
                    <w:t>吨</w:t>
                  </w:r>
                </w:p>
              </w:tc>
              <w:tc>
                <w:tcPr>
                  <w:tcW w:w="867" w:type="dxa"/>
                  <w:vAlign w:val="center"/>
                </w:tcPr>
                <w:p w14:paraId="0DEB514A">
                  <w:pPr>
                    <w:pStyle w:val="74"/>
                    <w:spacing w:before="0" w:beforeLines="0"/>
                    <w:rPr>
                      <w:rFonts w:eastAsia="宋体"/>
                      <w:color w:val="auto"/>
                      <w:sz w:val="22"/>
                      <w:szCs w:val="22"/>
                      <w:highlight w:val="none"/>
                    </w:rPr>
                  </w:pPr>
                  <w:r>
                    <w:rPr>
                      <w:rFonts w:hint="eastAsia" w:eastAsia="宋体"/>
                      <w:color w:val="auto"/>
                      <w:sz w:val="22"/>
                      <w:szCs w:val="22"/>
                      <w:highlight w:val="none"/>
                    </w:rPr>
                    <w:t>17</w:t>
                  </w:r>
                </w:p>
              </w:tc>
              <w:tc>
                <w:tcPr>
                  <w:tcW w:w="1009" w:type="dxa"/>
                  <w:vAlign w:val="center"/>
                </w:tcPr>
                <w:p w14:paraId="5ED400B3">
                  <w:pPr>
                    <w:pStyle w:val="74"/>
                    <w:spacing w:before="0" w:beforeLines="0"/>
                    <w:rPr>
                      <w:rFonts w:eastAsia="宋体"/>
                      <w:color w:val="auto"/>
                      <w:sz w:val="22"/>
                      <w:szCs w:val="22"/>
                      <w:highlight w:val="none"/>
                    </w:rPr>
                  </w:pPr>
                  <w:r>
                    <w:rPr>
                      <w:rFonts w:hint="eastAsia" w:eastAsia="宋体"/>
                      <w:color w:val="auto"/>
                      <w:sz w:val="22"/>
                      <w:szCs w:val="22"/>
                      <w:highlight w:val="none"/>
                    </w:rPr>
                    <w:t>0.85</w:t>
                  </w:r>
                </w:p>
              </w:tc>
              <w:tc>
                <w:tcPr>
                  <w:tcW w:w="1762" w:type="dxa"/>
                  <w:vAlign w:val="center"/>
                </w:tcPr>
                <w:p w14:paraId="0CE6FEAD">
                  <w:pPr>
                    <w:pStyle w:val="74"/>
                    <w:spacing w:before="0" w:beforeLines="0"/>
                    <w:rPr>
                      <w:rFonts w:eastAsia="宋体"/>
                      <w:color w:val="auto"/>
                      <w:sz w:val="22"/>
                      <w:szCs w:val="22"/>
                      <w:highlight w:val="none"/>
                    </w:rPr>
                  </w:pPr>
                  <w:r>
                    <w:rPr>
                      <w:rFonts w:hint="eastAsia" w:eastAsia="宋体"/>
                      <w:color w:val="auto"/>
                      <w:sz w:val="22"/>
                      <w:szCs w:val="22"/>
                      <w:highlight w:val="none"/>
                    </w:rPr>
                    <w:t>桶装、单桶170kg</w:t>
                  </w:r>
                </w:p>
              </w:tc>
              <w:tc>
                <w:tcPr>
                  <w:tcW w:w="1225" w:type="dxa"/>
                  <w:vAlign w:val="center"/>
                </w:tcPr>
                <w:p w14:paraId="2324238E">
                  <w:pPr>
                    <w:pStyle w:val="71"/>
                    <w:jc w:val="center"/>
                    <w:textAlignment w:val="center"/>
                    <w:rPr>
                      <w:rFonts w:hint="default" w:eastAsia="宋体"/>
                      <w:color w:val="auto"/>
                      <w:sz w:val="22"/>
                      <w:szCs w:val="22"/>
                      <w:highlight w:val="none"/>
                      <w:lang w:val="en-US" w:eastAsia="zh-CN"/>
                    </w:rPr>
                  </w:pPr>
                  <w:r>
                    <w:rPr>
                      <w:rFonts w:hint="eastAsia"/>
                      <w:color w:val="auto"/>
                      <w:sz w:val="22"/>
                      <w:szCs w:val="22"/>
                      <w:highlight w:val="none"/>
                    </w:rPr>
                    <w:t>油料库</w:t>
                  </w:r>
                  <w:r>
                    <w:rPr>
                      <w:rFonts w:hint="eastAsia"/>
                      <w:color w:val="auto"/>
                      <w:sz w:val="22"/>
                      <w:szCs w:val="22"/>
                      <w:highlight w:val="none"/>
                      <w:lang w:eastAsia="zh-CN"/>
                    </w:rPr>
                    <w:t>、设备在线量</w:t>
                  </w:r>
                </w:p>
              </w:tc>
              <w:tc>
                <w:tcPr>
                  <w:tcW w:w="1511" w:type="dxa"/>
                  <w:vAlign w:val="center"/>
                </w:tcPr>
                <w:p w14:paraId="507093B4">
                  <w:pPr>
                    <w:pStyle w:val="71"/>
                    <w:jc w:val="center"/>
                    <w:textAlignment w:val="center"/>
                    <w:rPr>
                      <w:color w:val="auto"/>
                      <w:sz w:val="22"/>
                      <w:szCs w:val="22"/>
                      <w:highlight w:val="none"/>
                    </w:rPr>
                  </w:pPr>
                  <w:r>
                    <w:rPr>
                      <w:rFonts w:hint="eastAsia"/>
                      <w:color w:val="auto"/>
                      <w:sz w:val="22"/>
                      <w:szCs w:val="22"/>
                      <w:highlight w:val="none"/>
                    </w:rPr>
                    <w:t>油压</w:t>
                  </w:r>
                </w:p>
              </w:tc>
            </w:tr>
            <w:tr w14:paraId="74FF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4B12B1F0">
                  <w:pPr>
                    <w:pStyle w:val="74"/>
                    <w:numPr>
                      <w:ilvl w:val="0"/>
                      <w:numId w:val="9"/>
                    </w:numPr>
                    <w:spacing w:before="0" w:beforeLines="0"/>
                    <w:rPr>
                      <w:rFonts w:eastAsia="宋体"/>
                      <w:color w:val="auto"/>
                      <w:sz w:val="22"/>
                      <w:szCs w:val="22"/>
                      <w:highlight w:val="none"/>
                    </w:rPr>
                  </w:pPr>
                </w:p>
              </w:tc>
              <w:tc>
                <w:tcPr>
                  <w:tcW w:w="877" w:type="dxa"/>
                  <w:vAlign w:val="center"/>
                </w:tcPr>
                <w:p w14:paraId="082CF2E5">
                  <w:pPr>
                    <w:pStyle w:val="74"/>
                    <w:spacing w:before="0" w:beforeLines="0"/>
                    <w:rPr>
                      <w:rFonts w:eastAsia="宋体"/>
                      <w:color w:val="auto"/>
                      <w:sz w:val="22"/>
                      <w:szCs w:val="22"/>
                      <w:highlight w:val="none"/>
                    </w:rPr>
                  </w:pPr>
                  <w:r>
                    <w:rPr>
                      <w:rFonts w:eastAsia="宋体"/>
                      <w:color w:val="auto"/>
                      <w:sz w:val="22"/>
                      <w:szCs w:val="22"/>
                      <w:highlight w:val="none"/>
                    </w:rPr>
                    <w:t>润滑油</w:t>
                  </w:r>
                </w:p>
              </w:tc>
              <w:tc>
                <w:tcPr>
                  <w:tcW w:w="401" w:type="dxa"/>
                  <w:vAlign w:val="center"/>
                </w:tcPr>
                <w:p w14:paraId="54B72796">
                  <w:pPr>
                    <w:pStyle w:val="74"/>
                    <w:spacing w:before="0" w:beforeLines="0"/>
                    <w:rPr>
                      <w:rFonts w:eastAsia="宋体"/>
                      <w:color w:val="auto"/>
                      <w:sz w:val="22"/>
                      <w:szCs w:val="22"/>
                      <w:highlight w:val="none"/>
                    </w:rPr>
                  </w:pPr>
                  <w:r>
                    <w:rPr>
                      <w:rFonts w:eastAsia="宋体"/>
                      <w:color w:val="auto"/>
                      <w:sz w:val="22"/>
                      <w:szCs w:val="22"/>
                      <w:highlight w:val="none"/>
                    </w:rPr>
                    <w:t>吨</w:t>
                  </w:r>
                </w:p>
              </w:tc>
              <w:tc>
                <w:tcPr>
                  <w:tcW w:w="867" w:type="dxa"/>
                  <w:vAlign w:val="center"/>
                </w:tcPr>
                <w:p w14:paraId="413E165B">
                  <w:pPr>
                    <w:pStyle w:val="74"/>
                    <w:spacing w:before="0" w:beforeLines="0"/>
                    <w:rPr>
                      <w:rFonts w:eastAsia="宋体"/>
                      <w:color w:val="auto"/>
                      <w:sz w:val="22"/>
                      <w:szCs w:val="22"/>
                      <w:highlight w:val="none"/>
                    </w:rPr>
                  </w:pPr>
                  <w:r>
                    <w:rPr>
                      <w:rFonts w:hint="eastAsia" w:eastAsia="宋体"/>
                      <w:color w:val="auto"/>
                      <w:sz w:val="22"/>
                      <w:szCs w:val="22"/>
                      <w:highlight w:val="none"/>
                    </w:rPr>
                    <w:t>0.5</w:t>
                  </w:r>
                </w:p>
              </w:tc>
              <w:tc>
                <w:tcPr>
                  <w:tcW w:w="1009" w:type="dxa"/>
                  <w:vAlign w:val="center"/>
                </w:tcPr>
                <w:p w14:paraId="12DF51A8">
                  <w:pPr>
                    <w:pStyle w:val="74"/>
                    <w:spacing w:before="0" w:beforeLines="0"/>
                    <w:rPr>
                      <w:rFonts w:eastAsia="宋体"/>
                      <w:color w:val="auto"/>
                      <w:sz w:val="22"/>
                      <w:szCs w:val="22"/>
                      <w:highlight w:val="none"/>
                    </w:rPr>
                  </w:pPr>
                  <w:r>
                    <w:rPr>
                      <w:rFonts w:hint="eastAsia" w:eastAsia="宋体"/>
                      <w:color w:val="auto"/>
                      <w:sz w:val="22"/>
                      <w:szCs w:val="22"/>
                      <w:highlight w:val="none"/>
                    </w:rPr>
                    <w:t>0.03</w:t>
                  </w:r>
                </w:p>
              </w:tc>
              <w:tc>
                <w:tcPr>
                  <w:tcW w:w="1762" w:type="dxa"/>
                  <w:vAlign w:val="center"/>
                </w:tcPr>
                <w:p w14:paraId="64227EB9">
                  <w:pPr>
                    <w:pStyle w:val="74"/>
                    <w:spacing w:before="0" w:beforeLines="0"/>
                    <w:rPr>
                      <w:rFonts w:eastAsia="宋体"/>
                      <w:color w:val="auto"/>
                      <w:sz w:val="22"/>
                      <w:szCs w:val="22"/>
                      <w:highlight w:val="none"/>
                    </w:rPr>
                  </w:pPr>
                  <w:r>
                    <w:rPr>
                      <w:rFonts w:hint="eastAsia" w:eastAsia="宋体"/>
                      <w:color w:val="auto"/>
                      <w:sz w:val="22"/>
                      <w:szCs w:val="22"/>
                      <w:highlight w:val="none"/>
                    </w:rPr>
                    <w:t>桶装、单桶15kg</w:t>
                  </w:r>
                </w:p>
              </w:tc>
              <w:tc>
                <w:tcPr>
                  <w:tcW w:w="1225" w:type="dxa"/>
                  <w:vAlign w:val="center"/>
                </w:tcPr>
                <w:p w14:paraId="35D0FFF2">
                  <w:pPr>
                    <w:pStyle w:val="71"/>
                    <w:jc w:val="center"/>
                    <w:textAlignment w:val="center"/>
                    <w:rPr>
                      <w:color w:val="auto"/>
                      <w:sz w:val="22"/>
                      <w:szCs w:val="22"/>
                      <w:highlight w:val="none"/>
                    </w:rPr>
                  </w:pPr>
                  <w:r>
                    <w:rPr>
                      <w:rFonts w:hint="eastAsia"/>
                      <w:color w:val="auto"/>
                      <w:sz w:val="22"/>
                      <w:szCs w:val="22"/>
                      <w:highlight w:val="none"/>
                    </w:rPr>
                    <w:t>油料库</w:t>
                  </w:r>
                </w:p>
              </w:tc>
              <w:tc>
                <w:tcPr>
                  <w:tcW w:w="1511" w:type="dxa"/>
                  <w:vAlign w:val="center"/>
                </w:tcPr>
                <w:p w14:paraId="0AA61815">
                  <w:pPr>
                    <w:pStyle w:val="71"/>
                    <w:jc w:val="center"/>
                    <w:textAlignment w:val="center"/>
                    <w:rPr>
                      <w:rFonts w:hint="eastAsia" w:eastAsia="宋体"/>
                      <w:color w:val="auto"/>
                      <w:sz w:val="22"/>
                      <w:szCs w:val="22"/>
                      <w:highlight w:val="none"/>
                      <w:lang w:eastAsia="zh-CN"/>
                    </w:rPr>
                  </w:pPr>
                  <w:r>
                    <w:rPr>
                      <w:rFonts w:hint="eastAsia"/>
                      <w:color w:val="auto"/>
                      <w:sz w:val="22"/>
                      <w:szCs w:val="22"/>
                      <w:highlight w:val="none"/>
                    </w:rPr>
                    <w:t>设备润滑</w:t>
                  </w:r>
                  <w:r>
                    <w:rPr>
                      <w:rFonts w:hint="eastAsia"/>
                      <w:color w:val="auto"/>
                      <w:sz w:val="22"/>
                      <w:szCs w:val="22"/>
                      <w:highlight w:val="none"/>
                      <w:lang w:eastAsia="zh-CN"/>
                    </w:rPr>
                    <w:t>、空压机</w:t>
                  </w:r>
                </w:p>
              </w:tc>
            </w:tr>
            <w:tr w14:paraId="26D7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4708F2EE">
                  <w:pPr>
                    <w:pStyle w:val="74"/>
                    <w:numPr>
                      <w:ilvl w:val="0"/>
                      <w:numId w:val="9"/>
                    </w:numPr>
                    <w:spacing w:before="0" w:beforeLines="0"/>
                    <w:rPr>
                      <w:rFonts w:eastAsia="宋体"/>
                      <w:color w:val="auto"/>
                      <w:sz w:val="22"/>
                      <w:szCs w:val="22"/>
                      <w:highlight w:val="none"/>
                    </w:rPr>
                  </w:pPr>
                </w:p>
              </w:tc>
              <w:tc>
                <w:tcPr>
                  <w:tcW w:w="877" w:type="dxa"/>
                  <w:vAlign w:val="center"/>
                </w:tcPr>
                <w:p w14:paraId="39813B44">
                  <w:pPr>
                    <w:pStyle w:val="74"/>
                    <w:spacing w:before="0" w:beforeLines="0"/>
                    <w:rPr>
                      <w:rFonts w:eastAsia="宋体"/>
                      <w:color w:val="auto"/>
                      <w:sz w:val="22"/>
                      <w:szCs w:val="22"/>
                      <w:highlight w:val="none"/>
                    </w:rPr>
                  </w:pPr>
                  <w:r>
                    <w:rPr>
                      <w:rFonts w:hint="eastAsia" w:eastAsia="宋体"/>
                      <w:color w:val="auto"/>
                      <w:sz w:val="22"/>
                      <w:szCs w:val="22"/>
                      <w:highlight w:val="none"/>
                    </w:rPr>
                    <w:t>折边胶</w:t>
                  </w:r>
                </w:p>
              </w:tc>
              <w:tc>
                <w:tcPr>
                  <w:tcW w:w="401" w:type="dxa"/>
                  <w:vAlign w:val="center"/>
                </w:tcPr>
                <w:p w14:paraId="651DD5DC">
                  <w:pPr>
                    <w:pStyle w:val="74"/>
                    <w:spacing w:before="0" w:beforeLines="0"/>
                    <w:rPr>
                      <w:rFonts w:eastAsia="宋体"/>
                      <w:color w:val="auto"/>
                      <w:sz w:val="22"/>
                      <w:szCs w:val="22"/>
                      <w:highlight w:val="none"/>
                    </w:rPr>
                  </w:pPr>
                  <w:r>
                    <w:rPr>
                      <w:rFonts w:hint="eastAsia" w:eastAsia="宋体"/>
                      <w:color w:val="auto"/>
                      <w:sz w:val="22"/>
                      <w:szCs w:val="22"/>
                      <w:highlight w:val="none"/>
                    </w:rPr>
                    <w:t>吨</w:t>
                  </w:r>
                </w:p>
              </w:tc>
              <w:tc>
                <w:tcPr>
                  <w:tcW w:w="867" w:type="dxa"/>
                  <w:vAlign w:val="center"/>
                </w:tcPr>
                <w:p w14:paraId="3ABF68E5">
                  <w:pPr>
                    <w:pStyle w:val="74"/>
                    <w:spacing w:before="0" w:beforeLines="0"/>
                    <w:rPr>
                      <w:rFonts w:eastAsia="宋体"/>
                      <w:color w:val="auto"/>
                      <w:sz w:val="22"/>
                      <w:szCs w:val="22"/>
                      <w:highlight w:val="none"/>
                    </w:rPr>
                  </w:pPr>
                  <w:r>
                    <w:rPr>
                      <w:rFonts w:hint="eastAsia" w:eastAsia="宋体"/>
                      <w:color w:val="auto"/>
                      <w:sz w:val="22"/>
                      <w:szCs w:val="22"/>
                      <w:highlight w:val="none"/>
                    </w:rPr>
                    <w:t>0.3</w:t>
                  </w:r>
                </w:p>
              </w:tc>
              <w:tc>
                <w:tcPr>
                  <w:tcW w:w="1009" w:type="dxa"/>
                  <w:vAlign w:val="center"/>
                </w:tcPr>
                <w:p w14:paraId="3CE706F1">
                  <w:pPr>
                    <w:pStyle w:val="74"/>
                    <w:spacing w:before="0" w:beforeLines="0"/>
                    <w:rPr>
                      <w:rFonts w:eastAsia="宋体"/>
                      <w:color w:val="auto"/>
                      <w:sz w:val="22"/>
                      <w:szCs w:val="22"/>
                      <w:highlight w:val="none"/>
                    </w:rPr>
                  </w:pPr>
                  <w:r>
                    <w:rPr>
                      <w:rFonts w:hint="eastAsia" w:eastAsia="宋体"/>
                      <w:color w:val="auto"/>
                      <w:sz w:val="22"/>
                      <w:szCs w:val="22"/>
                      <w:highlight w:val="none"/>
                    </w:rPr>
                    <w:t>0.06</w:t>
                  </w:r>
                </w:p>
              </w:tc>
              <w:tc>
                <w:tcPr>
                  <w:tcW w:w="1762" w:type="dxa"/>
                  <w:vAlign w:val="center"/>
                </w:tcPr>
                <w:p w14:paraId="3106FE0E">
                  <w:pPr>
                    <w:pStyle w:val="74"/>
                    <w:spacing w:before="0" w:beforeLines="0"/>
                    <w:rPr>
                      <w:rFonts w:eastAsia="宋体"/>
                      <w:color w:val="auto"/>
                      <w:sz w:val="22"/>
                      <w:szCs w:val="22"/>
                      <w:highlight w:val="none"/>
                    </w:rPr>
                  </w:pPr>
                  <w:r>
                    <w:rPr>
                      <w:rFonts w:hint="eastAsia" w:eastAsia="宋体"/>
                      <w:color w:val="auto"/>
                      <w:sz w:val="22"/>
                      <w:szCs w:val="22"/>
                      <w:highlight w:val="none"/>
                    </w:rPr>
                    <w:t>桶装、单桶30kg</w:t>
                  </w:r>
                </w:p>
              </w:tc>
              <w:tc>
                <w:tcPr>
                  <w:tcW w:w="1225" w:type="dxa"/>
                  <w:vAlign w:val="center"/>
                </w:tcPr>
                <w:p w14:paraId="464CDEC2">
                  <w:pPr>
                    <w:pStyle w:val="71"/>
                    <w:jc w:val="center"/>
                    <w:textAlignment w:val="center"/>
                    <w:rPr>
                      <w:color w:val="auto"/>
                      <w:sz w:val="22"/>
                      <w:szCs w:val="22"/>
                      <w:highlight w:val="none"/>
                    </w:rPr>
                  </w:pPr>
                  <w:r>
                    <w:rPr>
                      <w:rFonts w:hint="eastAsia"/>
                      <w:color w:val="auto"/>
                      <w:sz w:val="22"/>
                      <w:szCs w:val="22"/>
                      <w:highlight w:val="none"/>
                    </w:rPr>
                    <w:t>辅料库</w:t>
                  </w:r>
                </w:p>
              </w:tc>
              <w:tc>
                <w:tcPr>
                  <w:tcW w:w="1511" w:type="dxa"/>
                  <w:vAlign w:val="center"/>
                </w:tcPr>
                <w:p w14:paraId="7454116D">
                  <w:pPr>
                    <w:pStyle w:val="71"/>
                    <w:jc w:val="center"/>
                    <w:textAlignment w:val="center"/>
                    <w:rPr>
                      <w:color w:val="auto"/>
                      <w:sz w:val="22"/>
                      <w:szCs w:val="22"/>
                      <w:highlight w:val="none"/>
                    </w:rPr>
                  </w:pPr>
                  <w:bookmarkStart w:id="42" w:name="hmcheck_e22a769129f64cd09b442899e931eb1b"/>
                  <w:r>
                    <w:rPr>
                      <w:rFonts w:hint="eastAsia"/>
                      <w:color w:val="auto"/>
                      <w:sz w:val="22"/>
                      <w:szCs w:val="22"/>
                      <w:highlight w:val="none"/>
                      <w:shd w:val="clear" w:fill="FFAFAA"/>
                    </w:rPr>
                    <w:t>滚边</w:t>
                  </w:r>
                  <w:bookmarkEnd w:id="42"/>
                </w:p>
              </w:tc>
            </w:tr>
            <w:tr w14:paraId="1FC9A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45DE9C73">
                  <w:pPr>
                    <w:pStyle w:val="74"/>
                    <w:numPr>
                      <w:ilvl w:val="0"/>
                      <w:numId w:val="9"/>
                    </w:numPr>
                    <w:spacing w:before="0" w:beforeLines="0"/>
                    <w:rPr>
                      <w:rFonts w:eastAsia="宋体"/>
                      <w:color w:val="auto"/>
                      <w:sz w:val="22"/>
                      <w:szCs w:val="22"/>
                      <w:highlight w:val="none"/>
                    </w:rPr>
                  </w:pPr>
                </w:p>
              </w:tc>
              <w:tc>
                <w:tcPr>
                  <w:tcW w:w="877" w:type="dxa"/>
                  <w:vAlign w:val="center"/>
                </w:tcPr>
                <w:p w14:paraId="5F41CE67">
                  <w:pPr>
                    <w:pStyle w:val="74"/>
                    <w:spacing w:before="0" w:beforeLines="0"/>
                    <w:rPr>
                      <w:rFonts w:eastAsia="宋体"/>
                      <w:color w:val="auto"/>
                      <w:sz w:val="22"/>
                      <w:szCs w:val="22"/>
                      <w:highlight w:val="none"/>
                    </w:rPr>
                  </w:pPr>
                  <w:r>
                    <w:rPr>
                      <w:rFonts w:hint="eastAsia" w:eastAsia="宋体"/>
                      <w:color w:val="auto"/>
                      <w:sz w:val="22"/>
                      <w:szCs w:val="22"/>
                      <w:highlight w:val="none"/>
                    </w:rPr>
                    <w:t>焊丝</w:t>
                  </w:r>
                </w:p>
              </w:tc>
              <w:tc>
                <w:tcPr>
                  <w:tcW w:w="401" w:type="dxa"/>
                  <w:vAlign w:val="center"/>
                </w:tcPr>
                <w:p w14:paraId="18E47130">
                  <w:pPr>
                    <w:rPr>
                      <w:color w:val="auto"/>
                      <w:sz w:val="22"/>
                      <w:szCs w:val="22"/>
                      <w:highlight w:val="none"/>
                    </w:rPr>
                  </w:pPr>
                  <w:r>
                    <w:rPr>
                      <w:rFonts w:hint="eastAsia"/>
                      <w:color w:val="auto"/>
                      <w:sz w:val="22"/>
                      <w:szCs w:val="22"/>
                      <w:highlight w:val="none"/>
                    </w:rPr>
                    <w:t>吨</w:t>
                  </w:r>
                </w:p>
              </w:tc>
              <w:tc>
                <w:tcPr>
                  <w:tcW w:w="867" w:type="dxa"/>
                  <w:vAlign w:val="center"/>
                </w:tcPr>
                <w:p w14:paraId="68D7531E">
                  <w:pPr>
                    <w:pStyle w:val="74"/>
                    <w:spacing w:before="0" w:beforeLines="0"/>
                    <w:rPr>
                      <w:rFonts w:eastAsia="宋体"/>
                      <w:color w:val="auto"/>
                      <w:sz w:val="22"/>
                      <w:szCs w:val="22"/>
                      <w:highlight w:val="none"/>
                    </w:rPr>
                  </w:pPr>
                  <w:r>
                    <w:rPr>
                      <w:rFonts w:hint="eastAsia" w:eastAsia="宋体"/>
                      <w:color w:val="auto"/>
                      <w:sz w:val="22"/>
                      <w:szCs w:val="22"/>
                      <w:highlight w:val="none"/>
                    </w:rPr>
                    <w:t>16</w:t>
                  </w:r>
                </w:p>
              </w:tc>
              <w:tc>
                <w:tcPr>
                  <w:tcW w:w="1009" w:type="dxa"/>
                  <w:vAlign w:val="center"/>
                </w:tcPr>
                <w:p w14:paraId="4D8844CD">
                  <w:pPr>
                    <w:pStyle w:val="74"/>
                    <w:spacing w:before="0" w:beforeLines="0"/>
                    <w:rPr>
                      <w:rFonts w:eastAsia="宋体"/>
                      <w:color w:val="auto"/>
                      <w:sz w:val="22"/>
                      <w:szCs w:val="22"/>
                      <w:highlight w:val="none"/>
                    </w:rPr>
                  </w:pPr>
                  <w:r>
                    <w:rPr>
                      <w:rFonts w:hint="eastAsia" w:eastAsia="宋体"/>
                      <w:color w:val="auto"/>
                      <w:sz w:val="22"/>
                      <w:szCs w:val="22"/>
                      <w:highlight w:val="none"/>
                    </w:rPr>
                    <w:t>2</w:t>
                  </w:r>
                </w:p>
              </w:tc>
              <w:tc>
                <w:tcPr>
                  <w:tcW w:w="1762" w:type="dxa"/>
                  <w:vAlign w:val="center"/>
                </w:tcPr>
                <w:p w14:paraId="75ED4946">
                  <w:pPr>
                    <w:pStyle w:val="74"/>
                    <w:spacing w:before="0" w:beforeLines="0"/>
                    <w:rPr>
                      <w:rFonts w:hint="eastAsia" w:eastAsia="宋体"/>
                      <w:color w:val="auto"/>
                      <w:sz w:val="22"/>
                      <w:szCs w:val="22"/>
                      <w:highlight w:val="none"/>
                      <w:lang w:eastAsia="zh-CN"/>
                    </w:rPr>
                  </w:pPr>
                  <w:r>
                    <w:rPr>
                      <w:rFonts w:hint="eastAsia" w:eastAsia="宋体"/>
                      <w:color w:val="auto"/>
                      <w:sz w:val="22"/>
                      <w:szCs w:val="22"/>
                      <w:highlight w:val="none"/>
                    </w:rPr>
                    <w:t>袋装</w:t>
                  </w:r>
                  <w:r>
                    <w:rPr>
                      <w:rFonts w:hint="eastAsia" w:eastAsia="宋体"/>
                      <w:color w:val="auto"/>
                      <w:sz w:val="22"/>
                      <w:szCs w:val="22"/>
                      <w:highlight w:val="none"/>
                      <w:lang w:eastAsia="zh-CN"/>
                    </w:rPr>
                    <w:t>，包括实芯焊丝、电焊条、药芯焊丝等</w:t>
                  </w:r>
                </w:p>
              </w:tc>
              <w:tc>
                <w:tcPr>
                  <w:tcW w:w="1225" w:type="dxa"/>
                  <w:vAlign w:val="center"/>
                </w:tcPr>
                <w:p w14:paraId="5DC7903B">
                  <w:pPr>
                    <w:pStyle w:val="71"/>
                    <w:jc w:val="center"/>
                    <w:textAlignment w:val="center"/>
                    <w:rPr>
                      <w:color w:val="auto"/>
                      <w:sz w:val="22"/>
                      <w:szCs w:val="22"/>
                      <w:highlight w:val="none"/>
                    </w:rPr>
                  </w:pPr>
                  <w:r>
                    <w:rPr>
                      <w:rFonts w:hint="eastAsia"/>
                      <w:color w:val="auto"/>
                      <w:sz w:val="22"/>
                      <w:szCs w:val="22"/>
                      <w:highlight w:val="none"/>
                    </w:rPr>
                    <w:t>辅料库</w:t>
                  </w:r>
                </w:p>
              </w:tc>
              <w:tc>
                <w:tcPr>
                  <w:tcW w:w="1511" w:type="dxa"/>
                  <w:vAlign w:val="center"/>
                </w:tcPr>
                <w:p w14:paraId="1CE0D2CD">
                  <w:pPr>
                    <w:pStyle w:val="71"/>
                    <w:jc w:val="center"/>
                    <w:textAlignment w:val="center"/>
                    <w:rPr>
                      <w:color w:val="auto"/>
                      <w:sz w:val="22"/>
                      <w:szCs w:val="22"/>
                      <w:highlight w:val="none"/>
                    </w:rPr>
                  </w:pPr>
                  <w:r>
                    <w:rPr>
                      <w:rFonts w:hint="eastAsia"/>
                      <w:color w:val="auto"/>
                      <w:sz w:val="22"/>
                      <w:szCs w:val="22"/>
                      <w:highlight w:val="none"/>
                    </w:rPr>
                    <w:t>焊接（其中不合格产品补</w:t>
                  </w:r>
                  <w:bookmarkStart w:id="43" w:name="hmcheck_f874a81790444e78b4e29b1ba928e6a2"/>
                  <w:r>
                    <w:rPr>
                      <w:rFonts w:hint="eastAsia"/>
                      <w:color w:val="auto"/>
                      <w:sz w:val="22"/>
                      <w:szCs w:val="22"/>
                      <w:highlight w:val="none"/>
                      <w:shd w:val="clear" w:fill="FFAFAA"/>
                    </w:rPr>
                    <w:t>焊焊</w:t>
                  </w:r>
                  <w:bookmarkEnd w:id="43"/>
                  <w:r>
                    <w:rPr>
                      <w:rFonts w:hint="eastAsia"/>
                      <w:color w:val="auto"/>
                      <w:sz w:val="22"/>
                      <w:szCs w:val="22"/>
                      <w:highlight w:val="none"/>
                    </w:rPr>
                    <w:t>丝年消耗量约2t/a）</w:t>
                  </w:r>
                </w:p>
              </w:tc>
            </w:tr>
            <w:tr w14:paraId="47B8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4D231F24">
                  <w:pPr>
                    <w:pStyle w:val="74"/>
                    <w:numPr>
                      <w:ilvl w:val="0"/>
                      <w:numId w:val="9"/>
                    </w:numPr>
                    <w:spacing w:before="0" w:beforeLines="0"/>
                    <w:rPr>
                      <w:rFonts w:eastAsia="宋体"/>
                      <w:color w:val="auto"/>
                      <w:sz w:val="22"/>
                      <w:szCs w:val="22"/>
                      <w:highlight w:val="none"/>
                    </w:rPr>
                  </w:pPr>
                </w:p>
              </w:tc>
              <w:tc>
                <w:tcPr>
                  <w:tcW w:w="877" w:type="dxa"/>
                  <w:vAlign w:val="center"/>
                </w:tcPr>
                <w:p w14:paraId="1C409242">
                  <w:pPr>
                    <w:pStyle w:val="74"/>
                    <w:spacing w:before="0" w:beforeLines="0"/>
                    <w:rPr>
                      <w:rFonts w:eastAsia="宋体"/>
                      <w:color w:val="auto"/>
                      <w:sz w:val="22"/>
                      <w:szCs w:val="22"/>
                      <w:highlight w:val="none"/>
                    </w:rPr>
                  </w:pPr>
                  <w:r>
                    <w:rPr>
                      <w:rFonts w:hint="eastAsia" w:eastAsia="宋体"/>
                      <w:color w:val="auto"/>
                      <w:sz w:val="22"/>
                      <w:szCs w:val="22"/>
                      <w:highlight w:val="none"/>
                    </w:rPr>
                    <w:t>模具</w:t>
                  </w:r>
                </w:p>
              </w:tc>
              <w:tc>
                <w:tcPr>
                  <w:tcW w:w="401" w:type="dxa"/>
                  <w:vAlign w:val="center"/>
                </w:tcPr>
                <w:p w14:paraId="4D1E9F21">
                  <w:pPr>
                    <w:rPr>
                      <w:color w:val="auto"/>
                      <w:sz w:val="22"/>
                      <w:szCs w:val="22"/>
                      <w:highlight w:val="none"/>
                    </w:rPr>
                  </w:pPr>
                  <w:r>
                    <w:rPr>
                      <w:rFonts w:hint="eastAsia"/>
                      <w:color w:val="auto"/>
                      <w:sz w:val="22"/>
                      <w:szCs w:val="22"/>
                      <w:highlight w:val="none"/>
                    </w:rPr>
                    <w:t>吨</w:t>
                  </w:r>
                </w:p>
              </w:tc>
              <w:tc>
                <w:tcPr>
                  <w:tcW w:w="1876" w:type="dxa"/>
                  <w:gridSpan w:val="2"/>
                  <w:vAlign w:val="center"/>
                </w:tcPr>
                <w:p w14:paraId="1B9003CD">
                  <w:pPr>
                    <w:pStyle w:val="74"/>
                    <w:spacing w:before="0" w:beforeLines="0"/>
                    <w:rPr>
                      <w:rFonts w:eastAsia="宋体"/>
                      <w:color w:val="auto"/>
                      <w:sz w:val="22"/>
                      <w:szCs w:val="22"/>
                      <w:highlight w:val="none"/>
                    </w:rPr>
                  </w:pPr>
                  <w:r>
                    <w:rPr>
                      <w:rFonts w:hint="eastAsia" w:eastAsia="宋体"/>
                      <w:color w:val="auto"/>
                      <w:sz w:val="22"/>
                      <w:szCs w:val="22"/>
                      <w:highlight w:val="none"/>
                      <w:lang w:eastAsia="zh-CN"/>
                    </w:rPr>
                    <w:t>初始用量约</w:t>
                  </w:r>
                  <w:bookmarkStart w:id="44" w:name="hmcheck_1022127c1e664e13be6fa6ee30245fea"/>
                  <w:r>
                    <w:rPr>
                      <w:rFonts w:hint="eastAsia" w:eastAsia="宋体"/>
                      <w:color w:val="auto"/>
                      <w:sz w:val="22"/>
                      <w:szCs w:val="22"/>
                      <w:highlight w:val="none"/>
                      <w:shd w:val="clear" w:fill="B2E9BC"/>
                      <w:lang w:eastAsia="zh-CN"/>
                    </w:rPr>
                    <w:t>30万-50万</w:t>
                  </w:r>
                  <w:bookmarkEnd w:id="44"/>
                  <w:r>
                    <w:rPr>
                      <w:rFonts w:hint="eastAsia" w:eastAsia="宋体"/>
                      <w:color w:val="auto"/>
                      <w:sz w:val="22"/>
                      <w:szCs w:val="22"/>
                      <w:highlight w:val="none"/>
                      <w:lang w:eastAsia="zh-CN"/>
                    </w:rPr>
                    <w:t>辆，其后维修后</w:t>
                  </w:r>
                  <w:r>
                    <w:rPr>
                      <w:rFonts w:hint="eastAsia" w:eastAsia="宋体"/>
                      <w:color w:val="auto"/>
                      <w:sz w:val="22"/>
                      <w:szCs w:val="22"/>
                      <w:highlight w:val="none"/>
                    </w:rPr>
                    <w:t>循环使用</w:t>
                  </w:r>
                </w:p>
              </w:tc>
              <w:tc>
                <w:tcPr>
                  <w:tcW w:w="1762" w:type="dxa"/>
                  <w:vAlign w:val="center"/>
                </w:tcPr>
                <w:p w14:paraId="22A38637">
                  <w:pPr>
                    <w:pStyle w:val="74"/>
                    <w:spacing w:before="0" w:beforeLines="0"/>
                    <w:rPr>
                      <w:rFonts w:eastAsia="宋体"/>
                      <w:color w:val="auto"/>
                      <w:sz w:val="22"/>
                      <w:szCs w:val="22"/>
                      <w:highlight w:val="none"/>
                    </w:rPr>
                  </w:pPr>
                  <w:r>
                    <w:rPr>
                      <w:rFonts w:hint="eastAsia" w:eastAsia="宋体"/>
                      <w:color w:val="auto"/>
                      <w:sz w:val="22"/>
                      <w:szCs w:val="22"/>
                      <w:highlight w:val="none"/>
                    </w:rPr>
                    <w:t>散堆</w:t>
                  </w:r>
                </w:p>
              </w:tc>
              <w:tc>
                <w:tcPr>
                  <w:tcW w:w="1225" w:type="dxa"/>
                  <w:vAlign w:val="center"/>
                </w:tcPr>
                <w:p w14:paraId="5A4F7ECB">
                  <w:pPr>
                    <w:pStyle w:val="71"/>
                    <w:jc w:val="center"/>
                    <w:textAlignment w:val="center"/>
                    <w:rPr>
                      <w:color w:val="auto"/>
                      <w:sz w:val="22"/>
                      <w:szCs w:val="22"/>
                      <w:highlight w:val="none"/>
                    </w:rPr>
                  </w:pPr>
                  <w:r>
                    <w:rPr>
                      <w:rFonts w:hint="eastAsia"/>
                      <w:color w:val="auto"/>
                      <w:sz w:val="22"/>
                      <w:szCs w:val="22"/>
                      <w:highlight w:val="none"/>
                    </w:rPr>
                    <w:t>模具存放区</w:t>
                  </w:r>
                </w:p>
              </w:tc>
              <w:tc>
                <w:tcPr>
                  <w:tcW w:w="1511" w:type="dxa"/>
                  <w:vAlign w:val="center"/>
                </w:tcPr>
                <w:p w14:paraId="0DB6F5B3">
                  <w:pPr>
                    <w:pStyle w:val="71"/>
                    <w:jc w:val="center"/>
                    <w:textAlignment w:val="center"/>
                    <w:rPr>
                      <w:color w:val="auto"/>
                      <w:sz w:val="22"/>
                      <w:szCs w:val="22"/>
                      <w:highlight w:val="none"/>
                    </w:rPr>
                  </w:pPr>
                  <w:r>
                    <w:rPr>
                      <w:rFonts w:hint="eastAsia"/>
                      <w:color w:val="auto"/>
                      <w:sz w:val="22"/>
                      <w:szCs w:val="22"/>
                      <w:highlight w:val="none"/>
                    </w:rPr>
                    <w:t>冲液压</w:t>
                  </w:r>
                </w:p>
              </w:tc>
            </w:tr>
            <w:tr w14:paraId="6552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1DB7A88B">
                  <w:pPr>
                    <w:pStyle w:val="74"/>
                    <w:numPr>
                      <w:ilvl w:val="0"/>
                      <w:numId w:val="9"/>
                    </w:numPr>
                    <w:spacing w:before="0" w:beforeLines="0"/>
                    <w:rPr>
                      <w:rFonts w:eastAsia="宋体"/>
                      <w:color w:val="auto"/>
                      <w:sz w:val="22"/>
                      <w:szCs w:val="22"/>
                      <w:highlight w:val="none"/>
                    </w:rPr>
                  </w:pPr>
                </w:p>
              </w:tc>
              <w:tc>
                <w:tcPr>
                  <w:tcW w:w="877" w:type="dxa"/>
                  <w:shd w:val="clear" w:color="auto" w:fill="auto"/>
                  <w:vAlign w:val="center"/>
                </w:tcPr>
                <w:p w14:paraId="666FC1A5">
                  <w:pPr>
                    <w:pStyle w:val="74"/>
                    <w:spacing w:before="0" w:beforeLines="0"/>
                    <w:rPr>
                      <w:rFonts w:eastAsia="宋体"/>
                      <w:color w:val="auto"/>
                      <w:sz w:val="22"/>
                      <w:szCs w:val="22"/>
                      <w:highlight w:val="none"/>
                    </w:rPr>
                  </w:pPr>
                  <w:r>
                    <w:rPr>
                      <w:rFonts w:hint="eastAsia" w:eastAsia="宋体"/>
                      <w:color w:val="auto"/>
                      <w:sz w:val="22"/>
                      <w:szCs w:val="22"/>
                      <w:highlight w:val="none"/>
                    </w:rPr>
                    <w:t>二氧化碳</w:t>
                  </w:r>
                </w:p>
              </w:tc>
              <w:tc>
                <w:tcPr>
                  <w:tcW w:w="401" w:type="dxa"/>
                  <w:shd w:val="clear" w:color="auto" w:fill="auto"/>
                  <w:vAlign w:val="center"/>
                </w:tcPr>
                <w:p w14:paraId="1E0A9DB7">
                  <w:pPr>
                    <w:rPr>
                      <w:color w:val="auto"/>
                      <w:sz w:val="22"/>
                      <w:szCs w:val="22"/>
                      <w:highlight w:val="none"/>
                    </w:rPr>
                  </w:pPr>
                  <w:r>
                    <w:rPr>
                      <w:rFonts w:hint="eastAsia"/>
                      <w:color w:val="auto"/>
                      <w:sz w:val="22"/>
                      <w:szCs w:val="22"/>
                      <w:highlight w:val="none"/>
                    </w:rPr>
                    <w:t>吨</w:t>
                  </w:r>
                </w:p>
              </w:tc>
              <w:tc>
                <w:tcPr>
                  <w:tcW w:w="867" w:type="dxa"/>
                  <w:shd w:val="clear" w:color="auto" w:fill="auto"/>
                  <w:vAlign w:val="center"/>
                </w:tcPr>
                <w:p w14:paraId="47CE5BD0">
                  <w:pPr>
                    <w:pStyle w:val="74"/>
                    <w:spacing w:before="0" w:beforeLines="0"/>
                    <w:rPr>
                      <w:rFonts w:eastAsia="宋体"/>
                      <w:color w:val="auto"/>
                      <w:sz w:val="22"/>
                      <w:szCs w:val="22"/>
                      <w:highlight w:val="none"/>
                    </w:rPr>
                  </w:pPr>
                  <w:r>
                    <w:rPr>
                      <w:rFonts w:hint="eastAsia" w:eastAsia="宋体"/>
                      <w:color w:val="auto"/>
                      <w:sz w:val="22"/>
                      <w:szCs w:val="22"/>
                      <w:highlight w:val="none"/>
                    </w:rPr>
                    <w:t>900L</w:t>
                  </w:r>
                </w:p>
              </w:tc>
              <w:tc>
                <w:tcPr>
                  <w:tcW w:w="1009" w:type="dxa"/>
                  <w:shd w:val="clear" w:color="auto" w:fill="auto"/>
                  <w:vAlign w:val="center"/>
                </w:tcPr>
                <w:p w14:paraId="2EAAE829">
                  <w:pPr>
                    <w:pStyle w:val="74"/>
                    <w:spacing w:before="0" w:beforeLines="0"/>
                    <w:rPr>
                      <w:rFonts w:eastAsia="宋体"/>
                      <w:color w:val="auto"/>
                      <w:sz w:val="22"/>
                      <w:szCs w:val="22"/>
                      <w:highlight w:val="none"/>
                    </w:rPr>
                  </w:pPr>
                  <w:r>
                    <w:rPr>
                      <w:rFonts w:hint="eastAsia" w:eastAsia="宋体"/>
                      <w:color w:val="auto"/>
                      <w:sz w:val="22"/>
                      <w:szCs w:val="22"/>
                      <w:highlight w:val="none"/>
                    </w:rPr>
                    <w:t>100L</w:t>
                  </w:r>
                </w:p>
              </w:tc>
              <w:tc>
                <w:tcPr>
                  <w:tcW w:w="1762" w:type="dxa"/>
                  <w:shd w:val="clear" w:color="auto" w:fill="auto"/>
                  <w:vAlign w:val="center"/>
                </w:tcPr>
                <w:p w14:paraId="1127B453">
                  <w:pPr>
                    <w:pStyle w:val="74"/>
                    <w:spacing w:before="0" w:beforeLines="0"/>
                    <w:rPr>
                      <w:rFonts w:eastAsia="宋体"/>
                      <w:color w:val="auto"/>
                      <w:sz w:val="22"/>
                      <w:szCs w:val="22"/>
                      <w:highlight w:val="none"/>
                    </w:rPr>
                  </w:pPr>
                  <w:r>
                    <w:rPr>
                      <w:rFonts w:hint="eastAsia" w:eastAsia="宋体"/>
                      <w:color w:val="auto"/>
                      <w:sz w:val="22"/>
                      <w:szCs w:val="22"/>
                      <w:highlight w:val="none"/>
                    </w:rPr>
                    <w:t>瓶装、单瓶20L</w:t>
                  </w:r>
                </w:p>
              </w:tc>
              <w:tc>
                <w:tcPr>
                  <w:tcW w:w="1225" w:type="dxa"/>
                  <w:shd w:val="clear" w:color="auto" w:fill="auto"/>
                  <w:vAlign w:val="center"/>
                </w:tcPr>
                <w:p w14:paraId="0948B9C5">
                  <w:pPr>
                    <w:pStyle w:val="71"/>
                    <w:jc w:val="center"/>
                    <w:textAlignment w:val="center"/>
                    <w:rPr>
                      <w:color w:val="auto"/>
                      <w:sz w:val="22"/>
                      <w:szCs w:val="22"/>
                      <w:highlight w:val="none"/>
                    </w:rPr>
                  </w:pPr>
                  <w:r>
                    <w:rPr>
                      <w:rFonts w:hint="eastAsia"/>
                      <w:color w:val="auto"/>
                      <w:sz w:val="22"/>
                      <w:szCs w:val="22"/>
                      <w:highlight w:val="none"/>
                    </w:rPr>
                    <w:t>气库</w:t>
                  </w:r>
                </w:p>
              </w:tc>
              <w:tc>
                <w:tcPr>
                  <w:tcW w:w="1511" w:type="dxa"/>
                  <w:shd w:val="clear" w:color="auto" w:fill="auto"/>
                  <w:vAlign w:val="center"/>
                </w:tcPr>
                <w:p w14:paraId="02C230AB">
                  <w:pPr>
                    <w:pStyle w:val="71"/>
                    <w:jc w:val="center"/>
                    <w:textAlignment w:val="center"/>
                    <w:rPr>
                      <w:color w:val="auto"/>
                      <w:sz w:val="22"/>
                      <w:szCs w:val="22"/>
                      <w:highlight w:val="none"/>
                    </w:rPr>
                  </w:pPr>
                  <w:r>
                    <w:rPr>
                      <w:rFonts w:hint="eastAsia"/>
                      <w:color w:val="auto"/>
                      <w:sz w:val="22"/>
                      <w:szCs w:val="22"/>
                      <w:highlight w:val="none"/>
                    </w:rPr>
                    <w:t>焊接</w:t>
                  </w:r>
                </w:p>
              </w:tc>
            </w:tr>
            <w:tr w14:paraId="132B2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2C6E1C92">
                  <w:pPr>
                    <w:pStyle w:val="74"/>
                    <w:numPr>
                      <w:ilvl w:val="0"/>
                      <w:numId w:val="9"/>
                    </w:numPr>
                    <w:spacing w:before="0" w:beforeLines="0"/>
                    <w:rPr>
                      <w:rFonts w:eastAsia="宋体"/>
                      <w:color w:val="auto"/>
                      <w:sz w:val="22"/>
                      <w:szCs w:val="22"/>
                      <w:highlight w:val="none"/>
                    </w:rPr>
                  </w:pPr>
                </w:p>
              </w:tc>
              <w:tc>
                <w:tcPr>
                  <w:tcW w:w="877" w:type="dxa"/>
                  <w:vAlign w:val="center"/>
                </w:tcPr>
                <w:p w14:paraId="5403C85C">
                  <w:pPr>
                    <w:pStyle w:val="74"/>
                    <w:spacing w:before="0" w:beforeLines="0"/>
                    <w:rPr>
                      <w:rFonts w:eastAsia="宋体"/>
                      <w:color w:val="auto"/>
                      <w:sz w:val="22"/>
                      <w:szCs w:val="22"/>
                      <w:highlight w:val="none"/>
                    </w:rPr>
                  </w:pPr>
                  <w:r>
                    <w:rPr>
                      <w:rFonts w:hint="eastAsia" w:eastAsia="宋体"/>
                      <w:color w:val="auto"/>
                      <w:sz w:val="22"/>
                      <w:szCs w:val="22"/>
                      <w:highlight w:val="none"/>
                    </w:rPr>
                    <w:t>氩气</w:t>
                  </w:r>
                </w:p>
              </w:tc>
              <w:tc>
                <w:tcPr>
                  <w:tcW w:w="401" w:type="dxa"/>
                  <w:vAlign w:val="center"/>
                </w:tcPr>
                <w:p w14:paraId="64849635">
                  <w:pPr>
                    <w:rPr>
                      <w:color w:val="auto"/>
                      <w:sz w:val="22"/>
                      <w:szCs w:val="22"/>
                      <w:highlight w:val="none"/>
                    </w:rPr>
                  </w:pPr>
                  <w:r>
                    <w:rPr>
                      <w:rFonts w:hint="eastAsia"/>
                      <w:color w:val="auto"/>
                      <w:sz w:val="22"/>
                      <w:szCs w:val="22"/>
                      <w:highlight w:val="none"/>
                    </w:rPr>
                    <w:t>吨</w:t>
                  </w:r>
                </w:p>
              </w:tc>
              <w:tc>
                <w:tcPr>
                  <w:tcW w:w="867" w:type="dxa"/>
                  <w:vAlign w:val="center"/>
                </w:tcPr>
                <w:p w14:paraId="050640B4">
                  <w:pPr>
                    <w:pStyle w:val="74"/>
                    <w:spacing w:before="0" w:beforeLines="0"/>
                    <w:rPr>
                      <w:rFonts w:eastAsia="宋体"/>
                      <w:color w:val="auto"/>
                      <w:sz w:val="22"/>
                      <w:szCs w:val="22"/>
                      <w:highlight w:val="none"/>
                    </w:rPr>
                  </w:pPr>
                  <w:r>
                    <w:rPr>
                      <w:rFonts w:hint="eastAsia" w:eastAsia="宋体"/>
                      <w:color w:val="auto"/>
                      <w:sz w:val="22"/>
                      <w:szCs w:val="22"/>
                      <w:highlight w:val="none"/>
                    </w:rPr>
                    <w:t>600L</w:t>
                  </w:r>
                </w:p>
              </w:tc>
              <w:tc>
                <w:tcPr>
                  <w:tcW w:w="1009" w:type="dxa"/>
                  <w:vAlign w:val="center"/>
                </w:tcPr>
                <w:p w14:paraId="2F8C59A4">
                  <w:pPr>
                    <w:pStyle w:val="74"/>
                    <w:spacing w:before="0" w:beforeLines="0"/>
                    <w:rPr>
                      <w:rFonts w:eastAsia="宋体"/>
                      <w:color w:val="auto"/>
                      <w:sz w:val="22"/>
                      <w:szCs w:val="22"/>
                      <w:highlight w:val="none"/>
                    </w:rPr>
                  </w:pPr>
                  <w:r>
                    <w:rPr>
                      <w:rFonts w:hint="eastAsia" w:eastAsia="宋体"/>
                      <w:color w:val="auto"/>
                      <w:sz w:val="22"/>
                      <w:szCs w:val="22"/>
                      <w:highlight w:val="none"/>
                    </w:rPr>
                    <w:t>100L</w:t>
                  </w:r>
                </w:p>
              </w:tc>
              <w:tc>
                <w:tcPr>
                  <w:tcW w:w="1762" w:type="dxa"/>
                  <w:vAlign w:val="center"/>
                </w:tcPr>
                <w:p w14:paraId="001D00FA">
                  <w:pPr>
                    <w:pStyle w:val="74"/>
                    <w:spacing w:before="0" w:beforeLines="0"/>
                    <w:rPr>
                      <w:rFonts w:eastAsia="宋体"/>
                      <w:color w:val="auto"/>
                      <w:sz w:val="22"/>
                      <w:szCs w:val="22"/>
                      <w:highlight w:val="none"/>
                    </w:rPr>
                  </w:pPr>
                  <w:r>
                    <w:rPr>
                      <w:rFonts w:hint="eastAsia" w:eastAsia="宋体"/>
                      <w:color w:val="auto"/>
                      <w:sz w:val="22"/>
                      <w:szCs w:val="22"/>
                      <w:highlight w:val="none"/>
                    </w:rPr>
                    <w:t>瓶装、单瓶20L</w:t>
                  </w:r>
                </w:p>
              </w:tc>
              <w:tc>
                <w:tcPr>
                  <w:tcW w:w="1225" w:type="dxa"/>
                  <w:vAlign w:val="center"/>
                </w:tcPr>
                <w:p w14:paraId="5410D63E">
                  <w:pPr>
                    <w:pStyle w:val="71"/>
                    <w:jc w:val="center"/>
                    <w:textAlignment w:val="center"/>
                    <w:rPr>
                      <w:color w:val="auto"/>
                      <w:sz w:val="22"/>
                      <w:szCs w:val="22"/>
                      <w:highlight w:val="none"/>
                    </w:rPr>
                  </w:pPr>
                  <w:r>
                    <w:rPr>
                      <w:rFonts w:hint="eastAsia"/>
                      <w:color w:val="auto"/>
                      <w:sz w:val="22"/>
                      <w:szCs w:val="22"/>
                      <w:highlight w:val="none"/>
                    </w:rPr>
                    <w:t>气库</w:t>
                  </w:r>
                </w:p>
              </w:tc>
              <w:tc>
                <w:tcPr>
                  <w:tcW w:w="1511" w:type="dxa"/>
                  <w:vAlign w:val="center"/>
                </w:tcPr>
                <w:p w14:paraId="3B374D43">
                  <w:pPr>
                    <w:pStyle w:val="71"/>
                    <w:jc w:val="center"/>
                    <w:textAlignment w:val="center"/>
                    <w:rPr>
                      <w:color w:val="auto"/>
                      <w:sz w:val="22"/>
                      <w:szCs w:val="22"/>
                      <w:highlight w:val="none"/>
                    </w:rPr>
                  </w:pPr>
                  <w:r>
                    <w:rPr>
                      <w:rFonts w:hint="eastAsia"/>
                      <w:color w:val="auto"/>
                      <w:sz w:val="22"/>
                      <w:szCs w:val="22"/>
                      <w:highlight w:val="none"/>
                    </w:rPr>
                    <w:t>焊接</w:t>
                  </w:r>
                </w:p>
              </w:tc>
            </w:tr>
            <w:tr w14:paraId="76C5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6B2D36EB">
                  <w:pPr>
                    <w:pStyle w:val="74"/>
                    <w:numPr>
                      <w:ilvl w:val="0"/>
                      <w:numId w:val="9"/>
                    </w:numPr>
                    <w:spacing w:before="0" w:beforeLines="0"/>
                    <w:rPr>
                      <w:rFonts w:eastAsia="宋体"/>
                      <w:color w:val="auto"/>
                      <w:sz w:val="22"/>
                      <w:szCs w:val="22"/>
                      <w:highlight w:val="none"/>
                    </w:rPr>
                  </w:pPr>
                </w:p>
              </w:tc>
              <w:tc>
                <w:tcPr>
                  <w:tcW w:w="877" w:type="dxa"/>
                  <w:vAlign w:val="center"/>
                </w:tcPr>
                <w:p w14:paraId="70AB9A85">
                  <w:pPr>
                    <w:pStyle w:val="74"/>
                    <w:spacing w:before="0" w:beforeLines="0"/>
                    <w:rPr>
                      <w:rFonts w:eastAsia="宋体"/>
                      <w:color w:val="auto"/>
                      <w:sz w:val="22"/>
                      <w:szCs w:val="22"/>
                      <w:highlight w:val="none"/>
                    </w:rPr>
                  </w:pPr>
                  <w:r>
                    <w:rPr>
                      <w:rFonts w:hint="eastAsia" w:eastAsia="宋体"/>
                      <w:color w:val="auto"/>
                      <w:sz w:val="22"/>
                      <w:szCs w:val="22"/>
                      <w:highlight w:val="none"/>
                    </w:rPr>
                    <w:t>氮气</w:t>
                  </w:r>
                </w:p>
              </w:tc>
              <w:tc>
                <w:tcPr>
                  <w:tcW w:w="401" w:type="dxa"/>
                  <w:vAlign w:val="center"/>
                </w:tcPr>
                <w:p w14:paraId="6E238EDB">
                  <w:pPr>
                    <w:rPr>
                      <w:color w:val="auto"/>
                      <w:sz w:val="22"/>
                      <w:szCs w:val="22"/>
                      <w:highlight w:val="none"/>
                    </w:rPr>
                  </w:pPr>
                  <w:r>
                    <w:rPr>
                      <w:rFonts w:hint="eastAsia"/>
                      <w:color w:val="auto"/>
                      <w:sz w:val="22"/>
                      <w:szCs w:val="22"/>
                      <w:highlight w:val="none"/>
                    </w:rPr>
                    <w:t>吨</w:t>
                  </w:r>
                </w:p>
              </w:tc>
              <w:tc>
                <w:tcPr>
                  <w:tcW w:w="867" w:type="dxa"/>
                  <w:vAlign w:val="center"/>
                </w:tcPr>
                <w:p w14:paraId="41E0232D">
                  <w:pPr>
                    <w:pStyle w:val="74"/>
                    <w:spacing w:before="0" w:beforeLines="0"/>
                    <w:rPr>
                      <w:rFonts w:eastAsia="宋体"/>
                      <w:color w:val="auto"/>
                      <w:sz w:val="22"/>
                      <w:szCs w:val="22"/>
                      <w:highlight w:val="none"/>
                    </w:rPr>
                  </w:pPr>
                  <w:r>
                    <w:rPr>
                      <w:rFonts w:hint="eastAsia" w:eastAsia="宋体"/>
                      <w:color w:val="auto"/>
                      <w:sz w:val="22"/>
                      <w:szCs w:val="22"/>
                      <w:highlight w:val="none"/>
                    </w:rPr>
                    <w:t>600L</w:t>
                  </w:r>
                </w:p>
              </w:tc>
              <w:tc>
                <w:tcPr>
                  <w:tcW w:w="1009" w:type="dxa"/>
                  <w:vAlign w:val="center"/>
                </w:tcPr>
                <w:p w14:paraId="75FFCFE7">
                  <w:pPr>
                    <w:pStyle w:val="74"/>
                    <w:spacing w:before="0" w:beforeLines="0"/>
                    <w:rPr>
                      <w:rFonts w:eastAsia="宋体"/>
                      <w:color w:val="auto"/>
                      <w:sz w:val="22"/>
                      <w:szCs w:val="22"/>
                      <w:highlight w:val="none"/>
                    </w:rPr>
                  </w:pPr>
                  <w:r>
                    <w:rPr>
                      <w:rFonts w:hint="eastAsia" w:eastAsia="宋体"/>
                      <w:color w:val="auto"/>
                      <w:sz w:val="22"/>
                      <w:szCs w:val="22"/>
                      <w:highlight w:val="none"/>
                    </w:rPr>
                    <w:t>100L</w:t>
                  </w:r>
                </w:p>
              </w:tc>
              <w:tc>
                <w:tcPr>
                  <w:tcW w:w="1762" w:type="dxa"/>
                  <w:vAlign w:val="center"/>
                </w:tcPr>
                <w:p w14:paraId="1905CFF1">
                  <w:pPr>
                    <w:pStyle w:val="74"/>
                    <w:spacing w:before="0" w:beforeLines="0"/>
                    <w:rPr>
                      <w:rFonts w:eastAsia="宋体"/>
                      <w:color w:val="auto"/>
                      <w:sz w:val="22"/>
                      <w:szCs w:val="22"/>
                      <w:highlight w:val="none"/>
                    </w:rPr>
                  </w:pPr>
                  <w:r>
                    <w:rPr>
                      <w:rFonts w:hint="eastAsia" w:eastAsia="宋体"/>
                      <w:color w:val="auto"/>
                      <w:sz w:val="22"/>
                      <w:szCs w:val="22"/>
                      <w:highlight w:val="none"/>
                    </w:rPr>
                    <w:t>瓶装、单瓶20L</w:t>
                  </w:r>
                </w:p>
              </w:tc>
              <w:tc>
                <w:tcPr>
                  <w:tcW w:w="1225" w:type="dxa"/>
                  <w:vAlign w:val="center"/>
                </w:tcPr>
                <w:p w14:paraId="42F0F6C4">
                  <w:pPr>
                    <w:pStyle w:val="71"/>
                    <w:jc w:val="center"/>
                    <w:textAlignment w:val="center"/>
                    <w:rPr>
                      <w:color w:val="auto"/>
                      <w:sz w:val="22"/>
                      <w:szCs w:val="22"/>
                      <w:highlight w:val="none"/>
                    </w:rPr>
                  </w:pPr>
                  <w:r>
                    <w:rPr>
                      <w:rFonts w:hint="eastAsia"/>
                      <w:color w:val="auto"/>
                      <w:sz w:val="22"/>
                      <w:szCs w:val="22"/>
                      <w:highlight w:val="none"/>
                    </w:rPr>
                    <w:t>气库</w:t>
                  </w:r>
                </w:p>
              </w:tc>
              <w:tc>
                <w:tcPr>
                  <w:tcW w:w="1511" w:type="dxa"/>
                  <w:vAlign w:val="center"/>
                </w:tcPr>
                <w:p w14:paraId="44CD39BF">
                  <w:pPr>
                    <w:pStyle w:val="71"/>
                    <w:jc w:val="center"/>
                    <w:textAlignment w:val="center"/>
                    <w:rPr>
                      <w:color w:val="auto"/>
                      <w:sz w:val="22"/>
                      <w:szCs w:val="22"/>
                      <w:highlight w:val="none"/>
                    </w:rPr>
                  </w:pPr>
                  <w:r>
                    <w:rPr>
                      <w:rFonts w:hint="eastAsia"/>
                      <w:color w:val="auto"/>
                      <w:sz w:val="22"/>
                      <w:szCs w:val="22"/>
                      <w:highlight w:val="none"/>
                    </w:rPr>
                    <w:t>切割</w:t>
                  </w:r>
                </w:p>
              </w:tc>
            </w:tr>
            <w:tr w14:paraId="5141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51A29F0E">
                  <w:pPr>
                    <w:pStyle w:val="74"/>
                    <w:numPr>
                      <w:ilvl w:val="0"/>
                      <w:numId w:val="9"/>
                    </w:numPr>
                    <w:spacing w:before="0" w:beforeLines="0"/>
                    <w:rPr>
                      <w:rFonts w:eastAsia="宋体"/>
                      <w:color w:val="auto"/>
                      <w:sz w:val="22"/>
                      <w:szCs w:val="22"/>
                      <w:highlight w:val="none"/>
                    </w:rPr>
                  </w:pPr>
                </w:p>
              </w:tc>
              <w:tc>
                <w:tcPr>
                  <w:tcW w:w="877" w:type="dxa"/>
                  <w:vAlign w:val="center"/>
                </w:tcPr>
                <w:p w14:paraId="592A17F2">
                  <w:pPr>
                    <w:pStyle w:val="74"/>
                    <w:spacing w:before="0" w:beforeLines="0"/>
                    <w:rPr>
                      <w:rFonts w:eastAsia="宋体"/>
                      <w:color w:val="auto"/>
                      <w:sz w:val="22"/>
                      <w:szCs w:val="22"/>
                      <w:highlight w:val="none"/>
                    </w:rPr>
                  </w:pPr>
                  <w:r>
                    <w:rPr>
                      <w:rFonts w:hint="eastAsia" w:eastAsia="宋体"/>
                      <w:color w:val="auto"/>
                      <w:sz w:val="22"/>
                      <w:szCs w:val="22"/>
                      <w:highlight w:val="none"/>
                    </w:rPr>
                    <w:t>氧气</w:t>
                  </w:r>
                </w:p>
              </w:tc>
              <w:tc>
                <w:tcPr>
                  <w:tcW w:w="401" w:type="dxa"/>
                  <w:vAlign w:val="center"/>
                </w:tcPr>
                <w:p w14:paraId="404BA2FA">
                  <w:pPr>
                    <w:rPr>
                      <w:color w:val="auto"/>
                      <w:sz w:val="22"/>
                      <w:szCs w:val="22"/>
                      <w:highlight w:val="none"/>
                    </w:rPr>
                  </w:pPr>
                  <w:r>
                    <w:rPr>
                      <w:rFonts w:hint="eastAsia"/>
                      <w:color w:val="auto"/>
                      <w:sz w:val="22"/>
                      <w:szCs w:val="22"/>
                      <w:highlight w:val="none"/>
                    </w:rPr>
                    <w:t>吨</w:t>
                  </w:r>
                </w:p>
              </w:tc>
              <w:tc>
                <w:tcPr>
                  <w:tcW w:w="867" w:type="dxa"/>
                  <w:vAlign w:val="center"/>
                </w:tcPr>
                <w:p w14:paraId="2D7F9714">
                  <w:pPr>
                    <w:pStyle w:val="74"/>
                    <w:spacing w:before="0" w:beforeLines="0"/>
                    <w:rPr>
                      <w:rFonts w:eastAsia="宋体"/>
                      <w:color w:val="auto"/>
                      <w:sz w:val="22"/>
                      <w:szCs w:val="22"/>
                      <w:highlight w:val="none"/>
                    </w:rPr>
                  </w:pPr>
                  <w:r>
                    <w:rPr>
                      <w:rFonts w:hint="eastAsia" w:eastAsia="宋体"/>
                      <w:color w:val="auto"/>
                      <w:sz w:val="22"/>
                      <w:szCs w:val="22"/>
                      <w:highlight w:val="none"/>
                    </w:rPr>
                    <w:t>600L</w:t>
                  </w:r>
                </w:p>
              </w:tc>
              <w:tc>
                <w:tcPr>
                  <w:tcW w:w="1009" w:type="dxa"/>
                  <w:vAlign w:val="center"/>
                </w:tcPr>
                <w:p w14:paraId="170AE6B2">
                  <w:pPr>
                    <w:pStyle w:val="74"/>
                    <w:spacing w:before="0" w:beforeLines="0"/>
                    <w:rPr>
                      <w:rFonts w:eastAsia="宋体"/>
                      <w:color w:val="auto"/>
                      <w:sz w:val="22"/>
                      <w:szCs w:val="22"/>
                      <w:highlight w:val="none"/>
                    </w:rPr>
                  </w:pPr>
                  <w:r>
                    <w:rPr>
                      <w:rFonts w:hint="eastAsia" w:eastAsia="宋体"/>
                      <w:color w:val="auto"/>
                      <w:sz w:val="22"/>
                      <w:szCs w:val="22"/>
                      <w:highlight w:val="none"/>
                    </w:rPr>
                    <w:t>100L</w:t>
                  </w:r>
                </w:p>
              </w:tc>
              <w:tc>
                <w:tcPr>
                  <w:tcW w:w="1762" w:type="dxa"/>
                  <w:vAlign w:val="center"/>
                </w:tcPr>
                <w:p w14:paraId="31FE2E67">
                  <w:pPr>
                    <w:pStyle w:val="74"/>
                    <w:spacing w:before="0" w:beforeLines="0"/>
                    <w:rPr>
                      <w:rFonts w:eastAsia="宋体"/>
                      <w:color w:val="auto"/>
                      <w:sz w:val="22"/>
                      <w:szCs w:val="22"/>
                      <w:highlight w:val="none"/>
                    </w:rPr>
                  </w:pPr>
                  <w:r>
                    <w:rPr>
                      <w:rFonts w:hint="eastAsia" w:eastAsia="宋体"/>
                      <w:color w:val="auto"/>
                      <w:sz w:val="22"/>
                      <w:szCs w:val="22"/>
                      <w:highlight w:val="none"/>
                    </w:rPr>
                    <w:t>瓶装、单瓶20L</w:t>
                  </w:r>
                </w:p>
              </w:tc>
              <w:tc>
                <w:tcPr>
                  <w:tcW w:w="1225" w:type="dxa"/>
                  <w:vAlign w:val="center"/>
                </w:tcPr>
                <w:p w14:paraId="3647FB63">
                  <w:pPr>
                    <w:pStyle w:val="71"/>
                    <w:jc w:val="center"/>
                    <w:textAlignment w:val="center"/>
                    <w:rPr>
                      <w:color w:val="auto"/>
                      <w:sz w:val="22"/>
                      <w:szCs w:val="22"/>
                      <w:highlight w:val="none"/>
                    </w:rPr>
                  </w:pPr>
                  <w:r>
                    <w:rPr>
                      <w:rFonts w:hint="eastAsia"/>
                      <w:color w:val="auto"/>
                      <w:sz w:val="22"/>
                      <w:szCs w:val="22"/>
                      <w:highlight w:val="none"/>
                    </w:rPr>
                    <w:t>气库</w:t>
                  </w:r>
                </w:p>
              </w:tc>
              <w:tc>
                <w:tcPr>
                  <w:tcW w:w="1511" w:type="dxa"/>
                  <w:vAlign w:val="center"/>
                </w:tcPr>
                <w:p w14:paraId="0A9FA3AC">
                  <w:pPr>
                    <w:pStyle w:val="71"/>
                    <w:jc w:val="center"/>
                    <w:textAlignment w:val="center"/>
                    <w:rPr>
                      <w:color w:val="auto"/>
                      <w:sz w:val="22"/>
                      <w:szCs w:val="22"/>
                      <w:highlight w:val="none"/>
                    </w:rPr>
                  </w:pPr>
                  <w:r>
                    <w:rPr>
                      <w:rFonts w:hint="eastAsia"/>
                      <w:color w:val="auto"/>
                      <w:sz w:val="22"/>
                      <w:szCs w:val="22"/>
                      <w:highlight w:val="none"/>
                    </w:rPr>
                    <w:t>切割、模具维修</w:t>
                  </w:r>
                </w:p>
              </w:tc>
            </w:tr>
            <w:tr w14:paraId="4528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521AF5BC">
                  <w:pPr>
                    <w:pStyle w:val="74"/>
                    <w:numPr>
                      <w:ilvl w:val="0"/>
                      <w:numId w:val="9"/>
                    </w:numPr>
                    <w:spacing w:before="0" w:beforeLines="0"/>
                    <w:rPr>
                      <w:rFonts w:eastAsia="宋体"/>
                      <w:color w:val="auto"/>
                      <w:sz w:val="22"/>
                      <w:szCs w:val="22"/>
                      <w:highlight w:val="none"/>
                    </w:rPr>
                  </w:pPr>
                </w:p>
              </w:tc>
              <w:tc>
                <w:tcPr>
                  <w:tcW w:w="877" w:type="dxa"/>
                  <w:vAlign w:val="center"/>
                </w:tcPr>
                <w:p w14:paraId="26F06F1B">
                  <w:pPr>
                    <w:pStyle w:val="74"/>
                    <w:spacing w:before="0" w:beforeLines="0"/>
                    <w:rPr>
                      <w:rFonts w:eastAsia="宋体"/>
                      <w:color w:val="auto"/>
                      <w:sz w:val="22"/>
                      <w:szCs w:val="22"/>
                      <w:highlight w:val="none"/>
                    </w:rPr>
                  </w:pPr>
                  <w:r>
                    <w:rPr>
                      <w:rFonts w:hint="eastAsia" w:eastAsia="宋体"/>
                      <w:color w:val="auto"/>
                      <w:sz w:val="22"/>
                      <w:szCs w:val="22"/>
                      <w:highlight w:val="none"/>
                    </w:rPr>
                    <w:t>乙炔</w:t>
                  </w:r>
                </w:p>
              </w:tc>
              <w:tc>
                <w:tcPr>
                  <w:tcW w:w="401" w:type="dxa"/>
                  <w:vAlign w:val="center"/>
                </w:tcPr>
                <w:p w14:paraId="00884630">
                  <w:pPr>
                    <w:rPr>
                      <w:color w:val="auto"/>
                      <w:sz w:val="22"/>
                      <w:szCs w:val="22"/>
                      <w:highlight w:val="none"/>
                    </w:rPr>
                  </w:pPr>
                  <w:r>
                    <w:rPr>
                      <w:rFonts w:hint="eastAsia"/>
                      <w:color w:val="auto"/>
                      <w:sz w:val="22"/>
                      <w:szCs w:val="22"/>
                      <w:highlight w:val="none"/>
                    </w:rPr>
                    <w:t>吨</w:t>
                  </w:r>
                </w:p>
              </w:tc>
              <w:tc>
                <w:tcPr>
                  <w:tcW w:w="867" w:type="dxa"/>
                  <w:vAlign w:val="center"/>
                </w:tcPr>
                <w:p w14:paraId="064342BC">
                  <w:pPr>
                    <w:pStyle w:val="74"/>
                    <w:spacing w:before="0" w:beforeLines="0"/>
                    <w:rPr>
                      <w:rFonts w:eastAsia="宋体"/>
                      <w:color w:val="auto"/>
                      <w:sz w:val="22"/>
                      <w:szCs w:val="22"/>
                      <w:highlight w:val="none"/>
                    </w:rPr>
                  </w:pPr>
                  <w:r>
                    <w:rPr>
                      <w:rFonts w:hint="eastAsia" w:eastAsia="宋体"/>
                      <w:color w:val="auto"/>
                      <w:sz w:val="22"/>
                      <w:szCs w:val="22"/>
                      <w:highlight w:val="none"/>
                    </w:rPr>
                    <w:t>100L</w:t>
                  </w:r>
                </w:p>
              </w:tc>
              <w:tc>
                <w:tcPr>
                  <w:tcW w:w="1009" w:type="dxa"/>
                  <w:vAlign w:val="center"/>
                </w:tcPr>
                <w:p w14:paraId="567A9F7A">
                  <w:pPr>
                    <w:pStyle w:val="74"/>
                    <w:spacing w:before="0" w:beforeLines="0"/>
                    <w:rPr>
                      <w:rFonts w:eastAsia="宋体"/>
                      <w:color w:val="auto"/>
                      <w:sz w:val="22"/>
                      <w:szCs w:val="22"/>
                      <w:highlight w:val="none"/>
                    </w:rPr>
                  </w:pPr>
                  <w:r>
                    <w:rPr>
                      <w:rFonts w:hint="eastAsia" w:eastAsia="宋体"/>
                      <w:color w:val="auto"/>
                      <w:sz w:val="22"/>
                      <w:szCs w:val="22"/>
                      <w:highlight w:val="none"/>
                    </w:rPr>
                    <w:t>50L</w:t>
                  </w:r>
                </w:p>
              </w:tc>
              <w:tc>
                <w:tcPr>
                  <w:tcW w:w="1762" w:type="dxa"/>
                  <w:vAlign w:val="center"/>
                </w:tcPr>
                <w:p w14:paraId="77F28035">
                  <w:pPr>
                    <w:pStyle w:val="74"/>
                    <w:spacing w:before="0" w:beforeLines="0"/>
                    <w:rPr>
                      <w:rFonts w:eastAsia="宋体"/>
                      <w:color w:val="auto"/>
                      <w:sz w:val="22"/>
                      <w:szCs w:val="22"/>
                      <w:highlight w:val="none"/>
                    </w:rPr>
                  </w:pPr>
                  <w:r>
                    <w:rPr>
                      <w:rFonts w:hint="eastAsia" w:eastAsia="宋体"/>
                      <w:color w:val="auto"/>
                      <w:sz w:val="22"/>
                      <w:szCs w:val="22"/>
                      <w:highlight w:val="none"/>
                    </w:rPr>
                    <w:t>瓶装、单瓶10L</w:t>
                  </w:r>
                </w:p>
              </w:tc>
              <w:tc>
                <w:tcPr>
                  <w:tcW w:w="1225" w:type="dxa"/>
                  <w:vAlign w:val="center"/>
                </w:tcPr>
                <w:p w14:paraId="3B1DEE81">
                  <w:pPr>
                    <w:pStyle w:val="71"/>
                    <w:jc w:val="center"/>
                    <w:textAlignment w:val="center"/>
                    <w:rPr>
                      <w:color w:val="auto"/>
                      <w:sz w:val="22"/>
                      <w:szCs w:val="22"/>
                      <w:highlight w:val="none"/>
                    </w:rPr>
                  </w:pPr>
                  <w:r>
                    <w:rPr>
                      <w:rFonts w:hint="eastAsia"/>
                      <w:color w:val="auto"/>
                      <w:sz w:val="22"/>
                      <w:szCs w:val="22"/>
                      <w:highlight w:val="none"/>
                    </w:rPr>
                    <w:t>气库</w:t>
                  </w:r>
                </w:p>
              </w:tc>
              <w:tc>
                <w:tcPr>
                  <w:tcW w:w="1511" w:type="dxa"/>
                  <w:vAlign w:val="center"/>
                </w:tcPr>
                <w:p w14:paraId="261E4DD8">
                  <w:pPr>
                    <w:pStyle w:val="71"/>
                    <w:jc w:val="center"/>
                    <w:textAlignment w:val="center"/>
                    <w:rPr>
                      <w:color w:val="auto"/>
                      <w:sz w:val="22"/>
                      <w:szCs w:val="22"/>
                      <w:highlight w:val="none"/>
                    </w:rPr>
                  </w:pPr>
                  <w:r>
                    <w:rPr>
                      <w:rFonts w:hint="eastAsia"/>
                      <w:color w:val="auto"/>
                      <w:sz w:val="22"/>
                      <w:szCs w:val="22"/>
                      <w:highlight w:val="none"/>
                    </w:rPr>
                    <w:t>模具维修</w:t>
                  </w:r>
                </w:p>
              </w:tc>
            </w:tr>
          </w:tbl>
          <w:p w14:paraId="41DDD93A">
            <w:pPr>
              <w:autoSpaceDE w:val="0"/>
              <w:autoSpaceDN w:val="0"/>
              <w:adjustRightInd w:val="0"/>
              <w:ind w:firstLine="522" w:firstLineChars="200"/>
              <w:jc w:val="left"/>
              <w:textAlignment w:val="baseline"/>
              <w:rPr>
                <w:b/>
                <w:color w:val="auto"/>
                <w:kern w:val="0"/>
                <w:sz w:val="26"/>
                <w:szCs w:val="26"/>
                <w:highlight w:val="none"/>
              </w:rPr>
            </w:pPr>
          </w:p>
          <w:p w14:paraId="10B2A674">
            <w:pPr>
              <w:autoSpaceDE w:val="0"/>
              <w:autoSpaceDN w:val="0"/>
              <w:adjustRightInd w:val="0"/>
              <w:ind w:firstLine="520" w:firstLineChars="200"/>
              <w:jc w:val="center"/>
              <w:textAlignment w:val="baseline"/>
              <w:rPr>
                <w:bCs/>
                <w:color w:val="auto"/>
                <w:sz w:val="26"/>
                <w:szCs w:val="26"/>
                <w:highlight w:val="none"/>
              </w:rPr>
            </w:pPr>
            <w:r>
              <w:rPr>
                <w:bCs/>
                <w:color w:val="auto"/>
                <w:sz w:val="26"/>
                <w:szCs w:val="26"/>
                <w:highlight w:val="none"/>
              </w:rPr>
              <w:t>表2.</w:t>
            </w:r>
            <w:r>
              <w:rPr>
                <w:rFonts w:hint="eastAsia"/>
                <w:bCs/>
                <w:color w:val="auto"/>
                <w:sz w:val="26"/>
                <w:szCs w:val="26"/>
                <w:highlight w:val="none"/>
              </w:rPr>
              <w:t>6</w:t>
            </w:r>
            <w:r>
              <w:rPr>
                <w:bCs/>
                <w:color w:val="auto"/>
                <w:sz w:val="26"/>
                <w:szCs w:val="26"/>
                <w:highlight w:val="none"/>
              </w:rPr>
              <w:t xml:space="preserve">-2  </w:t>
            </w:r>
            <w:r>
              <w:rPr>
                <w:rFonts w:hint="eastAsia"/>
                <w:bCs/>
                <w:color w:val="auto"/>
                <w:sz w:val="26"/>
                <w:szCs w:val="26"/>
                <w:highlight w:val="none"/>
              </w:rPr>
              <w:t>主要</w:t>
            </w:r>
            <w:r>
              <w:rPr>
                <w:bCs/>
                <w:color w:val="auto"/>
                <w:sz w:val="26"/>
                <w:szCs w:val="26"/>
                <w:highlight w:val="none"/>
              </w:rPr>
              <w:t>原辅材料理化性质</w:t>
            </w:r>
          </w:p>
          <w:tbl>
            <w:tblPr>
              <w:tblStyle w:val="16"/>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7097"/>
            </w:tblGrid>
            <w:tr w14:paraId="57553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14:paraId="4541115C">
                  <w:pPr>
                    <w:pStyle w:val="91"/>
                    <w:jc w:val="center"/>
                    <w:rPr>
                      <w:color w:val="auto"/>
                      <w:sz w:val="22"/>
                      <w:szCs w:val="22"/>
                      <w:highlight w:val="none"/>
                    </w:rPr>
                  </w:pPr>
                  <w:r>
                    <w:rPr>
                      <w:rFonts w:hint="eastAsia"/>
                      <w:color w:val="auto"/>
                      <w:sz w:val="22"/>
                      <w:szCs w:val="22"/>
                      <w:highlight w:val="none"/>
                    </w:rPr>
                    <w:t>名称</w:t>
                  </w:r>
                </w:p>
              </w:tc>
              <w:tc>
                <w:tcPr>
                  <w:tcW w:w="7097" w:type="dxa"/>
                  <w:tcBorders>
                    <w:top w:val="single" w:color="auto" w:sz="4" w:space="0"/>
                    <w:left w:val="single" w:color="auto" w:sz="4" w:space="0"/>
                    <w:bottom w:val="single" w:color="auto" w:sz="4" w:space="0"/>
                    <w:right w:val="single" w:color="auto" w:sz="4" w:space="0"/>
                  </w:tcBorders>
                  <w:vAlign w:val="center"/>
                </w:tcPr>
                <w:p w14:paraId="3B746EEC">
                  <w:pPr>
                    <w:pStyle w:val="91"/>
                    <w:jc w:val="center"/>
                    <w:rPr>
                      <w:color w:val="auto"/>
                      <w:sz w:val="22"/>
                      <w:szCs w:val="22"/>
                      <w:highlight w:val="none"/>
                    </w:rPr>
                  </w:pPr>
                  <w:r>
                    <w:rPr>
                      <w:rFonts w:hint="eastAsia"/>
                      <w:color w:val="auto"/>
                      <w:sz w:val="22"/>
                      <w:szCs w:val="22"/>
                      <w:highlight w:val="none"/>
                    </w:rPr>
                    <w:t>性质</w:t>
                  </w:r>
                </w:p>
              </w:tc>
            </w:tr>
            <w:tr w14:paraId="189D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14:paraId="1FE739AF">
                  <w:pPr>
                    <w:adjustRightInd w:val="0"/>
                    <w:ind w:left="-5"/>
                    <w:jc w:val="center"/>
                    <w:rPr>
                      <w:rFonts w:ascii="宋体" w:hAnsi="宋体" w:cs="宋体"/>
                      <w:color w:val="auto"/>
                      <w:sz w:val="22"/>
                      <w:szCs w:val="22"/>
                      <w:highlight w:val="none"/>
                    </w:rPr>
                  </w:pPr>
                  <w:r>
                    <w:rPr>
                      <w:rFonts w:hint="eastAsia" w:ascii="宋体" w:hAnsi="宋体" w:cs="宋体"/>
                      <w:color w:val="auto"/>
                      <w:sz w:val="22"/>
                      <w:szCs w:val="22"/>
                      <w:highlight w:val="none"/>
                    </w:rPr>
                    <w:t>液压油</w:t>
                  </w:r>
                </w:p>
              </w:tc>
              <w:tc>
                <w:tcPr>
                  <w:tcW w:w="7097" w:type="dxa"/>
                  <w:tcBorders>
                    <w:top w:val="single" w:color="auto" w:sz="4" w:space="0"/>
                    <w:left w:val="single" w:color="auto" w:sz="4" w:space="0"/>
                    <w:bottom w:val="single" w:color="auto" w:sz="4" w:space="0"/>
                    <w:right w:val="single" w:color="auto" w:sz="4" w:space="0"/>
                  </w:tcBorders>
                  <w:vAlign w:val="center"/>
                </w:tcPr>
                <w:p w14:paraId="04684E01">
                  <w:pPr>
                    <w:jc w:val="center"/>
                    <w:rPr>
                      <w:color w:val="auto"/>
                      <w:sz w:val="22"/>
                      <w:szCs w:val="22"/>
                      <w:highlight w:val="none"/>
                    </w:rPr>
                  </w:pPr>
                  <w:r>
                    <w:rPr>
                      <w:rFonts w:eastAsiaTheme="minorEastAsia"/>
                      <w:color w:val="auto"/>
                      <w:sz w:val="22"/>
                      <w:szCs w:val="22"/>
                      <w:highlight w:val="none"/>
                    </w:rPr>
                    <w:t>油状液体，是</w:t>
                  </w:r>
                  <w:r>
                    <w:rPr>
                      <w:rFonts w:eastAsiaTheme="minorEastAsia"/>
                      <w:color w:val="auto"/>
                      <w:spacing w:val="4"/>
                      <w:sz w:val="22"/>
                      <w:szCs w:val="22"/>
                      <w:highlight w:val="none"/>
                      <w:shd w:val="clear" w:color="auto" w:fill="FFFFFF"/>
                    </w:rPr>
                    <w:t>液压系统中能量传递的介质，通过液压油的流动，将机械能转化为液压能，再通过液压缸、液压马达等执行元件将液压能转化为机械能，从而实现系统的动力传递和运动控制</w:t>
                  </w:r>
                  <w:r>
                    <w:rPr>
                      <w:rFonts w:eastAsiaTheme="minorEastAsia"/>
                      <w:color w:val="auto"/>
                      <w:sz w:val="22"/>
                      <w:szCs w:val="22"/>
                      <w:highlight w:val="none"/>
                    </w:rPr>
                    <w:t>。密度890~910kg/m</w:t>
                  </w:r>
                  <w:r>
                    <w:rPr>
                      <w:rFonts w:eastAsiaTheme="minorEastAsia"/>
                      <w:color w:val="auto"/>
                      <w:sz w:val="22"/>
                      <w:szCs w:val="22"/>
                      <w:highlight w:val="none"/>
                      <w:vertAlign w:val="superscript"/>
                    </w:rPr>
                    <w:t>3</w:t>
                  </w:r>
                  <w:r>
                    <w:rPr>
                      <w:rFonts w:eastAsiaTheme="minorEastAsia"/>
                      <w:color w:val="auto"/>
                      <w:sz w:val="22"/>
                      <w:szCs w:val="22"/>
                      <w:highlight w:val="none"/>
                    </w:rPr>
                    <w:t>，沸点＞157.2℃。具有良好的抗氧化性、抗腐蚀性、水解稳定性、热稳定性。</w:t>
                  </w:r>
                </w:p>
              </w:tc>
            </w:tr>
            <w:tr w14:paraId="180C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14:paraId="08AE7EFF">
                  <w:pPr>
                    <w:adjustRightInd w:val="0"/>
                    <w:ind w:left="-5"/>
                    <w:jc w:val="center"/>
                    <w:rPr>
                      <w:rFonts w:ascii="宋体" w:hAnsi="宋体" w:cs="宋体"/>
                      <w:color w:val="auto"/>
                      <w:sz w:val="22"/>
                      <w:szCs w:val="22"/>
                      <w:highlight w:val="none"/>
                    </w:rPr>
                  </w:pPr>
                  <w:r>
                    <w:rPr>
                      <w:rFonts w:hint="eastAsia" w:ascii="宋体" w:hAnsi="宋体" w:cs="宋体"/>
                      <w:color w:val="auto"/>
                      <w:sz w:val="22"/>
                      <w:szCs w:val="22"/>
                      <w:highlight w:val="none"/>
                    </w:rPr>
                    <w:t>润滑油</w:t>
                  </w:r>
                </w:p>
              </w:tc>
              <w:tc>
                <w:tcPr>
                  <w:tcW w:w="7097" w:type="dxa"/>
                  <w:tcBorders>
                    <w:top w:val="single" w:color="auto" w:sz="4" w:space="0"/>
                    <w:left w:val="single" w:color="auto" w:sz="4" w:space="0"/>
                    <w:bottom w:val="single" w:color="auto" w:sz="4" w:space="0"/>
                    <w:right w:val="single" w:color="auto" w:sz="4" w:space="0"/>
                  </w:tcBorders>
                  <w:vAlign w:val="center"/>
                </w:tcPr>
                <w:p w14:paraId="5FE8C7BC">
                  <w:pPr>
                    <w:jc w:val="center"/>
                    <w:rPr>
                      <w:color w:val="auto"/>
                      <w:sz w:val="22"/>
                      <w:szCs w:val="22"/>
                      <w:highlight w:val="none"/>
                    </w:rPr>
                  </w:pPr>
                  <w:r>
                    <w:rPr>
                      <w:color w:val="auto"/>
                      <w:sz w:val="22"/>
                      <w:szCs w:val="22"/>
                      <w:highlight w:val="none"/>
                    </w:rPr>
                    <w:t xml:space="preserve">用于各类加工或辅助设备。油状液体，基础油和添加剂组成，淡黄色至褐色，无气味或略带气味。不溶于水，遇高热、明火可燃，闪点76℃。供各种机械设备润滑使用。 </w:t>
                  </w:r>
                </w:p>
              </w:tc>
            </w:tr>
            <w:tr w14:paraId="608E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14:paraId="38943598">
                  <w:pPr>
                    <w:adjustRightInd w:val="0"/>
                    <w:ind w:left="-5"/>
                    <w:jc w:val="center"/>
                    <w:rPr>
                      <w:rFonts w:ascii="宋体" w:hAnsi="宋体" w:cs="宋体"/>
                      <w:color w:val="auto"/>
                      <w:sz w:val="22"/>
                      <w:szCs w:val="22"/>
                      <w:highlight w:val="none"/>
                    </w:rPr>
                  </w:pPr>
                  <w:r>
                    <w:rPr>
                      <w:rFonts w:hint="eastAsia" w:ascii="宋体" w:hAnsi="宋体" w:cs="宋体"/>
                      <w:color w:val="auto"/>
                      <w:sz w:val="22"/>
                      <w:szCs w:val="22"/>
                      <w:highlight w:val="none"/>
                    </w:rPr>
                    <w:t>折边胶</w:t>
                  </w:r>
                </w:p>
              </w:tc>
              <w:tc>
                <w:tcPr>
                  <w:tcW w:w="7097" w:type="dxa"/>
                  <w:tcBorders>
                    <w:top w:val="single" w:color="auto" w:sz="4" w:space="0"/>
                    <w:left w:val="single" w:color="auto" w:sz="4" w:space="0"/>
                    <w:bottom w:val="single" w:color="auto" w:sz="4" w:space="0"/>
                    <w:right w:val="single" w:color="auto" w:sz="4" w:space="0"/>
                  </w:tcBorders>
                  <w:vAlign w:val="center"/>
                </w:tcPr>
                <w:p w14:paraId="1BAFF14F">
                  <w:pPr>
                    <w:keepNext w:val="0"/>
                    <w:keepLines w:val="0"/>
                    <w:pageBreakBefore w:val="0"/>
                    <w:widowControl/>
                    <w:kinsoku/>
                    <w:wordWrap/>
                    <w:overflowPunct/>
                    <w:topLinePunct w:val="0"/>
                    <w:autoSpaceDE/>
                    <w:autoSpaceDN/>
                    <w:bidi w:val="0"/>
                    <w:adjustRightInd w:val="0"/>
                    <w:snapToGrid w:val="0"/>
                    <w:jc w:val="center"/>
                    <w:textAlignment w:val="auto"/>
                    <w:rPr>
                      <w:color w:val="auto"/>
                      <w:sz w:val="22"/>
                      <w:szCs w:val="22"/>
                      <w:highlight w:val="none"/>
                    </w:rPr>
                  </w:pPr>
                  <w:r>
                    <w:rPr>
                      <w:color w:val="auto"/>
                      <w:sz w:val="22"/>
                      <w:szCs w:val="22"/>
                      <w:highlight w:val="none"/>
                    </w:rPr>
                    <w:t>以环氧树脂为主体的</w:t>
                  </w:r>
                  <w:r>
                    <w:rPr>
                      <w:rFonts w:hint="eastAsia"/>
                      <w:color w:val="auto"/>
                      <w:sz w:val="22"/>
                      <w:szCs w:val="22"/>
                      <w:highlight w:val="none"/>
                      <w:lang w:eastAsia="zh-CN"/>
                    </w:rPr>
                    <w:t>单组分</w:t>
                  </w:r>
                  <w:r>
                    <w:rPr>
                      <w:color w:val="auto"/>
                      <w:sz w:val="22"/>
                      <w:szCs w:val="22"/>
                      <w:highlight w:val="none"/>
                    </w:rPr>
                    <w:t>无溶剂型</w:t>
                  </w:r>
                  <w:bookmarkStart w:id="45" w:name="hmcheck_cb75b32804cd4de6b3c855c639fa70b0"/>
                  <w:r>
                    <w:rPr>
                      <w:rFonts w:hint="eastAsia"/>
                      <w:color w:val="auto"/>
                      <w:sz w:val="22"/>
                      <w:szCs w:val="22"/>
                      <w:highlight w:val="none"/>
                      <w:shd w:val="clear" w:fill="B2E9BC"/>
                      <w:lang w:eastAsia="zh-CN"/>
                    </w:rPr>
                    <w:t>胶黏剂</w:t>
                  </w:r>
                  <w:bookmarkEnd w:id="45"/>
                  <w:r>
                    <w:rPr>
                      <w:color w:val="auto"/>
                      <w:sz w:val="22"/>
                      <w:szCs w:val="22"/>
                      <w:highlight w:val="none"/>
                    </w:rPr>
                    <w:t>；油面粘接性好，粘接强度高、韧性好；施工性好，加热固化不流淌；具有优异的耐油、耐水、耐酸碱、耐化学品性能，防腐性能好，并具有良好的耐热、耐潮湿性能。</w:t>
                  </w:r>
                  <w:r>
                    <w:rPr>
                      <w:rFonts w:hint="eastAsia"/>
                      <w:color w:val="auto"/>
                      <w:sz w:val="22"/>
                      <w:szCs w:val="22"/>
                      <w:highlight w:val="none"/>
                    </w:rPr>
                    <w:t>主要用于折边处粘接，起固定、连接、密封、防腐作用。</w:t>
                  </w:r>
                  <w:r>
                    <w:rPr>
                      <w:color w:val="auto"/>
                      <w:sz w:val="22"/>
                      <w:szCs w:val="22"/>
                      <w:highlight w:val="none"/>
                    </w:rPr>
                    <w:t>本项目使用的</w:t>
                  </w:r>
                  <w:r>
                    <w:rPr>
                      <w:rFonts w:hint="eastAsia"/>
                      <w:color w:val="auto"/>
                      <w:sz w:val="22"/>
                      <w:szCs w:val="22"/>
                      <w:highlight w:val="none"/>
                    </w:rPr>
                    <w:t>折边胶</w:t>
                  </w:r>
                  <w:r>
                    <w:rPr>
                      <w:rFonts w:hint="eastAsia"/>
                      <w:color w:val="auto"/>
                      <w:sz w:val="22"/>
                      <w:szCs w:val="22"/>
                      <w:highlight w:val="none"/>
                      <w:lang w:eastAsia="zh-CN"/>
                    </w:rPr>
                    <w:t>为三友高分子技术有限公司汽车用钢板折边胶，</w:t>
                  </w:r>
                  <w:r>
                    <w:rPr>
                      <w:rFonts w:hint="eastAsia"/>
                      <w:color w:val="auto"/>
                      <w:sz w:val="22"/>
                      <w:szCs w:val="22"/>
                      <w:highlight w:val="none"/>
                    </w:rPr>
                    <w:t>以环氧树脂为主体，</w:t>
                  </w:r>
                  <w:r>
                    <w:rPr>
                      <w:rFonts w:hint="eastAsia"/>
                      <w:color w:val="auto"/>
                      <w:sz w:val="22"/>
                      <w:szCs w:val="22"/>
                      <w:highlight w:val="none"/>
                      <w:lang w:eastAsia="zh-CN"/>
                    </w:rPr>
                    <w:t>产品质量标准执行《汽车用折边胶》（QC/T 852-2011），其中对不挥发物含量技术要求为≥98%</w:t>
                  </w:r>
                  <w:r>
                    <w:rPr>
                      <w:rFonts w:hint="eastAsia"/>
                      <w:color w:val="auto"/>
                      <w:sz w:val="22"/>
                      <w:szCs w:val="22"/>
                      <w:highlight w:val="none"/>
                      <w:lang w:val="en-US" w:eastAsia="zh-CN"/>
                    </w:rPr>
                    <w:t>，则其</w:t>
                  </w:r>
                  <w:r>
                    <w:rPr>
                      <w:color w:val="auto"/>
                      <w:sz w:val="22"/>
                      <w:szCs w:val="22"/>
                      <w:highlight w:val="none"/>
                    </w:rPr>
                    <w:t>VOC</w:t>
                  </w:r>
                  <w:r>
                    <w:rPr>
                      <w:rFonts w:hint="eastAsia"/>
                      <w:color w:val="auto"/>
                      <w:sz w:val="22"/>
                      <w:szCs w:val="22"/>
                      <w:highlight w:val="none"/>
                      <w:lang w:eastAsia="zh-CN"/>
                    </w:rPr>
                    <w:t>含量</w:t>
                  </w:r>
                  <w:r>
                    <w:rPr>
                      <w:rFonts w:hint="eastAsia" w:ascii="微软雅黑" w:hAnsi="微软雅黑" w:eastAsia="微软雅黑" w:cs="微软雅黑"/>
                      <w:color w:val="auto"/>
                      <w:sz w:val="22"/>
                      <w:szCs w:val="22"/>
                      <w:highlight w:val="none"/>
                    </w:rPr>
                    <w:t>&lt;</w:t>
                  </w:r>
                  <w:r>
                    <w:rPr>
                      <w:rFonts w:hint="eastAsia" w:eastAsia="微软雅黑"/>
                      <w:color w:val="auto"/>
                      <w:sz w:val="22"/>
                      <w:szCs w:val="22"/>
                      <w:highlight w:val="none"/>
                      <w:lang w:val="en-US" w:eastAsia="zh-CN"/>
                    </w:rPr>
                    <w:t>2%</w:t>
                  </w:r>
                  <w:r>
                    <w:rPr>
                      <w:rFonts w:hint="eastAsia"/>
                      <w:color w:val="auto"/>
                      <w:sz w:val="22"/>
                      <w:szCs w:val="22"/>
                      <w:highlight w:val="none"/>
                    </w:rPr>
                    <w:t>，属低挥发性</w:t>
                  </w:r>
                  <w:bookmarkStart w:id="46" w:name="hmcheck_755b2ba214c54196946971ffe5d6e99e"/>
                  <w:r>
                    <w:rPr>
                      <w:rFonts w:hint="eastAsia"/>
                      <w:color w:val="auto"/>
                      <w:sz w:val="22"/>
                      <w:szCs w:val="22"/>
                      <w:highlight w:val="none"/>
                      <w:shd w:val="clear" w:fill="B2E9BC"/>
                      <w:lang w:eastAsia="zh-CN"/>
                    </w:rPr>
                    <w:t>胶黏剂</w:t>
                  </w:r>
                  <w:bookmarkEnd w:id="46"/>
                  <w:r>
                    <w:rPr>
                      <w:rFonts w:hint="eastAsia"/>
                      <w:color w:val="auto"/>
                      <w:sz w:val="22"/>
                      <w:szCs w:val="22"/>
                      <w:highlight w:val="none"/>
                    </w:rPr>
                    <w:t>。</w:t>
                  </w:r>
                </w:p>
              </w:tc>
            </w:tr>
            <w:tr w14:paraId="72DB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14:paraId="086A59B1">
                  <w:pPr>
                    <w:adjustRightInd w:val="0"/>
                    <w:ind w:left="-5"/>
                    <w:jc w:val="center"/>
                    <w:rPr>
                      <w:color w:val="auto"/>
                      <w:sz w:val="22"/>
                      <w:szCs w:val="22"/>
                      <w:highlight w:val="none"/>
                    </w:rPr>
                  </w:pPr>
                  <w:r>
                    <w:rPr>
                      <w:color w:val="auto"/>
                      <w:sz w:val="22"/>
                      <w:szCs w:val="22"/>
                      <w:highlight w:val="none"/>
                    </w:rPr>
                    <w:t>二氧化碳</w:t>
                  </w:r>
                </w:p>
              </w:tc>
              <w:tc>
                <w:tcPr>
                  <w:tcW w:w="7097" w:type="dxa"/>
                  <w:tcBorders>
                    <w:top w:val="single" w:color="auto" w:sz="4" w:space="0"/>
                    <w:left w:val="single" w:color="auto" w:sz="4" w:space="0"/>
                    <w:bottom w:val="single" w:color="auto" w:sz="4" w:space="0"/>
                    <w:right w:val="single" w:color="auto" w:sz="4" w:space="0"/>
                  </w:tcBorders>
                  <w:vAlign w:val="center"/>
                </w:tcPr>
                <w:p w14:paraId="36675AF2">
                  <w:pPr>
                    <w:jc w:val="center"/>
                    <w:rPr>
                      <w:color w:val="auto"/>
                      <w:sz w:val="22"/>
                      <w:szCs w:val="22"/>
                      <w:highlight w:val="none"/>
                    </w:rPr>
                  </w:pPr>
                  <w:r>
                    <w:rPr>
                      <w:color w:val="auto"/>
                      <w:sz w:val="22"/>
                      <w:szCs w:val="22"/>
                      <w:highlight w:val="none"/>
                    </w:rPr>
                    <w:t>气体，</w:t>
                  </w:r>
                  <w:r>
                    <w:rPr>
                      <w:color w:val="auto"/>
                      <w:kern w:val="0"/>
                      <w:sz w:val="22"/>
                      <w:szCs w:val="22"/>
                      <w:highlight w:val="none"/>
                    </w:rPr>
                    <w:t>CO</w:t>
                  </w:r>
                  <w:r>
                    <w:rPr>
                      <w:color w:val="auto"/>
                      <w:kern w:val="0"/>
                      <w:sz w:val="22"/>
                      <w:szCs w:val="22"/>
                      <w:highlight w:val="none"/>
                      <w:vertAlign w:val="subscript"/>
                    </w:rPr>
                    <w:t>2</w:t>
                  </w:r>
                  <w:r>
                    <w:rPr>
                      <w:color w:val="auto"/>
                      <w:sz w:val="22"/>
                      <w:szCs w:val="22"/>
                      <w:highlight w:val="none"/>
                    </w:rPr>
                    <w:t>，性质十分不活泼，无色、无味的惰性气体，既不能燃烧，也不助燃，在标准状态下密度为1.977 kg/m³，液态密度为929.5 kg/m³。用作电弧焊接（切割）保护气体，防止焊接件被空气氧化或氮化。</w:t>
                  </w:r>
                </w:p>
              </w:tc>
            </w:tr>
            <w:tr w14:paraId="7946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14:paraId="5025D084">
                  <w:pPr>
                    <w:adjustRightInd w:val="0"/>
                    <w:ind w:left="-5"/>
                    <w:jc w:val="center"/>
                    <w:rPr>
                      <w:color w:val="auto"/>
                      <w:sz w:val="22"/>
                      <w:szCs w:val="22"/>
                      <w:highlight w:val="none"/>
                    </w:rPr>
                  </w:pPr>
                  <w:r>
                    <w:rPr>
                      <w:color w:val="auto"/>
                      <w:sz w:val="22"/>
                      <w:szCs w:val="22"/>
                      <w:highlight w:val="none"/>
                    </w:rPr>
                    <w:t>氩气</w:t>
                  </w:r>
                </w:p>
              </w:tc>
              <w:tc>
                <w:tcPr>
                  <w:tcW w:w="7097" w:type="dxa"/>
                  <w:tcBorders>
                    <w:top w:val="single" w:color="auto" w:sz="4" w:space="0"/>
                    <w:left w:val="single" w:color="auto" w:sz="4" w:space="0"/>
                    <w:bottom w:val="single" w:color="auto" w:sz="4" w:space="0"/>
                    <w:right w:val="single" w:color="auto" w:sz="4" w:space="0"/>
                  </w:tcBorders>
                  <w:vAlign w:val="center"/>
                </w:tcPr>
                <w:p w14:paraId="7A6FB24A">
                  <w:pPr>
                    <w:jc w:val="center"/>
                    <w:rPr>
                      <w:color w:val="auto"/>
                      <w:sz w:val="22"/>
                      <w:szCs w:val="22"/>
                      <w:highlight w:val="none"/>
                    </w:rPr>
                  </w:pPr>
                  <w:r>
                    <w:rPr>
                      <w:color w:val="auto"/>
                      <w:sz w:val="22"/>
                      <w:szCs w:val="22"/>
                      <w:highlight w:val="none"/>
                    </w:rPr>
                    <w:t>气体，Ar，无色、无味的惰性气体，在标准状态下密度为1.784kg/m³。其沸点为-185.7℃。性质十分不活泼，既不能燃烧，也不助燃。可</w:t>
                  </w:r>
                  <w:r>
                    <w:rPr>
                      <w:rFonts w:hint="eastAsia"/>
                      <w:color w:val="auto"/>
                      <w:sz w:val="22"/>
                      <w:szCs w:val="22"/>
                      <w:highlight w:val="none"/>
                      <w:lang w:eastAsia="zh-CN"/>
                    </w:rPr>
                    <w:t>在</w:t>
                  </w:r>
                  <w:r>
                    <w:rPr>
                      <w:color w:val="auto"/>
                      <w:sz w:val="22"/>
                      <w:szCs w:val="22"/>
                      <w:highlight w:val="none"/>
                    </w:rPr>
                    <w:t>压力钢瓶中以液态形式储存和运送，液氩的密度为1.39t/m³。在机械加工中用作电弧焊接（切割）不锈钢、镁、铝、和</w:t>
                  </w:r>
                  <w:bookmarkStart w:id="47" w:name="hmcheck_3a55ff6cc60647f8860fbc886d24b60c"/>
                  <w:r>
                    <w:rPr>
                      <w:rFonts w:hint="eastAsia"/>
                      <w:color w:val="auto"/>
                      <w:sz w:val="22"/>
                      <w:szCs w:val="22"/>
                      <w:highlight w:val="none"/>
                      <w:shd w:val="clear" w:fill="B2E9BC"/>
                      <w:lang w:eastAsia="zh-CN"/>
                    </w:rPr>
                    <w:t>其他</w:t>
                  </w:r>
                  <w:bookmarkEnd w:id="47"/>
                  <w:r>
                    <w:rPr>
                      <w:color w:val="auto"/>
                      <w:sz w:val="22"/>
                      <w:szCs w:val="22"/>
                      <w:highlight w:val="none"/>
                    </w:rPr>
                    <w:t>合金的保护气体，防止焊接件被空气氧化或氮化。</w:t>
                  </w:r>
                </w:p>
              </w:tc>
            </w:tr>
            <w:tr w14:paraId="510F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14:paraId="58CE1336">
                  <w:pPr>
                    <w:adjustRightInd w:val="0"/>
                    <w:ind w:left="-5"/>
                    <w:jc w:val="center"/>
                    <w:rPr>
                      <w:rFonts w:ascii="宋体" w:hAnsi="宋体" w:cs="宋体"/>
                      <w:color w:val="auto"/>
                      <w:sz w:val="22"/>
                      <w:szCs w:val="22"/>
                      <w:highlight w:val="none"/>
                    </w:rPr>
                  </w:pPr>
                  <w:r>
                    <w:rPr>
                      <w:rFonts w:hint="eastAsia" w:ascii="宋体" w:hAnsi="宋体" w:cs="宋体"/>
                      <w:color w:val="auto"/>
                      <w:sz w:val="22"/>
                      <w:szCs w:val="22"/>
                      <w:highlight w:val="none"/>
                    </w:rPr>
                    <w:t>氮气</w:t>
                  </w:r>
                </w:p>
              </w:tc>
              <w:tc>
                <w:tcPr>
                  <w:tcW w:w="7097" w:type="dxa"/>
                  <w:tcBorders>
                    <w:top w:val="single" w:color="auto" w:sz="4" w:space="0"/>
                    <w:left w:val="single" w:color="auto" w:sz="4" w:space="0"/>
                    <w:bottom w:val="single" w:color="auto" w:sz="4" w:space="0"/>
                    <w:right w:val="single" w:color="auto" w:sz="4" w:space="0"/>
                  </w:tcBorders>
                  <w:vAlign w:val="center"/>
                </w:tcPr>
                <w:p w14:paraId="36244DD6">
                  <w:pPr>
                    <w:jc w:val="center"/>
                    <w:rPr>
                      <w:color w:val="auto"/>
                      <w:sz w:val="22"/>
                      <w:szCs w:val="22"/>
                      <w:highlight w:val="none"/>
                    </w:rPr>
                  </w:pPr>
                  <w:r>
                    <w:rPr>
                      <w:rFonts w:hint="eastAsia"/>
                      <w:color w:val="auto"/>
                      <w:sz w:val="22"/>
                      <w:szCs w:val="22"/>
                      <w:highlight w:val="none"/>
                    </w:rPr>
                    <w:t>气体，N</w:t>
                  </w:r>
                  <w:r>
                    <w:rPr>
                      <w:rFonts w:hint="eastAsia"/>
                      <w:color w:val="auto"/>
                      <w:sz w:val="22"/>
                      <w:szCs w:val="22"/>
                      <w:highlight w:val="none"/>
                      <w:vertAlign w:val="subscript"/>
                    </w:rPr>
                    <w:t>2</w:t>
                  </w:r>
                  <w:r>
                    <w:rPr>
                      <w:rFonts w:hint="eastAsia"/>
                      <w:color w:val="auto"/>
                      <w:sz w:val="22"/>
                      <w:szCs w:val="22"/>
                      <w:highlight w:val="none"/>
                    </w:rPr>
                    <w:t>，常温下为无色无味无臭的气体，标准条件下密度1.25 g/dm³，低温下可液化（沸点-195.6℃，熔点-209.8℃），通常以高压气体形式储存在黑色钢瓶中，化学性质极稳定，常温下不易反应。主要用于置换切割区域氧气，避免金属（如不锈钢、铝、钛）在高温下氧化，防止切割边缘变色、生锈或形成氧化膜。</w:t>
                  </w:r>
                </w:p>
              </w:tc>
            </w:tr>
            <w:tr w14:paraId="0AB4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14:paraId="5987D56B">
                  <w:pPr>
                    <w:adjustRightInd w:val="0"/>
                    <w:ind w:left="-5"/>
                    <w:jc w:val="center"/>
                    <w:rPr>
                      <w:rFonts w:ascii="宋体" w:hAnsi="宋体" w:cs="宋体"/>
                      <w:color w:val="auto"/>
                      <w:sz w:val="22"/>
                      <w:szCs w:val="22"/>
                      <w:highlight w:val="none"/>
                    </w:rPr>
                  </w:pPr>
                  <w:r>
                    <w:rPr>
                      <w:rFonts w:hint="eastAsia" w:ascii="宋体" w:hAnsi="宋体" w:cs="宋体"/>
                      <w:color w:val="auto"/>
                      <w:sz w:val="22"/>
                      <w:szCs w:val="22"/>
                      <w:highlight w:val="none"/>
                    </w:rPr>
                    <w:t>氧气</w:t>
                  </w:r>
                </w:p>
              </w:tc>
              <w:tc>
                <w:tcPr>
                  <w:tcW w:w="7097" w:type="dxa"/>
                  <w:tcBorders>
                    <w:top w:val="single" w:color="auto" w:sz="4" w:space="0"/>
                    <w:left w:val="single" w:color="auto" w:sz="4" w:space="0"/>
                    <w:bottom w:val="single" w:color="auto" w:sz="4" w:space="0"/>
                    <w:right w:val="single" w:color="auto" w:sz="4" w:space="0"/>
                  </w:tcBorders>
                  <w:vAlign w:val="center"/>
                </w:tcPr>
                <w:p w14:paraId="4970882D">
                  <w:pPr>
                    <w:jc w:val="center"/>
                    <w:rPr>
                      <w:color w:val="auto"/>
                      <w:sz w:val="22"/>
                      <w:szCs w:val="22"/>
                      <w:highlight w:val="none"/>
                    </w:rPr>
                  </w:pPr>
                  <w:r>
                    <w:rPr>
                      <w:rFonts w:hint="eastAsia"/>
                      <w:color w:val="auto"/>
                      <w:sz w:val="22"/>
                      <w:szCs w:val="22"/>
                      <w:highlight w:val="none"/>
                    </w:rPr>
                    <w:t>气体，O</w:t>
                  </w:r>
                  <w:r>
                    <w:rPr>
                      <w:rFonts w:hint="eastAsia"/>
                      <w:color w:val="auto"/>
                      <w:sz w:val="22"/>
                      <w:szCs w:val="22"/>
                      <w:highlight w:val="none"/>
                      <w:vertAlign w:val="subscript"/>
                    </w:rPr>
                    <w:t>2</w:t>
                  </w:r>
                  <w:r>
                    <w:rPr>
                      <w:rFonts w:hint="eastAsia"/>
                      <w:color w:val="auto"/>
                      <w:sz w:val="22"/>
                      <w:szCs w:val="22"/>
                      <w:highlight w:val="none"/>
                    </w:rPr>
                    <w:t>，常温下为无色无味气体，标准状况下密度为1.429 g/L（比空气略大），微溶于水，具有强氧化性与助燃性。适用于激光切割中碳钢、厚板及高速切割，及模具维修时辅助乙炔燃烧。</w:t>
                  </w:r>
                </w:p>
              </w:tc>
            </w:tr>
            <w:tr w14:paraId="0AAF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14:paraId="4F929292">
                  <w:pPr>
                    <w:pStyle w:val="91"/>
                    <w:jc w:val="center"/>
                    <w:rPr>
                      <w:color w:val="auto"/>
                      <w:sz w:val="22"/>
                      <w:szCs w:val="22"/>
                      <w:highlight w:val="none"/>
                    </w:rPr>
                  </w:pPr>
                  <w:r>
                    <w:rPr>
                      <w:rFonts w:hint="eastAsia"/>
                      <w:color w:val="auto"/>
                      <w:sz w:val="22"/>
                      <w:szCs w:val="22"/>
                      <w:highlight w:val="none"/>
                    </w:rPr>
                    <w:t>乙炔</w:t>
                  </w:r>
                </w:p>
              </w:tc>
              <w:tc>
                <w:tcPr>
                  <w:tcW w:w="7097" w:type="dxa"/>
                  <w:tcBorders>
                    <w:top w:val="single" w:color="auto" w:sz="4" w:space="0"/>
                    <w:left w:val="single" w:color="auto" w:sz="4" w:space="0"/>
                    <w:bottom w:val="single" w:color="auto" w:sz="4" w:space="0"/>
                    <w:right w:val="single" w:color="auto" w:sz="4" w:space="0"/>
                  </w:tcBorders>
                  <w:vAlign w:val="center"/>
                </w:tcPr>
                <w:p w14:paraId="23CB1FEE">
                  <w:pPr>
                    <w:jc w:val="center"/>
                    <w:rPr>
                      <w:color w:val="auto"/>
                      <w:sz w:val="22"/>
                      <w:szCs w:val="22"/>
                      <w:highlight w:val="none"/>
                    </w:rPr>
                  </w:pPr>
                  <w:r>
                    <w:rPr>
                      <w:rFonts w:hint="eastAsia"/>
                      <w:color w:val="auto"/>
                      <w:sz w:val="22"/>
                      <w:szCs w:val="22"/>
                      <w:highlight w:val="none"/>
                    </w:rPr>
                    <w:t>气体，</w:t>
                  </w:r>
                  <w:r>
                    <w:rPr>
                      <w:rFonts w:ascii="Arial" w:hAnsi="Arial" w:eastAsia="Arial" w:cs="Arial"/>
                      <w:color w:val="auto"/>
                      <w:sz w:val="22"/>
                      <w:szCs w:val="22"/>
                      <w:highlight w:val="none"/>
                      <w:shd w:val="clear" w:color="auto" w:fill="FFFFFF"/>
                    </w:rPr>
                    <w:t>C</w:t>
                  </w:r>
                  <w:r>
                    <w:rPr>
                      <w:rFonts w:hint="eastAsia" w:ascii="Arial" w:hAnsi="Arial" w:cs="Arial"/>
                      <w:color w:val="auto"/>
                      <w:sz w:val="22"/>
                      <w:szCs w:val="22"/>
                      <w:highlight w:val="none"/>
                      <w:shd w:val="clear" w:color="auto" w:fill="FFFFFF"/>
                      <w:vertAlign w:val="subscript"/>
                    </w:rPr>
                    <w:t>2</w:t>
                  </w:r>
                  <w:r>
                    <w:rPr>
                      <w:rFonts w:ascii="Arial" w:hAnsi="Arial" w:eastAsia="Arial" w:cs="Arial"/>
                      <w:color w:val="auto"/>
                      <w:sz w:val="22"/>
                      <w:szCs w:val="22"/>
                      <w:highlight w:val="none"/>
                      <w:shd w:val="clear" w:color="auto" w:fill="FFFFFF"/>
                    </w:rPr>
                    <w:t>H</w:t>
                  </w:r>
                  <w:r>
                    <w:rPr>
                      <w:rFonts w:hint="eastAsia" w:ascii="Arial" w:hAnsi="Arial" w:cs="Arial"/>
                      <w:color w:val="auto"/>
                      <w:sz w:val="22"/>
                      <w:szCs w:val="22"/>
                      <w:highlight w:val="none"/>
                      <w:shd w:val="clear" w:color="auto" w:fill="FFFFFF"/>
                      <w:vertAlign w:val="subscript"/>
                    </w:rPr>
                    <w:t>2</w:t>
                  </w:r>
                  <w:r>
                    <w:rPr>
                      <w:rFonts w:hint="eastAsia"/>
                      <w:color w:val="auto"/>
                      <w:sz w:val="22"/>
                      <w:szCs w:val="22"/>
                      <w:highlight w:val="none"/>
                    </w:rPr>
                    <w:t>，常温常压下为无色气体，纯品无味，熔点为-80.8℃（118.656kPa），沸点-84℃，标准状态下为 1.17 kg/m³</w:t>
                  </w:r>
                  <w:r>
                    <w:rPr>
                      <w:rFonts w:hint="eastAsia"/>
                      <w:color w:val="auto"/>
                      <w:sz w:val="22"/>
                      <w:szCs w:val="22"/>
                      <w:highlight w:val="none"/>
                      <w:lang w:eastAsia="zh-CN"/>
                    </w:rPr>
                    <w:t>。</w:t>
                  </w:r>
                  <w:r>
                    <w:rPr>
                      <w:rFonts w:hint="eastAsia"/>
                      <w:color w:val="auto"/>
                      <w:sz w:val="22"/>
                      <w:szCs w:val="22"/>
                      <w:highlight w:val="none"/>
                    </w:rPr>
                    <w:t>乙炔与氧气混合燃烧时，氧炔焰温度可达3200℃，模具维修时通过乙炔烘烤局部加热以消除内应力等。</w:t>
                  </w:r>
                </w:p>
              </w:tc>
            </w:tr>
          </w:tbl>
          <w:p w14:paraId="29C95A10">
            <w:pPr>
              <w:adjustRightInd w:val="0"/>
              <w:snapToGrid w:val="0"/>
              <w:spacing w:line="240" w:lineRule="auto"/>
              <w:ind w:firstLine="520" w:firstLineChars="200"/>
              <w:rPr>
                <w:color w:val="auto"/>
                <w:kern w:val="0"/>
                <w:sz w:val="26"/>
                <w:szCs w:val="26"/>
                <w:highlight w:val="none"/>
              </w:rPr>
            </w:pPr>
          </w:p>
          <w:p w14:paraId="09193571">
            <w:pPr>
              <w:autoSpaceDE w:val="0"/>
              <w:autoSpaceDN w:val="0"/>
              <w:adjustRightInd w:val="0"/>
              <w:spacing w:line="480" w:lineRule="exact"/>
              <w:ind w:firstLine="522" w:firstLineChars="200"/>
              <w:textAlignment w:val="baseline"/>
              <w:rPr>
                <w:b/>
                <w:color w:val="auto"/>
                <w:kern w:val="0"/>
                <w:sz w:val="26"/>
                <w:szCs w:val="26"/>
                <w:highlight w:val="none"/>
              </w:rPr>
            </w:pPr>
            <w:r>
              <w:rPr>
                <w:rFonts w:hint="eastAsia"/>
                <w:b/>
                <w:color w:val="auto"/>
                <w:kern w:val="0"/>
                <w:sz w:val="26"/>
                <w:szCs w:val="26"/>
                <w:highlight w:val="none"/>
              </w:rPr>
              <w:t>2.6.2主要资源、能源消耗</w:t>
            </w:r>
          </w:p>
          <w:p w14:paraId="2AB628AA">
            <w:pPr>
              <w:adjustRightInd w:val="0"/>
              <w:snapToGrid w:val="0"/>
              <w:spacing w:line="480" w:lineRule="exact"/>
              <w:ind w:firstLine="520" w:firstLineChars="200"/>
              <w:rPr>
                <w:bCs/>
                <w:color w:val="auto"/>
                <w:sz w:val="26"/>
                <w:szCs w:val="26"/>
                <w:highlight w:val="none"/>
              </w:rPr>
            </w:pPr>
            <w:r>
              <w:rPr>
                <w:bCs/>
                <w:color w:val="auto"/>
                <w:sz w:val="26"/>
                <w:szCs w:val="26"/>
                <w:highlight w:val="none"/>
              </w:rPr>
              <w:t>本项目使用清洁能源电能，</w:t>
            </w:r>
            <w:r>
              <w:rPr>
                <w:rFonts w:hint="eastAsia"/>
                <w:bCs/>
                <w:color w:val="auto"/>
                <w:sz w:val="26"/>
                <w:szCs w:val="26"/>
                <w:highlight w:val="none"/>
              </w:rPr>
              <w:t>根据建设单位提供资料，生产设备</w:t>
            </w:r>
            <w:r>
              <w:rPr>
                <w:bCs/>
                <w:color w:val="auto"/>
                <w:sz w:val="26"/>
                <w:szCs w:val="26"/>
                <w:highlight w:val="none"/>
              </w:rPr>
              <w:t>年耗电量</w:t>
            </w:r>
            <w:r>
              <w:rPr>
                <w:rFonts w:hint="eastAsia"/>
                <w:bCs/>
                <w:color w:val="auto"/>
                <w:sz w:val="26"/>
                <w:szCs w:val="26"/>
                <w:highlight w:val="none"/>
              </w:rPr>
              <w:t>约550</w:t>
            </w:r>
            <w:r>
              <w:rPr>
                <w:bCs/>
                <w:color w:val="auto"/>
                <w:sz w:val="26"/>
                <w:szCs w:val="26"/>
                <w:highlight w:val="none"/>
              </w:rPr>
              <w:t>万kWh。</w:t>
            </w:r>
          </w:p>
          <w:p w14:paraId="06A67B4D">
            <w:pPr>
              <w:adjustRightInd w:val="0"/>
              <w:snapToGrid w:val="0"/>
              <w:spacing w:line="480" w:lineRule="exact"/>
              <w:ind w:firstLine="520" w:firstLineChars="200"/>
              <w:rPr>
                <w:bCs/>
                <w:color w:val="auto"/>
                <w:sz w:val="26"/>
                <w:szCs w:val="26"/>
                <w:highlight w:val="none"/>
              </w:rPr>
            </w:pPr>
            <w:r>
              <w:rPr>
                <w:bCs/>
                <w:color w:val="auto"/>
                <w:sz w:val="26"/>
                <w:szCs w:val="26"/>
                <w:highlight w:val="none"/>
              </w:rPr>
              <w:t>本项目用水主要为</w:t>
            </w:r>
            <w:r>
              <w:rPr>
                <w:rFonts w:hint="eastAsia"/>
                <w:bCs/>
                <w:color w:val="auto"/>
                <w:sz w:val="26"/>
                <w:szCs w:val="26"/>
                <w:highlight w:val="none"/>
              </w:rPr>
              <w:t>生产用水及</w:t>
            </w:r>
            <w:r>
              <w:rPr>
                <w:bCs/>
                <w:color w:val="auto"/>
                <w:sz w:val="26"/>
                <w:szCs w:val="26"/>
                <w:highlight w:val="none"/>
              </w:rPr>
              <w:t>工作人员生活用水。</w:t>
            </w:r>
            <w:r>
              <w:rPr>
                <w:rFonts w:hint="eastAsia"/>
                <w:bCs/>
                <w:color w:val="auto"/>
                <w:sz w:val="26"/>
                <w:szCs w:val="26"/>
                <w:highlight w:val="none"/>
              </w:rPr>
              <w:t>生产用水主要为厂房地面拖洗用水，以及液压机循环冷却水定期补水、更换用水，用水量约</w:t>
            </w:r>
            <w:r>
              <w:rPr>
                <w:rFonts w:hint="eastAsia"/>
                <w:bCs/>
                <w:color w:val="auto"/>
                <w:sz w:val="26"/>
                <w:szCs w:val="26"/>
                <w:highlight w:val="none"/>
                <w:lang w:val="en-US" w:eastAsia="zh-CN"/>
              </w:rPr>
              <w:t>5505.45</w:t>
            </w:r>
            <w:r>
              <w:rPr>
                <w:rFonts w:hint="eastAsia"/>
                <w:bCs/>
                <w:color w:val="auto"/>
                <w:sz w:val="26"/>
                <w:szCs w:val="26"/>
                <w:highlight w:val="none"/>
              </w:rPr>
              <w:t>m³/a；生活用水量约1800m³/a；全厂用水总量</w:t>
            </w:r>
            <w:r>
              <w:rPr>
                <w:rFonts w:hint="eastAsia"/>
                <w:bCs/>
                <w:color w:val="auto"/>
                <w:sz w:val="26"/>
                <w:szCs w:val="26"/>
                <w:highlight w:val="none"/>
                <w:lang w:val="en-US" w:eastAsia="zh-CN"/>
              </w:rPr>
              <w:t>7305.48</w:t>
            </w:r>
            <w:r>
              <w:rPr>
                <w:rFonts w:hint="eastAsia"/>
                <w:bCs/>
                <w:color w:val="auto"/>
                <w:sz w:val="26"/>
                <w:szCs w:val="26"/>
                <w:highlight w:val="none"/>
              </w:rPr>
              <w:t>m³/a。</w:t>
            </w:r>
          </w:p>
          <w:p w14:paraId="60EF789C">
            <w:pPr>
              <w:adjustRightInd w:val="0"/>
              <w:snapToGrid w:val="0"/>
              <w:ind w:firstLine="520" w:firstLineChars="200"/>
              <w:rPr>
                <w:bCs/>
                <w:color w:val="auto"/>
                <w:sz w:val="26"/>
                <w:szCs w:val="26"/>
                <w:highlight w:val="none"/>
              </w:rPr>
            </w:pPr>
          </w:p>
          <w:p w14:paraId="3E921D11">
            <w:pPr>
              <w:adjustRightInd w:val="0"/>
              <w:snapToGrid w:val="0"/>
              <w:ind w:firstLine="520" w:firstLineChars="200"/>
              <w:jc w:val="center"/>
              <w:rPr>
                <w:bCs/>
                <w:color w:val="auto"/>
                <w:sz w:val="26"/>
                <w:szCs w:val="26"/>
                <w:highlight w:val="none"/>
              </w:rPr>
            </w:pPr>
            <w:r>
              <w:rPr>
                <w:bCs/>
                <w:color w:val="auto"/>
                <w:sz w:val="26"/>
                <w:szCs w:val="26"/>
                <w:highlight w:val="none"/>
              </w:rPr>
              <w:t>表2.</w:t>
            </w:r>
            <w:r>
              <w:rPr>
                <w:rFonts w:hint="eastAsia"/>
                <w:bCs/>
                <w:color w:val="auto"/>
                <w:sz w:val="26"/>
                <w:szCs w:val="26"/>
                <w:highlight w:val="none"/>
              </w:rPr>
              <w:t>6</w:t>
            </w:r>
            <w:r>
              <w:rPr>
                <w:bCs/>
                <w:color w:val="auto"/>
                <w:sz w:val="26"/>
                <w:szCs w:val="26"/>
                <w:highlight w:val="none"/>
              </w:rPr>
              <w:t>-</w:t>
            </w:r>
            <w:r>
              <w:rPr>
                <w:rFonts w:hint="eastAsia"/>
                <w:bCs/>
                <w:color w:val="auto"/>
                <w:sz w:val="26"/>
                <w:szCs w:val="26"/>
                <w:highlight w:val="none"/>
              </w:rPr>
              <w:t>3</w:t>
            </w:r>
            <w:r>
              <w:rPr>
                <w:bCs/>
                <w:color w:val="auto"/>
                <w:sz w:val="26"/>
                <w:szCs w:val="26"/>
                <w:highlight w:val="none"/>
              </w:rPr>
              <w:t xml:space="preserve">  </w:t>
            </w:r>
            <w:r>
              <w:rPr>
                <w:rFonts w:hint="eastAsia"/>
                <w:bCs/>
                <w:color w:val="auto"/>
                <w:sz w:val="26"/>
                <w:szCs w:val="26"/>
                <w:highlight w:val="none"/>
              </w:rPr>
              <w:t>主要资源、能源一览表</w:t>
            </w:r>
          </w:p>
          <w:tbl>
            <w:tblPr>
              <w:tblStyle w:val="16"/>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2"/>
              <w:gridCol w:w="1382"/>
              <w:gridCol w:w="1532"/>
              <w:gridCol w:w="4160"/>
            </w:tblGrid>
            <w:tr w14:paraId="0F9D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6" w:type="pct"/>
                  <w:tcMar>
                    <w:top w:w="15" w:type="dxa"/>
                    <w:left w:w="15" w:type="dxa"/>
                    <w:bottom w:w="0" w:type="dxa"/>
                    <w:right w:w="15" w:type="dxa"/>
                  </w:tcMar>
                  <w:vAlign w:val="center"/>
                </w:tcPr>
                <w:p w14:paraId="4ABAB5A8">
                  <w:pPr>
                    <w:widowControl/>
                    <w:adjustRightInd w:val="0"/>
                    <w:snapToGrid w:val="0"/>
                    <w:jc w:val="center"/>
                    <w:textAlignment w:val="center"/>
                    <w:rPr>
                      <w:color w:val="auto"/>
                      <w:kern w:val="0"/>
                      <w:sz w:val="22"/>
                      <w:szCs w:val="22"/>
                      <w:highlight w:val="none"/>
                    </w:rPr>
                  </w:pPr>
                  <w:r>
                    <w:rPr>
                      <w:bCs/>
                      <w:color w:val="auto"/>
                      <w:kern w:val="24"/>
                      <w:sz w:val="22"/>
                      <w:szCs w:val="22"/>
                      <w:highlight w:val="none"/>
                    </w:rPr>
                    <w:t>名称</w:t>
                  </w:r>
                </w:p>
              </w:tc>
              <w:tc>
                <w:tcPr>
                  <w:tcW w:w="852" w:type="pct"/>
                  <w:tcMar>
                    <w:top w:w="15" w:type="dxa"/>
                    <w:left w:w="15" w:type="dxa"/>
                    <w:bottom w:w="0" w:type="dxa"/>
                    <w:right w:w="15" w:type="dxa"/>
                  </w:tcMar>
                  <w:vAlign w:val="center"/>
                </w:tcPr>
                <w:p w14:paraId="74F3D6B1">
                  <w:pPr>
                    <w:widowControl/>
                    <w:adjustRightInd w:val="0"/>
                    <w:snapToGrid w:val="0"/>
                    <w:jc w:val="center"/>
                    <w:textAlignment w:val="center"/>
                    <w:rPr>
                      <w:color w:val="auto"/>
                      <w:kern w:val="0"/>
                      <w:sz w:val="22"/>
                      <w:szCs w:val="22"/>
                      <w:highlight w:val="none"/>
                    </w:rPr>
                  </w:pPr>
                  <w:r>
                    <w:rPr>
                      <w:bCs/>
                      <w:color w:val="auto"/>
                      <w:kern w:val="24"/>
                      <w:sz w:val="22"/>
                      <w:szCs w:val="22"/>
                      <w:highlight w:val="none"/>
                    </w:rPr>
                    <w:t>单位</w:t>
                  </w:r>
                </w:p>
              </w:tc>
              <w:tc>
                <w:tcPr>
                  <w:tcW w:w="945" w:type="pct"/>
                  <w:tcMar>
                    <w:top w:w="15" w:type="dxa"/>
                    <w:left w:w="15" w:type="dxa"/>
                    <w:bottom w:w="0" w:type="dxa"/>
                    <w:right w:w="15" w:type="dxa"/>
                  </w:tcMar>
                  <w:vAlign w:val="center"/>
                </w:tcPr>
                <w:p w14:paraId="670C7179">
                  <w:pPr>
                    <w:widowControl/>
                    <w:adjustRightInd w:val="0"/>
                    <w:snapToGrid w:val="0"/>
                    <w:jc w:val="center"/>
                    <w:textAlignment w:val="center"/>
                    <w:rPr>
                      <w:color w:val="auto"/>
                      <w:kern w:val="0"/>
                      <w:sz w:val="22"/>
                      <w:szCs w:val="22"/>
                      <w:highlight w:val="none"/>
                    </w:rPr>
                  </w:pPr>
                  <w:r>
                    <w:rPr>
                      <w:color w:val="auto"/>
                      <w:kern w:val="0"/>
                      <w:sz w:val="22"/>
                      <w:szCs w:val="22"/>
                      <w:highlight w:val="none"/>
                    </w:rPr>
                    <w:t>预计用量</w:t>
                  </w:r>
                </w:p>
              </w:tc>
              <w:tc>
                <w:tcPr>
                  <w:tcW w:w="2565" w:type="pct"/>
                  <w:vAlign w:val="center"/>
                </w:tcPr>
                <w:p w14:paraId="0F369DCB">
                  <w:pPr>
                    <w:widowControl/>
                    <w:adjustRightInd w:val="0"/>
                    <w:snapToGrid w:val="0"/>
                    <w:jc w:val="center"/>
                    <w:textAlignment w:val="center"/>
                    <w:rPr>
                      <w:color w:val="auto"/>
                      <w:kern w:val="0"/>
                      <w:sz w:val="22"/>
                      <w:szCs w:val="22"/>
                      <w:highlight w:val="none"/>
                    </w:rPr>
                  </w:pPr>
                  <w:r>
                    <w:rPr>
                      <w:color w:val="auto"/>
                      <w:kern w:val="0"/>
                      <w:sz w:val="22"/>
                      <w:szCs w:val="22"/>
                      <w:highlight w:val="none"/>
                    </w:rPr>
                    <w:t>来源</w:t>
                  </w:r>
                </w:p>
              </w:tc>
            </w:tr>
            <w:tr w14:paraId="13F2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6" w:type="pct"/>
                  <w:tcMar>
                    <w:top w:w="15" w:type="dxa"/>
                    <w:left w:w="15" w:type="dxa"/>
                    <w:bottom w:w="0" w:type="dxa"/>
                    <w:right w:w="15" w:type="dxa"/>
                  </w:tcMar>
                  <w:vAlign w:val="center"/>
                </w:tcPr>
                <w:p w14:paraId="0DDF89F3">
                  <w:pPr>
                    <w:widowControl/>
                    <w:adjustRightInd w:val="0"/>
                    <w:snapToGrid w:val="0"/>
                    <w:jc w:val="center"/>
                    <w:textAlignment w:val="center"/>
                    <w:rPr>
                      <w:color w:val="auto"/>
                      <w:kern w:val="0"/>
                      <w:sz w:val="22"/>
                      <w:szCs w:val="22"/>
                      <w:highlight w:val="none"/>
                    </w:rPr>
                  </w:pPr>
                  <w:r>
                    <w:rPr>
                      <w:bCs/>
                      <w:color w:val="auto"/>
                      <w:kern w:val="24"/>
                      <w:sz w:val="22"/>
                      <w:szCs w:val="22"/>
                      <w:highlight w:val="none"/>
                    </w:rPr>
                    <w:t>电</w:t>
                  </w:r>
                </w:p>
              </w:tc>
              <w:tc>
                <w:tcPr>
                  <w:tcW w:w="852" w:type="pct"/>
                  <w:tcMar>
                    <w:top w:w="15" w:type="dxa"/>
                    <w:left w:w="15" w:type="dxa"/>
                    <w:bottom w:w="0" w:type="dxa"/>
                    <w:right w:w="15" w:type="dxa"/>
                  </w:tcMar>
                  <w:vAlign w:val="center"/>
                </w:tcPr>
                <w:p w14:paraId="5E891510">
                  <w:pPr>
                    <w:widowControl/>
                    <w:adjustRightInd w:val="0"/>
                    <w:snapToGrid w:val="0"/>
                    <w:jc w:val="center"/>
                    <w:textAlignment w:val="center"/>
                    <w:rPr>
                      <w:color w:val="auto"/>
                      <w:kern w:val="0"/>
                      <w:sz w:val="22"/>
                      <w:szCs w:val="22"/>
                      <w:highlight w:val="none"/>
                    </w:rPr>
                  </w:pPr>
                  <w:r>
                    <w:rPr>
                      <w:color w:val="auto"/>
                      <w:kern w:val="24"/>
                      <w:sz w:val="22"/>
                      <w:szCs w:val="22"/>
                      <w:highlight w:val="none"/>
                    </w:rPr>
                    <w:t>万kwh/a</w:t>
                  </w:r>
                </w:p>
              </w:tc>
              <w:tc>
                <w:tcPr>
                  <w:tcW w:w="945" w:type="pct"/>
                  <w:tcMar>
                    <w:top w:w="15" w:type="dxa"/>
                    <w:left w:w="15" w:type="dxa"/>
                    <w:bottom w:w="0" w:type="dxa"/>
                    <w:right w:w="15" w:type="dxa"/>
                  </w:tcMar>
                  <w:vAlign w:val="center"/>
                </w:tcPr>
                <w:p w14:paraId="746CF1FE">
                  <w:pPr>
                    <w:widowControl/>
                    <w:adjustRightInd w:val="0"/>
                    <w:snapToGrid w:val="0"/>
                    <w:jc w:val="center"/>
                    <w:textAlignment w:val="center"/>
                    <w:rPr>
                      <w:color w:val="auto"/>
                      <w:kern w:val="0"/>
                      <w:sz w:val="22"/>
                      <w:szCs w:val="22"/>
                      <w:highlight w:val="none"/>
                    </w:rPr>
                  </w:pPr>
                  <w:r>
                    <w:rPr>
                      <w:rFonts w:hint="eastAsia"/>
                      <w:color w:val="auto"/>
                      <w:kern w:val="0"/>
                      <w:sz w:val="22"/>
                      <w:szCs w:val="22"/>
                      <w:highlight w:val="none"/>
                    </w:rPr>
                    <w:t>550</w:t>
                  </w:r>
                </w:p>
              </w:tc>
              <w:tc>
                <w:tcPr>
                  <w:tcW w:w="2565" w:type="pct"/>
                  <w:vAlign w:val="center"/>
                </w:tcPr>
                <w:p w14:paraId="2CE3DCD5">
                  <w:pPr>
                    <w:widowControl/>
                    <w:adjustRightInd w:val="0"/>
                    <w:snapToGrid w:val="0"/>
                    <w:jc w:val="center"/>
                    <w:textAlignment w:val="center"/>
                    <w:rPr>
                      <w:color w:val="auto"/>
                      <w:kern w:val="24"/>
                      <w:sz w:val="22"/>
                      <w:szCs w:val="22"/>
                      <w:highlight w:val="none"/>
                    </w:rPr>
                  </w:pPr>
                  <w:r>
                    <w:rPr>
                      <w:color w:val="auto"/>
                      <w:kern w:val="24"/>
                      <w:sz w:val="22"/>
                      <w:szCs w:val="22"/>
                      <w:highlight w:val="none"/>
                    </w:rPr>
                    <w:t>市政</w:t>
                  </w:r>
                </w:p>
              </w:tc>
            </w:tr>
            <w:tr w14:paraId="5AD5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6" w:type="pct"/>
                  <w:vMerge w:val="restart"/>
                  <w:tcMar>
                    <w:top w:w="15" w:type="dxa"/>
                    <w:left w:w="15" w:type="dxa"/>
                    <w:bottom w:w="0" w:type="dxa"/>
                    <w:right w:w="15" w:type="dxa"/>
                  </w:tcMar>
                  <w:vAlign w:val="center"/>
                </w:tcPr>
                <w:p w14:paraId="3D1D6C57">
                  <w:pPr>
                    <w:widowControl/>
                    <w:adjustRightInd w:val="0"/>
                    <w:snapToGrid w:val="0"/>
                    <w:jc w:val="center"/>
                    <w:textAlignment w:val="center"/>
                    <w:rPr>
                      <w:color w:val="auto"/>
                      <w:kern w:val="0"/>
                      <w:sz w:val="22"/>
                      <w:szCs w:val="22"/>
                      <w:highlight w:val="none"/>
                    </w:rPr>
                  </w:pPr>
                  <w:r>
                    <w:rPr>
                      <w:bCs/>
                      <w:color w:val="auto"/>
                      <w:kern w:val="24"/>
                      <w:sz w:val="22"/>
                      <w:szCs w:val="22"/>
                      <w:highlight w:val="none"/>
                    </w:rPr>
                    <w:t>自来水</w:t>
                  </w:r>
                </w:p>
              </w:tc>
              <w:tc>
                <w:tcPr>
                  <w:tcW w:w="852" w:type="pct"/>
                  <w:tcMar>
                    <w:top w:w="15" w:type="dxa"/>
                    <w:left w:w="15" w:type="dxa"/>
                    <w:bottom w:w="0" w:type="dxa"/>
                    <w:right w:w="15" w:type="dxa"/>
                  </w:tcMar>
                  <w:vAlign w:val="center"/>
                </w:tcPr>
                <w:p w14:paraId="331AC6FA">
                  <w:pPr>
                    <w:widowControl/>
                    <w:adjustRightInd w:val="0"/>
                    <w:snapToGrid w:val="0"/>
                    <w:jc w:val="center"/>
                    <w:textAlignment w:val="center"/>
                    <w:rPr>
                      <w:color w:val="auto"/>
                      <w:kern w:val="0"/>
                      <w:sz w:val="22"/>
                      <w:szCs w:val="22"/>
                      <w:highlight w:val="none"/>
                    </w:rPr>
                  </w:pPr>
                  <w:r>
                    <w:rPr>
                      <w:color w:val="auto"/>
                      <w:kern w:val="24"/>
                      <w:sz w:val="22"/>
                      <w:szCs w:val="22"/>
                      <w:highlight w:val="none"/>
                    </w:rPr>
                    <w:t>m³/a</w:t>
                  </w:r>
                </w:p>
              </w:tc>
              <w:tc>
                <w:tcPr>
                  <w:tcW w:w="945" w:type="pct"/>
                  <w:tcMar>
                    <w:top w:w="15" w:type="dxa"/>
                    <w:left w:w="15" w:type="dxa"/>
                    <w:bottom w:w="0" w:type="dxa"/>
                    <w:right w:w="15" w:type="dxa"/>
                  </w:tcMar>
                  <w:vAlign w:val="center"/>
                </w:tcPr>
                <w:p w14:paraId="697ED2D2">
                  <w:pPr>
                    <w:widowControl/>
                    <w:adjustRightInd w:val="0"/>
                    <w:snapToGrid w:val="0"/>
                    <w:jc w:val="center"/>
                    <w:textAlignment w:val="center"/>
                    <w:rPr>
                      <w:color w:val="auto"/>
                      <w:kern w:val="0"/>
                      <w:sz w:val="22"/>
                      <w:szCs w:val="22"/>
                      <w:highlight w:val="none"/>
                    </w:rPr>
                  </w:pPr>
                  <w:r>
                    <w:rPr>
                      <w:rFonts w:hint="eastAsia"/>
                      <w:color w:val="auto"/>
                      <w:kern w:val="0"/>
                      <w:sz w:val="22"/>
                      <w:szCs w:val="22"/>
                      <w:highlight w:val="none"/>
                    </w:rPr>
                    <w:t>1800</w:t>
                  </w:r>
                </w:p>
              </w:tc>
              <w:tc>
                <w:tcPr>
                  <w:tcW w:w="2565" w:type="pct"/>
                  <w:vAlign w:val="center"/>
                </w:tcPr>
                <w:p w14:paraId="2C0033B7">
                  <w:pPr>
                    <w:widowControl/>
                    <w:adjustRightInd w:val="0"/>
                    <w:snapToGrid w:val="0"/>
                    <w:jc w:val="center"/>
                    <w:textAlignment w:val="center"/>
                    <w:rPr>
                      <w:color w:val="auto"/>
                      <w:kern w:val="24"/>
                      <w:sz w:val="22"/>
                      <w:szCs w:val="22"/>
                      <w:highlight w:val="none"/>
                    </w:rPr>
                  </w:pPr>
                  <w:r>
                    <w:rPr>
                      <w:color w:val="auto"/>
                      <w:kern w:val="24"/>
                      <w:sz w:val="22"/>
                      <w:szCs w:val="22"/>
                      <w:highlight w:val="none"/>
                    </w:rPr>
                    <w:t>市政管网</w:t>
                  </w:r>
                  <w:r>
                    <w:rPr>
                      <w:rFonts w:hint="eastAsia"/>
                      <w:color w:val="auto"/>
                      <w:kern w:val="24"/>
                      <w:sz w:val="22"/>
                      <w:szCs w:val="22"/>
                      <w:highlight w:val="none"/>
                    </w:rPr>
                    <w:t>，生活用水</w:t>
                  </w:r>
                </w:p>
              </w:tc>
            </w:tr>
            <w:tr w14:paraId="3288A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6" w:type="pct"/>
                  <w:vMerge w:val="continue"/>
                  <w:tcMar>
                    <w:top w:w="15" w:type="dxa"/>
                    <w:left w:w="15" w:type="dxa"/>
                    <w:bottom w:w="0" w:type="dxa"/>
                    <w:right w:w="15" w:type="dxa"/>
                  </w:tcMar>
                  <w:vAlign w:val="center"/>
                </w:tcPr>
                <w:p w14:paraId="0F1E354D">
                  <w:pPr>
                    <w:widowControl/>
                    <w:adjustRightInd w:val="0"/>
                    <w:snapToGrid w:val="0"/>
                    <w:jc w:val="center"/>
                    <w:textAlignment w:val="center"/>
                    <w:rPr>
                      <w:bCs/>
                      <w:color w:val="auto"/>
                      <w:kern w:val="24"/>
                      <w:sz w:val="22"/>
                      <w:szCs w:val="22"/>
                      <w:highlight w:val="none"/>
                    </w:rPr>
                  </w:pPr>
                </w:p>
              </w:tc>
              <w:tc>
                <w:tcPr>
                  <w:tcW w:w="852" w:type="pct"/>
                  <w:tcMar>
                    <w:top w:w="15" w:type="dxa"/>
                    <w:left w:w="15" w:type="dxa"/>
                    <w:bottom w:w="0" w:type="dxa"/>
                    <w:right w:w="15" w:type="dxa"/>
                  </w:tcMar>
                  <w:vAlign w:val="center"/>
                </w:tcPr>
                <w:p w14:paraId="7EAFFD35">
                  <w:pPr>
                    <w:widowControl/>
                    <w:adjustRightInd w:val="0"/>
                    <w:snapToGrid w:val="0"/>
                    <w:jc w:val="center"/>
                    <w:textAlignment w:val="center"/>
                    <w:rPr>
                      <w:color w:val="auto"/>
                      <w:kern w:val="24"/>
                      <w:sz w:val="22"/>
                      <w:szCs w:val="22"/>
                      <w:highlight w:val="none"/>
                    </w:rPr>
                  </w:pPr>
                  <w:r>
                    <w:rPr>
                      <w:color w:val="auto"/>
                      <w:kern w:val="24"/>
                      <w:sz w:val="22"/>
                      <w:szCs w:val="22"/>
                      <w:highlight w:val="none"/>
                    </w:rPr>
                    <w:t>m³/a</w:t>
                  </w:r>
                </w:p>
              </w:tc>
              <w:tc>
                <w:tcPr>
                  <w:tcW w:w="945" w:type="pct"/>
                  <w:tcMar>
                    <w:top w:w="15" w:type="dxa"/>
                    <w:left w:w="15" w:type="dxa"/>
                    <w:bottom w:w="0" w:type="dxa"/>
                    <w:right w:w="15" w:type="dxa"/>
                  </w:tcMar>
                  <w:vAlign w:val="center"/>
                </w:tcPr>
                <w:p w14:paraId="5A68F367">
                  <w:pPr>
                    <w:widowControl/>
                    <w:adjustRightInd w:val="0"/>
                    <w:snapToGrid w:val="0"/>
                    <w:jc w:val="center"/>
                    <w:textAlignment w:val="center"/>
                    <w:rPr>
                      <w:rFonts w:hint="default" w:eastAsia="宋体"/>
                      <w:color w:val="auto"/>
                      <w:kern w:val="0"/>
                      <w:sz w:val="22"/>
                      <w:szCs w:val="22"/>
                      <w:highlight w:val="none"/>
                      <w:lang w:val="en-US" w:eastAsia="zh-CN"/>
                    </w:rPr>
                  </w:pPr>
                  <w:r>
                    <w:rPr>
                      <w:rFonts w:hint="eastAsia"/>
                      <w:color w:val="auto"/>
                      <w:kern w:val="0"/>
                      <w:sz w:val="22"/>
                      <w:szCs w:val="22"/>
                      <w:highlight w:val="none"/>
                      <w:lang w:val="en-US" w:eastAsia="zh-CN"/>
                    </w:rPr>
                    <w:t>5505.48</w:t>
                  </w:r>
                </w:p>
              </w:tc>
              <w:tc>
                <w:tcPr>
                  <w:tcW w:w="2565" w:type="pct"/>
                  <w:vAlign w:val="center"/>
                </w:tcPr>
                <w:p w14:paraId="6C3528BB">
                  <w:pPr>
                    <w:widowControl/>
                    <w:adjustRightInd w:val="0"/>
                    <w:snapToGrid w:val="0"/>
                    <w:jc w:val="center"/>
                    <w:textAlignment w:val="center"/>
                    <w:rPr>
                      <w:color w:val="auto"/>
                      <w:kern w:val="24"/>
                      <w:sz w:val="22"/>
                      <w:szCs w:val="22"/>
                      <w:highlight w:val="none"/>
                    </w:rPr>
                  </w:pPr>
                  <w:r>
                    <w:rPr>
                      <w:color w:val="auto"/>
                      <w:kern w:val="24"/>
                      <w:sz w:val="22"/>
                      <w:szCs w:val="22"/>
                      <w:highlight w:val="none"/>
                    </w:rPr>
                    <w:t>市政管网</w:t>
                  </w:r>
                  <w:r>
                    <w:rPr>
                      <w:rFonts w:hint="eastAsia"/>
                      <w:color w:val="auto"/>
                      <w:kern w:val="24"/>
                      <w:sz w:val="22"/>
                      <w:szCs w:val="22"/>
                      <w:highlight w:val="none"/>
                    </w:rPr>
                    <w:t>，生产用水</w:t>
                  </w:r>
                </w:p>
              </w:tc>
            </w:tr>
            <w:tr w14:paraId="74540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6" w:type="pct"/>
                  <w:vMerge w:val="continue"/>
                  <w:tcMar>
                    <w:top w:w="15" w:type="dxa"/>
                    <w:left w:w="15" w:type="dxa"/>
                    <w:bottom w:w="0" w:type="dxa"/>
                    <w:right w:w="15" w:type="dxa"/>
                  </w:tcMar>
                  <w:vAlign w:val="center"/>
                </w:tcPr>
                <w:p w14:paraId="61F05552">
                  <w:pPr>
                    <w:widowControl/>
                    <w:adjustRightInd w:val="0"/>
                    <w:snapToGrid w:val="0"/>
                    <w:jc w:val="center"/>
                    <w:textAlignment w:val="center"/>
                    <w:rPr>
                      <w:bCs/>
                      <w:color w:val="auto"/>
                      <w:kern w:val="24"/>
                      <w:sz w:val="22"/>
                      <w:szCs w:val="22"/>
                      <w:highlight w:val="none"/>
                    </w:rPr>
                  </w:pPr>
                </w:p>
              </w:tc>
              <w:tc>
                <w:tcPr>
                  <w:tcW w:w="852" w:type="pct"/>
                  <w:tcMar>
                    <w:top w:w="15" w:type="dxa"/>
                    <w:left w:w="15" w:type="dxa"/>
                    <w:bottom w:w="0" w:type="dxa"/>
                    <w:right w:w="15" w:type="dxa"/>
                  </w:tcMar>
                  <w:vAlign w:val="center"/>
                </w:tcPr>
                <w:p w14:paraId="3EE50C6B">
                  <w:pPr>
                    <w:widowControl/>
                    <w:adjustRightInd w:val="0"/>
                    <w:snapToGrid w:val="0"/>
                    <w:jc w:val="center"/>
                    <w:textAlignment w:val="center"/>
                    <w:rPr>
                      <w:color w:val="auto"/>
                      <w:kern w:val="24"/>
                      <w:sz w:val="22"/>
                      <w:szCs w:val="22"/>
                      <w:highlight w:val="none"/>
                    </w:rPr>
                  </w:pPr>
                  <w:r>
                    <w:rPr>
                      <w:color w:val="auto"/>
                      <w:kern w:val="24"/>
                      <w:sz w:val="22"/>
                      <w:szCs w:val="22"/>
                      <w:highlight w:val="none"/>
                    </w:rPr>
                    <w:t>m³/a</w:t>
                  </w:r>
                </w:p>
              </w:tc>
              <w:tc>
                <w:tcPr>
                  <w:tcW w:w="945" w:type="pct"/>
                  <w:tcMar>
                    <w:top w:w="15" w:type="dxa"/>
                    <w:left w:w="15" w:type="dxa"/>
                    <w:bottom w:w="0" w:type="dxa"/>
                    <w:right w:w="15" w:type="dxa"/>
                  </w:tcMar>
                  <w:vAlign w:val="center"/>
                </w:tcPr>
                <w:p w14:paraId="34C5981F">
                  <w:pPr>
                    <w:widowControl/>
                    <w:adjustRightInd w:val="0"/>
                    <w:snapToGrid w:val="0"/>
                    <w:jc w:val="center"/>
                    <w:textAlignment w:val="center"/>
                    <w:rPr>
                      <w:rFonts w:hint="default" w:eastAsia="宋体"/>
                      <w:color w:val="auto"/>
                      <w:kern w:val="0"/>
                      <w:sz w:val="22"/>
                      <w:szCs w:val="22"/>
                      <w:highlight w:val="none"/>
                      <w:lang w:val="en-US" w:eastAsia="zh-CN"/>
                    </w:rPr>
                  </w:pPr>
                  <w:r>
                    <w:rPr>
                      <w:rFonts w:hint="eastAsia"/>
                      <w:color w:val="auto"/>
                      <w:kern w:val="0"/>
                      <w:sz w:val="22"/>
                      <w:szCs w:val="22"/>
                      <w:highlight w:val="none"/>
                      <w:lang w:val="en-US" w:eastAsia="zh-CN"/>
                    </w:rPr>
                    <w:t>7305.48</w:t>
                  </w:r>
                </w:p>
              </w:tc>
              <w:tc>
                <w:tcPr>
                  <w:tcW w:w="2565" w:type="pct"/>
                  <w:vAlign w:val="center"/>
                </w:tcPr>
                <w:p w14:paraId="1DC8E045">
                  <w:pPr>
                    <w:widowControl/>
                    <w:adjustRightInd w:val="0"/>
                    <w:snapToGrid w:val="0"/>
                    <w:jc w:val="center"/>
                    <w:textAlignment w:val="center"/>
                    <w:rPr>
                      <w:color w:val="auto"/>
                      <w:kern w:val="24"/>
                      <w:sz w:val="22"/>
                      <w:szCs w:val="22"/>
                      <w:highlight w:val="none"/>
                    </w:rPr>
                  </w:pPr>
                  <w:r>
                    <w:rPr>
                      <w:rFonts w:hint="eastAsia"/>
                      <w:color w:val="auto"/>
                      <w:kern w:val="24"/>
                      <w:sz w:val="22"/>
                      <w:szCs w:val="22"/>
                      <w:highlight w:val="none"/>
                    </w:rPr>
                    <w:t>总计</w:t>
                  </w:r>
                </w:p>
              </w:tc>
            </w:tr>
          </w:tbl>
          <w:p w14:paraId="139AEDB9">
            <w:pPr>
              <w:spacing w:line="240" w:lineRule="auto"/>
              <w:ind w:firstLine="522" w:firstLineChars="200"/>
              <w:rPr>
                <w:b/>
                <w:bCs/>
                <w:color w:val="auto"/>
                <w:sz w:val="26"/>
                <w:szCs w:val="26"/>
                <w:highlight w:val="none"/>
              </w:rPr>
            </w:pPr>
          </w:p>
          <w:p w14:paraId="4421BB29">
            <w:pPr>
              <w:spacing w:line="480" w:lineRule="exact"/>
              <w:ind w:firstLine="522" w:firstLineChars="200"/>
              <w:rPr>
                <w:b/>
                <w:bCs/>
                <w:color w:val="auto"/>
                <w:sz w:val="26"/>
                <w:szCs w:val="26"/>
                <w:highlight w:val="none"/>
              </w:rPr>
            </w:pPr>
            <w:r>
              <w:rPr>
                <w:b/>
                <w:bCs/>
                <w:color w:val="auto"/>
                <w:sz w:val="26"/>
                <w:szCs w:val="26"/>
                <w:highlight w:val="none"/>
              </w:rPr>
              <w:t>（1）生产用水</w:t>
            </w:r>
          </w:p>
          <w:p w14:paraId="3D35917C">
            <w:pPr>
              <w:widowControl/>
              <w:spacing w:line="480" w:lineRule="exact"/>
              <w:ind w:firstLine="520" w:firstLineChars="200"/>
              <w:rPr>
                <w:rFonts w:eastAsiaTheme="minorEastAsia"/>
                <w:color w:val="auto"/>
                <w:kern w:val="0"/>
                <w:sz w:val="26"/>
                <w:szCs w:val="26"/>
                <w:highlight w:val="none"/>
                <w:lang w:bidi="ar"/>
              </w:rPr>
            </w:pPr>
            <w:r>
              <w:rPr>
                <w:rFonts w:eastAsiaTheme="minorEastAsia"/>
                <w:color w:val="auto"/>
                <w:kern w:val="0"/>
                <w:sz w:val="26"/>
                <w:szCs w:val="26"/>
                <w:highlight w:val="none"/>
                <w:lang w:bidi="ar"/>
              </w:rPr>
              <w:t>本项目</w:t>
            </w:r>
            <w:r>
              <w:rPr>
                <w:rFonts w:hint="eastAsia" w:eastAsiaTheme="minorEastAsia"/>
                <w:color w:val="auto"/>
                <w:kern w:val="0"/>
                <w:sz w:val="26"/>
                <w:szCs w:val="26"/>
                <w:highlight w:val="none"/>
                <w:lang w:bidi="ar"/>
              </w:rPr>
              <w:t>车间地面不冲洗，每个月进行一次拖地，类比实际生产经验，车间地面清洁用水取值为0.1L/m</w:t>
            </w:r>
            <w:r>
              <w:rPr>
                <w:rFonts w:hint="eastAsia" w:eastAsiaTheme="minorEastAsia"/>
                <w:color w:val="auto"/>
                <w:kern w:val="0"/>
                <w:sz w:val="26"/>
                <w:szCs w:val="26"/>
                <w:highlight w:val="none"/>
                <w:vertAlign w:val="superscript"/>
                <w:lang w:bidi="ar"/>
              </w:rPr>
              <w:t>2</w:t>
            </w:r>
            <w:r>
              <w:rPr>
                <w:rFonts w:hint="eastAsia" w:ascii="微软雅黑" w:hAnsi="微软雅黑" w:eastAsia="微软雅黑" w:cs="微软雅黑"/>
                <w:color w:val="auto"/>
                <w:kern w:val="0"/>
                <w:sz w:val="26"/>
                <w:szCs w:val="26"/>
                <w:highlight w:val="none"/>
                <w:lang w:bidi="ar"/>
              </w:rPr>
              <w:t>·</w:t>
            </w:r>
            <w:r>
              <w:rPr>
                <w:rFonts w:hint="eastAsia" w:eastAsiaTheme="minorEastAsia"/>
                <w:color w:val="auto"/>
                <w:kern w:val="0"/>
                <w:sz w:val="26"/>
                <w:szCs w:val="26"/>
                <w:highlight w:val="none"/>
                <w:lang w:bidi="ar"/>
              </w:rPr>
              <w:t>次，则地</w:t>
            </w:r>
            <w:r>
              <w:rPr>
                <w:rFonts w:hint="eastAsia" w:eastAsiaTheme="minorEastAsia"/>
                <w:color w:val="auto"/>
                <w:kern w:val="0"/>
                <w:sz w:val="26"/>
                <w:szCs w:val="26"/>
                <w:highlight w:val="none"/>
                <w:lang w:eastAsia="zh-CN" w:bidi="ar"/>
              </w:rPr>
              <w:t>面冲</w:t>
            </w:r>
            <w:r>
              <w:rPr>
                <w:rFonts w:hint="eastAsia" w:eastAsiaTheme="minorEastAsia"/>
                <w:color w:val="auto"/>
                <w:kern w:val="0"/>
                <w:sz w:val="26"/>
                <w:szCs w:val="26"/>
                <w:highlight w:val="none"/>
                <w:lang w:bidi="ar"/>
              </w:rPr>
              <w:t>洗用水量为21.48m³/a。</w:t>
            </w:r>
          </w:p>
          <w:p w14:paraId="640F1264">
            <w:pPr>
              <w:widowControl/>
              <w:spacing w:line="480" w:lineRule="exact"/>
              <w:ind w:firstLine="520" w:firstLineChars="200"/>
              <w:rPr>
                <w:rFonts w:eastAsiaTheme="minorEastAsia"/>
                <w:color w:val="auto"/>
                <w:sz w:val="26"/>
                <w:szCs w:val="26"/>
                <w:highlight w:val="none"/>
              </w:rPr>
            </w:pPr>
            <w:r>
              <w:rPr>
                <w:rFonts w:eastAsiaTheme="minorEastAsia"/>
                <w:color w:val="auto"/>
                <w:kern w:val="0"/>
                <w:sz w:val="26"/>
                <w:szCs w:val="26"/>
                <w:highlight w:val="none"/>
                <w:lang w:bidi="ar"/>
              </w:rPr>
              <w:t>本项目</w:t>
            </w:r>
            <w:r>
              <w:rPr>
                <w:rFonts w:hint="eastAsia" w:eastAsiaTheme="minorEastAsia"/>
                <w:color w:val="auto"/>
                <w:kern w:val="0"/>
                <w:sz w:val="26"/>
                <w:szCs w:val="26"/>
                <w:highlight w:val="none"/>
                <w:lang w:bidi="ar"/>
              </w:rPr>
              <w:t>液压机</w:t>
            </w:r>
            <w:r>
              <w:rPr>
                <w:rFonts w:eastAsiaTheme="minorEastAsia"/>
                <w:color w:val="auto"/>
                <w:kern w:val="0"/>
                <w:sz w:val="26"/>
                <w:szCs w:val="26"/>
                <w:highlight w:val="none"/>
                <w:lang w:bidi="ar"/>
              </w:rPr>
              <w:t>使用循环冷却水进行间接冷却，冷却</w:t>
            </w:r>
            <w:r>
              <w:rPr>
                <w:rFonts w:hint="eastAsia" w:eastAsiaTheme="minorEastAsia"/>
                <w:color w:val="auto"/>
                <w:kern w:val="0"/>
                <w:sz w:val="26"/>
                <w:szCs w:val="26"/>
                <w:highlight w:val="none"/>
                <w:lang w:bidi="ar"/>
              </w:rPr>
              <w:t>水</w:t>
            </w:r>
            <w:r>
              <w:rPr>
                <w:rFonts w:eastAsiaTheme="minorEastAsia"/>
                <w:color w:val="auto"/>
                <w:kern w:val="0"/>
                <w:sz w:val="26"/>
                <w:szCs w:val="26"/>
                <w:highlight w:val="none"/>
                <w:lang w:bidi="ar"/>
              </w:rPr>
              <w:t>循环系统将进行补、排水，其补水量包含蒸发损失量、飞溅损失量、定期排水</w:t>
            </w:r>
            <w:r>
              <w:rPr>
                <w:rFonts w:hint="eastAsia" w:eastAsiaTheme="minorEastAsia"/>
                <w:color w:val="auto"/>
                <w:kern w:val="0"/>
                <w:sz w:val="26"/>
                <w:szCs w:val="26"/>
                <w:highlight w:val="none"/>
                <w:lang w:bidi="ar"/>
              </w:rPr>
              <w:t>更换</w:t>
            </w:r>
            <w:r>
              <w:rPr>
                <w:rFonts w:eastAsiaTheme="minorEastAsia"/>
                <w:color w:val="auto"/>
                <w:kern w:val="0"/>
                <w:sz w:val="26"/>
                <w:szCs w:val="26"/>
                <w:highlight w:val="none"/>
                <w:lang w:bidi="ar"/>
              </w:rPr>
              <w:t>量，</w:t>
            </w:r>
            <w:r>
              <w:rPr>
                <w:rFonts w:hint="eastAsia" w:eastAsiaTheme="minorEastAsia"/>
                <w:color w:val="auto"/>
                <w:kern w:val="0"/>
                <w:sz w:val="26"/>
                <w:szCs w:val="26"/>
                <w:highlight w:val="none"/>
                <w:lang w:eastAsia="zh-CN" w:bidi="ar"/>
              </w:rPr>
              <w:t>共设置</w:t>
            </w:r>
            <w:r>
              <w:rPr>
                <w:rFonts w:eastAsiaTheme="minorEastAsia"/>
                <w:color w:val="auto"/>
                <w:kern w:val="0"/>
                <w:sz w:val="26"/>
                <w:szCs w:val="26"/>
                <w:highlight w:val="none"/>
                <w:lang w:bidi="ar"/>
              </w:rPr>
              <w:t>2个冷却塔</w:t>
            </w:r>
            <w:r>
              <w:rPr>
                <w:rFonts w:hint="eastAsia" w:eastAsiaTheme="minorEastAsia"/>
                <w:color w:val="auto"/>
                <w:kern w:val="0"/>
                <w:sz w:val="26"/>
                <w:szCs w:val="26"/>
                <w:highlight w:val="none"/>
                <w:lang w:eastAsia="zh-CN" w:bidi="ar"/>
              </w:rPr>
              <w:t>，配套冷却水</w:t>
            </w:r>
            <w:r>
              <w:rPr>
                <w:rFonts w:eastAsiaTheme="minorEastAsia"/>
                <w:color w:val="auto"/>
                <w:kern w:val="0"/>
                <w:sz w:val="26"/>
                <w:szCs w:val="26"/>
                <w:highlight w:val="none"/>
                <w:lang w:bidi="ar"/>
              </w:rPr>
              <w:t>水箱容积</w:t>
            </w:r>
            <w:r>
              <w:rPr>
                <w:rFonts w:hint="eastAsia" w:eastAsiaTheme="minorEastAsia"/>
                <w:color w:val="auto"/>
                <w:kern w:val="0"/>
                <w:sz w:val="26"/>
                <w:szCs w:val="26"/>
                <w:highlight w:val="none"/>
                <w:lang w:eastAsia="zh-CN" w:bidi="ar"/>
              </w:rPr>
              <w:t>约</w:t>
            </w:r>
            <w:r>
              <w:rPr>
                <w:rFonts w:hint="eastAsia" w:eastAsiaTheme="minorEastAsia"/>
                <w:color w:val="auto"/>
                <w:kern w:val="0"/>
                <w:sz w:val="26"/>
                <w:szCs w:val="26"/>
                <w:highlight w:val="none"/>
                <w:lang w:val="en-US" w:eastAsia="zh-CN" w:bidi="ar"/>
              </w:rPr>
              <w:t>2×35=70</w:t>
            </w:r>
            <w:r>
              <w:rPr>
                <w:rFonts w:eastAsiaTheme="minorEastAsia"/>
                <w:color w:val="auto"/>
                <w:kern w:val="0"/>
                <w:sz w:val="26"/>
                <w:szCs w:val="26"/>
                <w:highlight w:val="none"/>
                <w:lang w:bidi="ar"/>
              </w:rPr>
              <w:t>m</w:t>
            </w:r>
            <w:r>
              <w:rPr>
                <w:rFonts w:eastAsiaTheme="minorEastAsia"/>
                <w:color w:val="auto"/>
                <w:kern w:val="0"/>
                <w:sz w:val="26"/>
                <w:szCs w:val="26"/>
                <w:highlight w:val="none"/>
                <w:vertAlign w:val="superscript"/>
                <w:lang w:bidi="ar"/>
              </w:rPr>
              <w:t>3</w:t>
            </w:r>
            <w:r>
              <w:rPr>
                <w:rFonts w:hint="eastAsia" w:eastAsiaTheme="minorEastAsia"/>
                <w:color w:val="auto"/>
                <w:kern w:val="0"/>
                <w:sz w:val="26"/>
                <w:szCs w:val="26"/>
                <w:highlight w:val="none"/>
                <w:vertAlign w:val="baseline"/>
                <w:lang w:eastAsia="zh-CN" w:bidi="ar"/>
              </w:rPr>
              <w:t>，水箱日常储水量约2×</w:t>
            </w:r>
            <w:r>
              <w:rPr>
                <w:rFonts w:hint="eastAsia" w:eastAsiaTheme="minorEastAsia"/>
                <w:color w:val="auto"/>
                <w:kern w:val="0"/>
                <w:sz w:val="26"/>
                <w:szCs w:val="26"/>
                <w:highlight w:val="none"/>
                <w:vertAlign w:val="baseline"/>
                <w:lang w:val="en-US" w:eastAsia="zh-CN" w:bidi="ar"/>
              </w:rPr>
              <w:t>30=60</w:t>
            </w:r>
            <w:r>
              <w:rPr>
                <w:rFonts w:eastAsiaTheme="minorEastAsia"/>
                <w:color w:val="auto"/>
                <w:kern w:val="0"/>
                <w:sz w:val="26"/>
                <w:szCs w:val="26"/>
                <w:highlight w:val="none"/>
                <w:lang w:bidi="ar"/>
              </w:rPr>
              <w:t>m</w:t>
            </w:r>
            <w:r>
              <w:rPr>
                <w:rFonts w:eastAsiaTheme="minorEastAsia"/>
                <w:color w:val="auto"/>
                <w:kern w:val="0"/>
                <w:sz w:val="26"/>
                <w:szCs w:val="26"/>
                <w:highlight w:val="none"/>
                <w:vertAlign w:val="superscript"/>
                <w:lang w:bidi="ar"/>
              </w:rPr>
              <w:t>3</w:t>
            </w:r>
            <w:r>
              <w:rPr>
                <w:rFonts w:hint="eastAsia" w:eastAsiaTheme="minorEastAsia"/>
                <w:color w:val="auto"/>
                <w:kern w:val="0"/>
                <w:sz w:val="26"/>
                <w:szCs w:val="26"/>
                <w:highlight w:val="none"/>
                <w:vertAlign w:val="baseline"/>
                <w:lang w:eastAsia="zh-CN" w:bidi="ar"/>
              </w:rPr>
              <w:t>，共设置</w:t>
            </w:r>
            <w:r>
              <w:rPr>
                <w:rFonts w:hint="eastAsia" w:eastAsiaTheme="minorEastAsia"/>
                <w:color w:val="auto"/>
                <w:kern w:val="0"/>
                <w:sz w:val="26"/>
                <w:szCs w:val="26"/>
                <w:highlight w:val="none"/>
                <w:vertAlign w:val="baseline"/>
                <w:lang w:val="en-US" w:eastAsia="zh-CN" w:bidi="ar"/>
              </w:rPr>
              <w:t>4台循环水泵，</w:t>
            </w:r>
            <w:r>
              <w:rPr>
                <w:rFonts w:hint="eastAsia" w:eastAsiaTheme="minorEastAsia"/>
                <w:color w:val="auto"/>
                <w:kern w:val="0"/>
                <w:sz w:val="26"/>
                <w:szCs w:val="26"/>
                <w:highlight w:val="none"/>
                <w:vertAlign w:val="baseline"/>
                <w:lang w:eastAsia="zh-CN" w:bidi="ar"/>
              </w:rPr>
              <w:t>水泵设计流量为</w:t>
            </w:r>
            <w:r>
              <w:rPr>
                <w:rFonts w:hint="eastAsia" w:eastAsiaTheme="minorEastAsia"/>
                <w:color w:val="auto"/>
                <w:kern w:val="0"/>
                <w:sz w:val="26"/>
                <w:szCs w:val="26"/>
                <w:highlight w:val="none"/>
                <w:vertAlign w:val="baseline"/>
                <w:lang w:val="en-US" w:eastAsia="zh-CN" w:bidi="ar"/>
              </w:rPr>
              <w:t>646.2</w:t>
            </w:r>
            <w:r>
              <w:rPr>
                <w:rFonts w:hint="eastAsia" w:eastAsiaTheme="minorEastAsia"/>
                <w:color w:val="auto"/>
                <w:kern w:val="0"/>
                <w:sz w:val="26"/>
                <w:szCs w:val="26"/>
                <w:highlight w:val="none"/>
                <w:vertAlign w:val="baseline"/>
                <w:lang w:eastAsia="zh-CN" w:bidi="ar"/>
              </w:rPr>
              <w:t>（</w:t>
            </w:r>
            <w:r>
              <w:rPr>
                <w:rFonts w:hint="eastAsia" w:eastAsiaTheme="minorEastAsia"/>
                <w:color w:val="auto"/>
                <w:kern w:val="0"/>
                <w:sz w:val="26"/>
                <w:szCs w:val="26"/>
                <w:highlight w:val="none"/>
                <w:vertAlign w:val="baseline"/>
                <w:lang w:val="en-US" w:eastAsia="zh-CN" w:bidi="ar"/>
              </w:rPr>
              <w:t>160+165+165+156.2</w:t>
            </w:r>
            <w:r>
              <w:rPr>
                <w:rFonts w:hint="eastAsia" w:eastAsiaTheme="minorEastAsia"/>
                <w:color w:val="auto"/>
                <w:kern w:val="0"/>
                <w:sz w:val="26"/>
                <w:szCs w:val="26"/>
                <w:highlight w:val="none"/>
                <w:vertAlign w:val="baseline"/>
                <w:lang w:eastAsia="zh-CN" w:bidi="ar"/>
              </w:rPr>
              <w:t>）</w:t>
            </w:r>
            <w:r>
              <w:rPr>
                <w:rFonts w:hint="eastAsia" w:eastAsiaTheme="minorEastAsia"/>
                <w:color w:val="auto"/>
                <w:kern w:val="0"/>
                <w:sz w:val="26"/>
                <w:szCs w:val="26"/>
                <w:highlight w:val="none"/>
                <w:vertAlign w:val="baseline"/>
                <w:lang w:val="en-US" w:eastAsia="zh-CN" w:bidi="ar"/>
              </w:rPr>
              <w:t>m³/h</w:t>
            </w:r>
            <w:r>
              <w:rPr>
                <w:rFonts w:eastAsiaTheme="minorEastAsia"/>
                <w:color w:val="auto"/>
                <w:kern w:val="0"/>
                <w:sz w:val="26"/>
                <w:szCs w:val="26"/>
                <w:highlight w:val="none"/>
                <w:lang w:bidi="ar"/>
              </w:rPr>
              <w:t>。</w:t>
            </w:r>
            <w:r>
              <w:rPr>
                <w:rFonts w:hint="eastAsia" w:eastAsiaTheme="minorEastAsia"/>
                <w:color w:val="auto"/>
                <w:kern w:val="0"/>
                <w:sz w:val="26"/>
                <w:szCs w:val="26"/>
                <w:highlight w:val="none"/>
                <w:lang w:bidi="ar"/>
              </w:rPr>
              <w:t>根据建设单位提供资料</w:t>
            </w:r>
            <w:r>
              <w:rPr>
                <w:rFonts w:hint="eastAsia" w:eastAsiaTheme="minorEastAsia"/>
                <w:color w:val="auto"/>
                <w:kern w:val="0"/>
                <w:sz w:val="26"/>
                <w:szCs w:val="26"/>
                <w:highlight w:val="none"/>
                <w:lang w:eastAsia="zh-CN" w:bidi="ar"/>
              </w:rPr>
              <w:t>：本项目冷却用水为自来水、不添加阻垢剂、采用间接冷却，冷却用水循环使用，定期补充，主要用于大型油压机间接冷却，在油压机生产运行期间冷却水系统需持续工作，配套的温控装置根据油温自动调节冷却水流量，冷却水实时流量与外环境温度、实际生产节拍及产品等相关，生产过程中实际循环水量为变动值，故本次评价根据建设单位提供的经验数据计算补水量。根据建设单位提供经验数据，冷却塔水箱平均日损失量约</w:t>
            </w:r>
            <w:r>
              <w:rPr>
                <w:rFonts w:hint="eastAsia" w:eastAsiaTheme="minorEastAsia"/>
                <w:color w:val="auto"/>
                <w:kern w:val="0"/>
                <w:sz w:val="26"/>
                <w:szCs w:val="26"/>
                <w:highlight w:val="none"/>
                <w:lang w:val="en-US" w:eastAsia="zh-CN" w:bidi="ar"/>
              </w:rPr>
              <w:t>30</w:t>
            </w:r>
            <w:r>
              <w:rPr>
                <w:rFonts w:hint="eastAsia" w:eastAsiaTheme="minorEastAsia"/>
                <w:color w:val="auto"/>
                <w:kern w:val="0"/>
                <w:sz w:val="26"/>
                <w:szCs w:val="26"/>
                <w:highlight w:val="none"/>
                <w:lang w:eastAsia="zh-CN" w:bidi="ar"/>
              </w:rPr>
              <w:t>%，补充水量为</w:t>
            </w:r>
            <w:r>
              <w:rPr>
                <w:rFonts w:hint="eastAsia" w:eastAsiaTheme="minorEastAsia"/>
                <w:color w:val="auto"/>
                <w:kern w:val="0"/>
                <w:sz w:val="26"/>
                <w:szCs w:val="26"/>
                <w:highlight w:val="none"/>
                <w:lang w:val="en-US" w:eastAsia="zh-CN" w:bidi="ar"/>
              </w:rPr>
              <w:t>18</w:t>
            </w:r>
            <w:r>
              <w:rPr>
                <w:rFonts w:hint="eastAsia" w:eastAsiaTheme="minorEastAsia"/>
                <w:color w:val="auto"/>
                <w:kern w:val="0"/>
                <w:sz w:val="26"/>
                <w:szCs w:val="26"/>
                <w:highlight w:val="none"/>
                <w:lang w:eastAsia="zh-CN" w:bidi="ar"/>
              </w:rPr>
              <w:t>m³/d，年用水量约</w:t>
            </w:r>
            <w:r>
              <w:rPr>
                <w:rFonts w:hint="eastAsia" w:eastAsiaTheme="minorEastAsia"/>
                <w:color w:val="auto"/>
                <w:kern w:val="0"/>
                <w:sz w:val="26"/>
                <w:szCs w:val="26"/>
                <w:highlight w:val="none"/>
                <w:lang w:val="en-US" w:eastAsia="zh-CN" w:bidi="ar"/>
              </w:rPr>
              <w:t>5484</w:t>
            </w:r>
            <w:r>
              <w:rPr>
                <w:rFonts w:hint="eastAsia" w:eastAsiaTheme="minorEastAsia"/>
                <w:color w:val="auto"/>
                <w:kern w:val="0"/>
                <w:sz w:val="26"/>
                <w:szCs w:val="26"/>
                <w:highlight w:val="none"/>
                <w:lang w:eastAsia="zh-CN" w:bidi="ar"/>
              </w:rPr>
              <w:t>m³/a；冷却水箱中冷却水</w:t>
            </w:r>
            <w:r>
              <w:rPr>
                <w:rFonts w:hint="eastAsia" w:eastAsiaTheme="minorEastAsia"/>
                <w:color w:val="auto"/>
                <w:kern w:val="0"/>
                <w:sz w:val="26"/>
                <w:szCs w:val="26"/>
                <w:highlight w:val="none"/>
                <w:lang w:val="en-US" w:eastAsia="zh-CN" w:bidi="ar"/>
              </w:rPr>
              <w:t>约</w:t>
            </w:r>
            <w:r>
              <w:rPr>
                <w:rFonts w:hint="eastAsia" w:eastAsiaTheme="minorEastAsia"/>
                <w:color w:val="auto"/>
                <w:kern w:val="0"/>
                <w:sz w:val="26"/>
                <w:szCs w:val="26"/>
                <w:highlight w:val="none"/>
                <w:lang w:eastAsia="zh-CN" w:bidi="ar"/>
              </w:rPr>
              <w:t>半年更换一次，每年更换2次，每次更换时排水量约为</w:t>
            </w:r>
            <w:r>
              <w:rPr>
                <w:rFonts w:hint="eastAsia" w:eastAsiaTheme="minorEastAsia"/>
                <w:color w:val="auto"/>
                <w:kern w:val="0"/>
                <w:sz w:val="26"/>
                <w:szCs w:val="26"/>
                <w:highlight w:val="none"/>
                <w:lang w:val="en-US" w:eastAsia="zh-CN" w:bidi="ar"/>
              </w:rPr>
              <w:t>30×(1</w:t>
            </w:r>
            <w:bookmarkStart w:id="48" w:name="hmcheck_0efdcbc050934a6da534aec2374aa9a0"/>
            <w:r>
              <w:rPr>
                <w:rFonts w:hint="eastAsia" w:eastAsiaTheme="minorEastAsia"/>
                <w:color w:val="auto"/>
                <w:kern w:val="0"/>
                <w:sz w:val="26"/>
                <w:szCs w:val="26"/>
                <w:highlight w:val="none"/>
                <w:shd w:val="clear" w:fill="FFAFAA"/>
                <w:lang w:val="en-US" w:eastAsia="zh-CN" w:bidi="ar"/>
              </w:rPr>
              <w:t>-</w:t>
            </w:r>
            <w:bookmarkEnd w:id="48"/>
            <w:r>
              <w:rPr>
                <w:rFonts w:hint="eastAsia" w:eastAsiaTheme="minorEastAsia"/>
                <w:color w:val="auto"/>
                <w:kern w:val="0"/>
                <w:sz w:val="26"/>
                <w:szCs w:val="26"/>
                <w:highlight w:val="none"/>
                <w:lang w:val="en-US" w:eastAsia="zh-CN" w:bidi="ar"/>
              </w:rPr>
              <w:t>30%</w:t>
            </w:r>
            <w:bookmarkStart w:id="49" w:name="hmcheck_22748ddd186446389ed9575a71010587"/>
            <w:r>
              <w:rPr>
                <w:rFonts w:hint="eastAsia" w:eastAsiaTheme="minorEastAsia"/>
                <w:color w:val="auto"/>
                <w:kern w:val="0"/>
                <w:sz w:val="26"/>
                <w:szCs w:val="26"/>
                <w:highlight w:val="none"/>
                <w:shd w:val="clear" w:fill="FFAFAA"/>
                <w:lang w:val="en-US" w:eastAsia="zh-CN" w:bidi="ar"/>
              </w:rPr>
              <w:t>）</w:t>
            </w:r>
            <w:bookmarkEnd w:id="49"/>
            <w:r>
              <w:rPr>
                <w:rFonts w:hint="eastAsia" w:eastAsiaTheme="minorEastAsia"/>
                <w:color w:val="auto"/>
                <w:kern w:val="0"/>
                <w:sz w:val="26"/>
                <w:szCs w:val="26"/>
                <w:highlight w:val="none"/>
                <w:lang w:val="en-US" w:eastAsia="zh-CN" w:bidi="ar"/>
              </w:rPr>
              <w:t>=21</w:t>
            </w:r>
            <w:r>
              <w:rPr>
                <w:rFonts w:eastAsiaTheme="minorEastAsia"/>
                <w:color w:val="auto"/>
                <w:kern w:val="0"/>
                <w:sz w:val="26"/>
                <w:szCs w:val="26"/>
                <w:highlight w:val="none"/>
                <w:lang w:bidi="ar"/>
              </w:rPr>
              <w:t>m</w:t>
            </w:r>
            <w:r>
              <w:rPr>
                <w:rFonts w:eastAsiaTheme="minorEastAsia"/>
                <w:color w:val="auto"/>
                <w:kern w:val="0"/>
                <w:sz w:val="26"/>
                <w:szCs w:val="26"/>
                <w:highlight w:val="none"/>
                <w:vertAlign w:val="superscript"/>
                <w:lang w:bidi="ar"/>
              </w:rPr>
              <w:t>3</w:t>
            </w:r>
            <w:r>
              <w:rPr>
                <w:rFonts w:hint="eastAsia" w:eastAsiaTheme="minorEastAsia"/>
                <w:color w:val="auto"/>
                <w:kern w:val="0"/>
                <w:sz w:val="26"/>
                <w:szCs w:val="26"/>
                <w:highlight w:val="none"/>
                <w:lang w:eastAsia="zh-CN" w:bidi="ar"/>
              </w:rPr>
              <w:t>，2个冷却水水箱交替更换，不同时排水，故冷却水箱更换水</w:t>
            </w:r>
            <w:r>
              <w:rPr>
                <w:rFonts w:eastAsiaTheme="minorEastAsia"/>
                <w:color w:val="auto"/>
                <w:kern w:val="0"/>
                <w:sz w:val="26"/>
                <w:szCs w:val="26"/>
                <w:highlight w:val="none"/>
                <w:lang w:bidi="ar"/>
              </w:rPr>
              <w:t>一次最大排水量</w:t>
            </w:r>
            <w:r>
              <w:rPr>
                <w:rFonts w:hint="eastAsia" w:eastAsiaTheme="minorEastAsia"/>
                <w:color w:val="auto"/>
                <w:kern w:val="0"/>
                <w:sz w:val="26"/>
                <w:szCs w:val="26"/>
                <w:highlight w:val="none"/>
                <w:lang w:val="en-US" w:eastAsia="zh-CN" w:bidi="ar"/>
              </w:rPr>
              <w:t>21</w:t>
            </w:r>
            <w:r>
              <w:rPr>
                <w:rFonts w:eastAsiaTheme="minorEastAsia"/>
                <w:color w:val="auto"/>
                <w:kern w:val="0"/>
                <w:sz w:val="26"/>
                <w:szCs w:val="26"/>
                <w:highlight w:val="none"/>
                <w:lang w:bidi="ar"/>
              </w:rPr>
              <w:t>m</w:t>
            </w:r>
            <w:r>
              <w:rPr>
                <w:rFonts w:eastAsiaTheme="minorEastAsia"/>
                <w:color w:val="auto"/>
                <w:kern w:val="0"/>
                <w:sz w:val="26"/>
                <w:szCs w:val="26"/>
                <w:highlight w:val="none"/>
                <w:vertAlign w:val="superscript"/>
                <w:lang w:bidi="ar"/>
              </w:rPr>
              <w:t>3</w:t>
            </w:r>
            <w:r>
              <w:rPr>
                <w:rFonts w:hint="eastAsia" w:eastAsiaTheme="minorEastAsia"/>
                <w:color w:val="auto"/>
                <w:kern w:val="0"/>
                <w:sz w:val="26"/>
                <w:szCs w:val="26"/>
                <w:highlight w:val="none"/>
                <w:lang w:bidi="ar"/>
              </w:rPr>
              <w:t>。</w:t>
            </w:r>
          </w:p>
          <w:p w14:paraId="5608A182">
            <w:pPr>
              <w:pStyle w:val="68"/>
              <w:spacing w:line="480" w:lineRule="exact"/>
              <w:ind w:firstLine="522"/>
              <w:rPr>
                <w:rFonts w:hAnsi="Times New Roman"/>
                <w:color w:val="auto"/>
                <w:sz w:val="26"/>
                <w:szCs w:val="26"/>
                <w:highlight w:val="none"/>
              </w:rPr>
            </w:pPr>
            <w:r>
              <w:rPr>
                <w:rFonts w:hint="eastAsia" w:hAnsi="Times New Roman"/>
                <w:b/>
                <w:bCs/>
                <w:color w:val="auto"/>
                <w:sz w:val="26"/>
                <w:szCs w:val="26"/>
                <w:highlight w:val="none"/>
              </w:rPr>
              <w:t>（2）</w:t>
            </w:r>
            <w:r>
              <w:rPr>
                <w:rFonts w:hAnsi="Times New Roman"/>
                <w:b/>
                <w:bCs/>
                <w:color w:val="auto"/>
                <w:sz w:val="26"/>
                <w:szCs w:val="26"/>
                <w:highlight w:val="none"/>
              </w:rPr>
              <w:t>生活用水</w:t>
            </w:r>
          </w:p>
          <w:p w14:paraId="3315ED04">
            <w:pPr>
              <w:pStyle w:val="68"/>
              <w:spacing w:line="480" w:lineRule="exact"/>
              <w:ind w:firstLine="520"/>
              <w:rPr>
                <w:rFonts w:hAnsi="Times New Roman"/>
                <w:color w:val="auto"/>
                <w:sz w:val="26"/>
                <w:szCs w:val="26"/>
                <w:highlight w:val="none"/>
              </w:rPr>
            </w:pPr>
            <w:r>
              <w:rPr>
                <w:rFonts w:hAnsi="Times New Roman"/>
                <w:color w:val="auto"/>
                <w:sz w:val="26"/>
                <w:szCs w:val="26"/>
                <w:highlight w:val="none"/>
              </w:rPr>
              <w:t>本项目劳动定员</w:t>
            </w:r>
            <w:r>
              <w:rPr>
                <w:rFonts w:hint="eastAsia" w:hAnsi="Times New Roman"/>
                <w:color w:val="auto"/>
                <w:sz w:val="26"/>
                <w:szCs w:val="26"/>
                <w:highlight w:val="none"/>
              </w:rPr>
              <w:t>12</w:t>
            </w:r>
            <w:r>
              <w:rPr>
                <w:rFonts w:hAnsi="Times New Roman"/>
                <w:color w:val="auto"/>
                <w:sz w:val="26"/>
                <w:szCs w:val="26"/>
                <w:highlight w:val="none"/>
              </w:rPr>
              <w:t>0人，</w:t>
            </w:r>
            <w:r>
              <w:rPr>
                <w:rFonts w:hint="eastAsia" w:hAnsi="Times New Roman"/>
                <w:color w:val="auto"/>
                <w:sz w:val="26"/>
                <w:szCs w:val="26"/>
                <w:highlight w:val="none"/>
                <w:lang w:eastAsia="zh-CN"/>
              </w:rPr>
              <w:t>不设</w:t>
            </w:r>
            <w:r>
              <w:rPr>
                <w:rFonts w:hint="eastAsia" w:hAnsi="Times New Roman"/>
                <w:color w:val="auto"/>
                <w:sz w:val="26"/>
                <w:szCs w:val="26"/>
                <w:highlight w:val="none"/>
              </w:rPr>
              <w:t>食堂、住宿</w:t>
            </w:r>
            <w:r>
              <w:rPr>
                <w:rFonts w:hAnsi="Times New Roman"/>
                <w:color w:val="auto"/>
                <w:sz w:val="26"/>
                <w:szCs w:val="26"/>
                <w:highlight w:val="none"/>
              </w:rPr>
              <w:t>，根据《建筑给水排水设计规范》（GB50015-2019）非住宿员工生活用水量取50 L/人·d，则本项目员工生活用水量</w:t>
            </w:r>
            <w:r>
              <w:rPr>
                <w:rFonts w:hint="eastAsia" w:hAnsi="Times New Roman"/>
                <w:color w:val="auto"/>
                <w:sz w:val="26"/>
                <w:szCs w:val="26"/>
                <w:highlight w:val="none"/>
              </w:rPr>
              <w:t>（年工作300d）</w:t>
            </w:r>
            <w:r>
              <w:rPr>
                <w:rFonts w:hAnsi="Times New Roman"/>
                <w:color w:val="auto"/>
                <w:sz w:val="26"/>
                <w:szCs w:val="26"/>
                <w:highlight w:val="none"/>
              </w:rPr>
              <w:t>为</w:t>
            </w:r>
            <w:r>
              <w:rPr>
                <w:rFonts w:hint="eastAsia" w:hAnsi="Times New Roman"/>
                <w:color w:val="auto"/>
                <w:sz w:val="26"/>
                <w:szCs w:val="26"/>
                <w:highlight w:val="none"/>
              </w:rPr>
              <w:t>6</w:t>
            </w:r>
            <w:r>
              <w:rPr>
                <w:rFonts w:hAnsi="Times New Roman"/>
                <w:color w:val="auto"/>
                <w:sz w:val="26"/>
                <w:szCs w:val="26"/>
                <w:highlight w:val="none"/>
              </w:rPr>
              <w:t>m</w:t>
            </w:r>
            <w:r>
              <w:rPr>
                <w:rFonts w:hAnsi="Times New Roman"/>
                <w:color w:val="auto"/>
                <w:sz w:val="26"/>
                <w:szCs w:val="26"/>
                <w:highlight w:val="none"/>
                <w:vertAlign w:val="superscript"/>
              </w:rPr>
              <w:t>3</w:t>
            </w:r>
            <w:r>
              <w:rPr>
                <w:rFonts w:hAnsi="Times New Roman"/>
                <w:color w:val="auto"/>
                <w:sz w:val="26"/>
                <w:szCs w:val="26"/>
                <w:highlight w:val="none"/>
              </w:rPr>
              <w:t>/d</w:t>
            </w:r>
            <w:r>
              <w:rPr>
                <w:rFonts w:hint="eastAsia" w:hAnsi="Times New Roman"/>
                <w:color w:val="auto"/>
                <w:sz w:val="26"/>
                <w:szCs w:val="26"/>
                <w:highlight w:val="none"/>
              </w:rPr>
              <w:t>（</w:t>
            </w:r>
            <w:r>
              <w:rPr>
                <w:rFonts w:hAnsi="Times New Roman"/>
                <w:color w:val="auto"/>
                <w:sz w:val="26"/>
                <w:szCs w:val="26"/>
                <w:highlight w:val="none"/>
              </w:rPr>
              <w:t>1</w:t>
            </w:r>
            <w:r>
              <w:rPr>
                <w:rFonts w:hint="eastAsia" w:hAnsi="Times New Roman"/>
                <w:color w:val="auto"/>
                <w:sz w:val="26"/>
                <w:szCs w:val="26"/>
                <w:highlight w:val="none"/>
              </w:rPr>
              <w:t>800</w:t>
            </w:r>
            <w:r>
              <w:rPr>
                <w:rFonts w:hAnsi="Times New Roman"/>
                <w:color w:val="auto"/>
                <w:sz w:val="26"/>
                <w:szCs w:val="26"/>
                <w:highlight w:val="none"/>
              </w:rPr>
              <w:t>m</w:t>
            </w:r>
            <w:r>
              <w:rPr>
                <w:rFonts w:hAnsi="Times New Roman"/>
                <w:color w:val="auto"/>
                <w:sz w:val="26"/>
                <w:szCs w:val="26"/>
                <w:highlight w:val="none"/>
                <w:vertAlign w:val="superscript"/>
              </w:rPr>
              <w:t>3</w:t>
            </w:r>
            <w:r>
              <w:rPr>
                <w:rFonts w:hAnsi="Times New Roman"/>
                <w:color w:val="auto"/>
                <w:sz w:val="26"/>
                <w:szCs w:val="26"/>
                <w:highlight w:val="none"/>
              </w:rPr>
              <w:t>/a</w:t>
            </w:r>
            <w:r>
              <w:rPr>
                <w:rFonts w:hint="eastAsia" w:hAnsi="Times New Roman"/>
                <w:color w:val="auto"/>
                <w:sz w:val="26"/>
                <w:szCs w:val="26"/>
                <w:highlight w:val="none"/>
              </w:rPr>
              <w:t>）</w:t>
            </w:r>
            <w:r>
              <w:rPr>
                <w:rFonts w:hAnsi="Times New Roman"/>
                <w:color w:val="auto"/>
                <w:sz w:val="26"/>
                <w:szCs w:val="26"/>
                <w:highlight w:val="none"/>
              </w:rPr>
              <w:t>。</w:t>
            </w:r>
          </w:p>
          <w:p w14:paraId="6E6C3D57">
            <w:pPr>
              <w:ind w:firstLine="420" w:firstLineChars="200"/>
              <w:rPr>
                <w:color w:val="auto"/>
                <w:szCs w:val="21"/>
                <w:highlight w:val="none"/>
              </w:rPr>
            </w:pPr>
          </w:p>
          <w:p w14:paraId="45A1D49F">
            <w:pPr>
              <w:jc w:val="center"/>
              <w:rPr>
                <w:color w:val="auto"/>
                <w:sz w:val="26"/>
                <w:szCs w:val="26"/>
                <w:highlight w:val="none"/>
              </w:rPr>
            </w:pPr>
            <w:r>
              <w:rPr>
                <w:rFonts w:hint="eastAsia"/>
                <w:color w:val="auto"/>
                <w:sz w:val="26"/>
                <w:szCs w:val="26"/>
                <w:highlight w:val="none"/>
              </w:rPr>
              <w:t>表2.6-4</w:t>
            </w:r>
            <w:r>
              <w:rPr>
                <w:color w:val="auto"/>
                <w:sz w:val="26"/>
                <w:szCs w:val="26"/>
                <w:highlight w:val="none"/>
              </w:rPr>
              <w:t xml:space="preserve">   </w:t>
            </w:r>
            <w:r>
              <w:rPr>
                <w:rFonts w:hint="eastAsia"/>
                <w:color w:val="auto"/>
                <w:sz w:val="26"/>
                <w:szCs w:val="26"/>
                <w:highlight w:val="none"/>
              </w:rPr>
              <w:t>项目给排水情况一览表</w:t>
            </w:r>
          </w:p>
          <w:tbl>
            <w:tblPr>
              <w:tblStyle w:val="17"/>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068"/>
              <w:gridCol w:w="1517"/>
              <w:gridCol w:w="1359"/>
              <w:gridCol w:w="984"/>
              <w:gridCol w:w="477"/>
              <w:gridCol w:w="1182"/>
              <w:gridCol w:w="1005"/>
            </w:tblGrid>
            <w:tr w14:paraId="0D2E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2" w:type="dxa"/>
                  <w:vMerge w:val="restart"/>
                  <w:vAlign w:val="center"/>
                </w:tcPr>
                <w:p w14:paraId="71F29CE7">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用水单位</w:t>
                  </w:r>
                </w:p>
              </w:tc>
              <w:tc>
                <w:tcPr>
                  <w:tcW w:w="1068" w:type="dxa"/>
                  <w:vMerge w:val="restart"/>
                  <w:vAlign w:val="center"/>
                </w:tcPr>
                <w:p w14:paraId="127F35DD">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用水</w:t>
                  </w:r>
                  <w:r>
                    <w:rPr>
                      <w:rFonts w:hint="eastAsia" w:eastAsiaTheme="minorEastAsia"/>
                      <w:color w:val="auto"/>
                      <w:kern w:val="0"/>
                      <w:sz w:val="22"/>
                      <w:szCs w:val="22"/>
                      <w:highlight w:val="none"/>
                    </w:rPr>
                    <w:t>规模</w:t>
                  </w:r>
                </w:p>
              </w:tc>
              <w:tc>
                <w:tcPr>
                  <w:tcW w:w="1517" w:type="dxa"/>
                  <w:vMerge w:val="restart"/>
                  <w:vAlign w:val="center"/>
                </w:tcPr>
                <w:p w14:paraId="59A24D6E">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用水定额</w:t>
                  </w:r>
                </w:p>
              </w:tc>
              <w:tc>
                <w:tcPr>
                  <w:tcW w:w="2343" w:type="dxa"/>
                  <w:gridSpan w:val="2"/>
                  <w:vAlign w:val="center"/>
                </w:tcPr>
                <w:p w14:paraId="40368102">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用水量</w:t>
                  </w:r>
                </w:p>
              </w:tc>
              <w:tc>
                <w:tcPr>
                  <w:tcW w:w="477" w:type="dxa"/>
                  <w:vMerge w:val="restart"/>
                  <w:vAlign w:val="center"/>
                </w:tcPr>
                <w:p w14:paraId="79D6558E">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排水系数</w:t>
                  </w:r>
                </w:p>
              </w:tc>
              <w:tc>
                <w:tcPr>
                  <w:tcW w:w="2187" w:type="dxa"/>
                  <w:gridSpan w:val="2"/>
                  <w:vAlign w:val="center"/>
                </w:tcPr>
                <w:p w14:paraId="7AAE409A">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排水量</w:t>
                  </w:r>
                </w:p>
              </w:tc>
            </w:tr>
            <w:tr w14:paraId="6D47E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2" w:type="dxa"/>
                  <w:vMerge w:val="continue"/>
                  <w:vAlign w:val="center"/>
                </w:tcPr>
                <w:p w14:paraId="6B490605">
                  <w:pPr>
                    <w:snapToGrid w:val="0"/>
                    <w:jc w:val="center"/>
                    <w:rPr>
                      <w:rFonts w:eastAsiaTheme="minorEastAsia"/>
                      <w:color w:val="auto"/>
                      <w:kern w:val="0"/>
                      <w:sz w:val="22"/>
                      <w:szCs w:val="22"/>
                      <w:highlight w:val="none"/>
                    </w:rPr>
                  </w:pPr>
                </w:p>
              </w:tc>
              <w:tc>
                <w:tcPr>
                  <w:tcW w:w="1068" w:type="dxa"/>
                  <w:vMerge w:val="continue"/>
                  <w:vAlign w:val="center"/>
                </w:tcPr>
                <w:p w14:paraId="1C56FF24">
                  <w:pPr>
                    <w:snapToGrid w:val="0"/>
                    <w:jc w:val="center"/>
                    <w:rPr>
                      <w:rFonts w:eastAsiaTheme="minorEastAsia"/>
                      <w:color w:val="auto"/>
                      <w:kern w:val="0"/>
                      <w:sz w:val="22"/>
                      <w:szCs w:val="22"/>
                      <w:highlight w:val="none"/>
                    </w:rPr>
                  </w:pPr>
                </w:p>
              </w:tc>
              <w:tc>
                <w:tcPr>
                  <w:tcW w:w="1517" w:type="dxa"/>
                  <w:vMerge w:val="continue"/>
                  <w:vAlign w:val="center"/>
                </w:tcPr>
                <w:p w14:paraId="57B394D3">
                  <w:pPr>
                    <w:snapToGrid w:val="0"/>
                    <w:jc w:val="center"/>
                    <w:rPr>
                      <w:rFonts w:eastAsiaTheme="minorEastAsia"/>
                      <w:color w:val="auto"/>
                      <w:kern w:val="0"/>
                      <w:sz w:val="22"/>
                      <w:szCs w:val="22"/>
                      <w:highlight w:val="none"/>
                    </w:rPr>
                  </w:pPr>
                </w:p>
              </w:tc>
              <w:tc>
                <w:tcPr>
                  <w:tcW w:w="1359" w:type="dxa"/>
                  <w:vAlign w:val="center"/>
                </w:tcPr>
                <w:p w14:paraId="0A485A8F">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m</w:t>
                  </w:r>
                  <w:r>
                    <w:rPr>
                      <w:rFonts w:eastAsiaTheme="minorEastAsia"/>
                      <w:color w:val="auto"/>
                      <w:kern w:val="0"/>
                      <w:sz w:val="22"/>
                      <w:szCs w:val="22"/>
                      <w:highlight w:val="none"/>
                      <w:vertAlign w:val="superscript"/>
                    </w:rPr>
                    <w:t>3</w:t>
                  </w:r>
                  <w:r>
                    <w:rPr>
                      <w:rFonts w:eastAsiaTheme="minorEastAsia"/>
                      <w:color w:val="auto"/>
                      <w:kern w:val="0"/>
                      <w:sz w:val="22"/>
                      <w:szCs w:val="22"/>
                      <w:highlight w:val="none"/>
                    </w:rPr>
                    <w:t>/d</w:t>
                  </w:r>
                  <w:r>
                    <w:rPr>
                      <w:rFonts w:hint="eastAsia" w:eastAsiaTheme="minorEastAsia"/>
                      <w:color w:val="auto"/>
                      <w:kern w:val="0"/>
                      <w:sz w:val="22"/>
                      <w:szCs w:val="22"/>
                      <w:highlight w:val="none"/>
                    </w:rPr>
                    <w:t>（日均</w:t>
                  </w:r>
                  <w:r>
                    <w:rPr>
                      <w:rFonts w:hint="eastAsia" w:eastAsiaTheme="minorEastAsia"/>
                      <w:color w:val="auto"/>
                      <w:kern w:val="0"/>
                      <w:sz w:val="22"/>
                      <w:szCs w:val="22"/>
                      <w:highlight w:val="none"/>
                      <w:lang w:val="en-US" w:eastAsia="zh-CN"/>
                    </w:rPr>
                    <w:t>/最大</w:t>
                  </w:r>
                  <w:r>
                    <w:rPr>
                      <w:rFonts w:hint="eastAsia" w:eastAsiaTheme="minorEastAsia"/>
                      <w:color w:val="auto"/>
                      <w:kern w:val="0"/>
                      <w:sz w:val="22"/>
                      <w:szCs w:val="22"/>
                      <w:highlight w:val="none"/>
                    </w:rPr>
                    <w:t>）</w:t>
                  </w:r>
                </w:p>
              </w:tc>
              <w:tc>
                <w:tcPr>
                  <w:tcW w:w="984" w:type="dxa"/>
                  <w:vAlign w:val="center"/>
                </w:tcPr>
                <w:p w14:paraId="5AC43EA0">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m</w:t>
                  </w:r>
                  <w:r>
                    <w:rPr>
                      <w:rFonts w:eastAsiaTheme="minorEastAsia"/>
                      <w:color w:val="auto"/>
                      <w:kern w:val="0"/>
                      <w:sz w:val="22"/>
                      <w:szCs w:val="22"/>
                      <w:highlight w:val="none"/>
                      <w:vertAlign w:val="superscript"/>
                    </w:rPr>
                    <w:t>3</w:t>
                  </w:r>
                  <w:r>
                    <w:rPr>
                      <w:rFonts w:eastAsiaTheme="minorEastAsia"/>
                      <w:color w:val="auto"/>
                      <w:kern w:val="0"/>
                      <w:sz w:val="22"/>
                      <w:szCs w:val="22"/>
                      <w:highlight w:val="none"/>
                    </w:rPr>
                    <w:t>/a</w:t>
                  </w:r>
                </w:p>
              </w:tc>
              <w:tc>
                <w:tcPr>
                  <w:tcW w:w="477" w:type="dxa"/>
                  <w:vMerge w:val="continue"/>
                  <w:vAlign w:val="center"/>
                </w:tcPr>
                <w:p w14:paraId="02100C0E">
                  <w:pPr>
                    <w:snapToGrid w:val="0"/>
                    <w:jc w:val="center"/>
                    <w:rPr>
                      <w:rFonts w:eastAsiaTheme="minorEastAsia"/>
                      <w:color w:val="auto"/>
                      <w:kern w:val="0"/>
                      <w:sz w:val="22"/>
                      <w:szCs w:val="22"/>
                      <w:highlight w:val="none"/>
                    </w:rPr>
                  </w:pPr>
                </w:p>
              </w:tc>
              <w:tc>
                <w:tcPr>
                  <w:tcW w:w="1182" w:type="dxa"/>
                  <w:vAlign w:val="center"/>
                </w:tcPr>
                <w:p w14:paraId="65EF8B50">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m</w:t>
                  </w:r>
                  <w:r>
                    <w:rPr>
                      <w:rFonts w:eastAsiaTheme="minorEastAsia"/>
                      <w:color w:val="auto"/>
                      <w:kern w:val="0"/>
                      <w:sz w:val="22"/>
                      <w:szCs w:val="22"/>
                      <w:highlight w:val="none"/>
                      <w:vertAlign w:val="superscript"/>
                    </w:rPr>
                    <w:t>3</w:t>
                  </w:r>
                  <w:r>
                    <w:rPr>
                      <w:rFonts w:eastAsiaTheme="minorEastAsia"/>
                      <w:color w:val="auto"/>
                      <w:kern w:val="0"/>
                      <w:sz w:val="22"/>
                      <w:szCs w:val="22"/>
                      <w:highlight w:val="none"/>
                    </w:rPr>
                    <w:t>/d</w:t>
                  </w:r>
                  <w:r>
                    <w:rPr>
                      <w:rFonts w:hint="eastAsia" w:eastAsiaTheme="minorEastAsia"/>
                      <w:color w:val="auto"/>
                      <w:kern w:val="0"/>
                      <w:sz w:val="22"/>
                      <w:szCs w:val="22"/>
                      <w:highlight w:val="none"/>
                    </w:rPr>
                    <w:t>（日均/最大）</w:t>
                  </w:r>
                </w:p>
              </w:tc>
              <w:tc>
                <w:tcPr>
                  <w:tcW w:w="1005" w:type="dxa"/>
                  <w:vAlign w:val="center"/>
                </w:tcPr>
                <w:p w14:paraId="184BB57B">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m</w:t>
                  </w:r>
                  <w:r>
                    <w:rPr>
                      <w:rFonts w:eastAsiaTheme="minorEastAsia"/>
                      <w:color w:val="auto"/>
                      <w:kern w:val="0"/>
                      <w:sz w:val="22"/>
                      <w:szCs w:val="22"/>
                      <w:highlight w:val="none"/>
                      <w:vertAlign w:val="superscript"/>
                    </w:rPr>
                    <w:t>3</w:t>
                  </w:r>
                  <w:r>
                    <w:rPr>
                      <w:rFonts w:eastAsiaTheme="minorEastAsia"/>
                      <w:color w:val="auto"/>
                      <w:kern w:val="0"/>
                      <w:sz w:val="22"/>
                      <w:szCs w:val="22"/>
                      <w:highlight w:val="none"/>
                    </w:rPr>
                    <w:t>/a</w:t>
                  </w:r>
                </w:p>
              </w:tc>
            </w:tr>
            <w:tr w14:paraId="5FFA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2" w:type="dxa"/>
                  <w:vAlign w:val="center"/>
                </w:tcPr>
                <w:p w14:paraId="17F5BF0E">
                  <w:pPr>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一</w:t>
                  </w:r>
                </w:p>
              </w:tc>
              <w:tc>
                <w:tcPr>
                  <w:tcW w:w="7592" w:type="dxa"/>
                  <w:gridSpan w:val="7"/>
                  <w:vAlign w:val="center"/>
                </w:tcPr>
                <w:p w14:paraId="68267050">
                  <w:pPr>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生产用水</w:t>
                  </w:r>
                </w:p>
              </w:tc>
            </w:tr>
            <w:tr w14:paraId="5ABA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2" w:type="dxa"/>
                  <w:vAlign w:val="center"/>
                </w:tcPr>
                <w:p w14:paraId="6156F5D7">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冷却水</w:t>
                  </w:r>
                </w:p>
              </w:tc>
              <w:tc>
                <w:tcPr>
                  <w:tcW w:w="1068" w:type="dxa"/>
                  <w:vAlign w:val="center"/>
                </w:tcPr>
                <w:p w14:paraId="78D5D513">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300天</w:t>
                  </w:r>
                </w:p>
              </w:tc>
              <w:tc>
                <w:tcPr>
                  <w:tcW w:w="1517" w:type="dxa"/>
                  <w:vAlign w:val="center"/>
                </w:tcPr>
                <w:p w14:paraId="19E1204F">
                  <w:pPr>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冷却水循环利用，补水量约为</w:t>
                  </w:r>
                  <w:r>
                    <w:rPr>
                      <w:rFonts w:hint="eastAsia" w:eastAsiaTheme="minorEastAsia"/>
                      <w:color w:val="auto"/>
                      <w:kern w:val="0"/>
                      <w:sz w:val="22"/>
                      <w:szCs w:val="22"/>
                      <w:highlight w:val="none"/>
                      <w:lang w:val="en-US" w:eastAsia="zh-CN"/>
                    </w:rPr>
                    <w:t>18</w:t>
                  </w:r>
                  <w:r>
                    <w:rPr>
                      <w:rFonts w:eastAsiaTheme="minorEastAsia"/>
                      <w:color w:val="auto"/>
                      <w:kern w:val="0"/>
                      <w:sz w:val="22"/>
                      <w:szCs w:val="22"/>
                      <w:highlight w:val="none"/>
                    </w:rPr>
                    <w:t>m</w:t>
                  </w:r>
                  <w:r>
                    <w:rPr>
                      <w:rFonts w:eastAsiaTheme="minorEastAsia"/>
                      <w:color w:val="auto"/>
                      <w:kern w:val="0"/>
                      <w:sz w:val="22"/>
                      <w:szCs w:val="22"/>
                      <w:highlight w:val="none"/>
                      <w:vertAlign w:val="superscript"/>
                    </w:rPr>
                    <w:t>3</w:t>
                  </w:r>
                  <w:r>
                    <w:rPr>
                      <w:rFonts w:eastAsiaTheme="minorEastAsia"/>
                      <w:color w:val="auto"/>
                      <w:kern w:val="0"/>
                      <w:sz w:val="22"/>
                      <w:szCs w:val="22"/>
                      <w:highlight w:val="none"/>
                    </w:rPr>
                    <w:t>/天</w:t>
                  </w:r>
                  <w:r>
                    <w:rPr>
                      <w:rFonts w:hint="eastAsia" w:eastAsiaTheme="minorEastAsia"/>
                      <w:color w:val="auto"/>
                      <w:kern w:val="0"/>
                      <w:sz w:val="22"/>
                      <w:szCs w:val="22"/>
                      <w:highlight w:val="none"/>
                    </w:rPr>
                    <w:t>，约半年更换一次，每年更换2次</w:t>
                  </w:r>
                </w:p>
              </w:tc>
              <w:tc>
                <w:tcPr>
                  <w:tcW w:w="1359" w:type="dxa"/>
                  <w:vAlign w:val="center"/>
                </w:tcPr>
                <w:p w14:paraId="363E5958">
                  <w:pPr>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lang w:val="en-US" w:eastAsia="zh-CN"/>
                    </w:rPr>
                    <w:t>18.28/30</w:t>
                  </w:r>
                </w:p>
              </w:tc>
              <w:tc>
                <w:tcPr>
                  <w:tcW w:w="984" w:type="dxa"/>
                  <w:vAlign w:val="center"/>
                </w:tcPr>
                <w:p w14:paraId="30DE71BE">
                  <w:pPr>
                    <w:snapToGrid w:val="0"/>
                    <w:jc w:val="center"/>
                    <w:rPr>
                      <w:rFonts w:hint="default" w:eastAsiaTheme="minorEastAsia"/>
                      <w:color w:val="auto"/>
                      <w:kern w:val="0"/>
                      <w:sz w:val="22"/>
                      <w:szCs w:val="22"/>
                      <w:highlight w:val="none"/>
                      <w:lang w:val="en-US" w:eastAsia="zh-CN"/>
                    </w:rPr>
                  </w:pPr>
                  <w:r>
                    <w:rPr>
                      <w:rFonts w:hint="eastAsia" w:eastAsiaTheme="minorEastAsia"/>
                      <w:color w:val="auto"/>
                      <w:kern w:val="0"/>
                      <w:sz w:val="22"/>
                      <w:szCs w:val="22"/>
                      <w:highlight w:val="none"/>
                      <w:lang w:val="en-US" w:eastAsia="zh-CN"/>
                    </w:rPr>
                    <w:t>5484</w:t>
                  </w:r>
                </w:p>
              </w:tc>
              <w:tc>
                <w:tcPr>
                  <w:tcW w:w="477" w:type="dxa"/>
                  <w:vAlign w:val="center"/>
                </w:tcPr>
                <w:p w14:paraId="7BF6B93C">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w:t>
                  </w:r>
                </w:p>
              </w:tc>
              <w:tc>
                <w:tcPr>
                  <w:tcW w:w="1182" w:type="dxa"/>
                  <w:vAlign w:val="center"/>
                </w:tcPr>
                <w:p w14:paraId="7B875A91">
                  <w:pPr>
                    <w:snapToGrid w:val="0"/>
                    <w:jc w:val="center"/>
                    <w:rPr>
                      <w:rFonts w:hint="default" w:eastAsiaTheme="minorEastAsia"/>
                      <w:color w:val="auto"/>
                      <w:kern w:val="0"/>
                      <w:sz w:val="22"/>
                      <w:szCs w:val="22"/>
                      <w:highlight w:val="none"/>
                      <w:lang w:val="en-US" w:eastAsia="zh-CN"/>
                    </w:rPr>
                  </w:pPr>
                  <w:r>
                    <w:rPr>
                      <w:rFonts w:hint="eastAsia" w:eastAsiaTheme="minorEastAsia"/>
                      <w:color w:val="auto"/>
                      <w:kern w:val="0"/>
                      <w:sz w:val="22"/>
                      <w:szCs w:val="22"/>
                      <w:highlight w:val="none"/>
                      <w:lang w:val="en-US" w:eastAsia="zh-CN"/>
                    </w:rPr>
                    <w:t>0.28/21</w:t>
                  </w:r>
                </w:p>
              </w:tc>
              <w:tc>
                <w:tcPr>
                  <w:tcW w:w="1005" w:type="dxa"/>
                  <w:vAlign w:val="center"/>
                </w:tcPr>
                <w:p w14:paraId="0BD25CB6">
                  <w:pPr>
                    <w:snapToGrid w:val="0"/>
                    <w:jc w:val="center"/>
                    <w:rPr>
                      <w:rFonts w:hint="default" w:eastAsiaTheme="minorEastAsia"/>
                      <w:color w:val="auto"/>
                      <w:kern w:val="0"/>
                      <w:sz w:val="22"/>
                      <w:szCs w:val="22"/>
                      <w:highlight w:val="none"/>
                      <w:lang w:val="en-US" w:eastAsia="zh-CN"/>
                    </w:rPr>
                  </w:pPr>
                  <w:r>
                    <w:rPr>
                      <w:rFonts w:hint="eastAsia" w:eastAsiaTheme="minorEastAsia"/>
                      <w:color w:val="auto"/>
                      <w:kern w:val="0"/>
                      <w:sz w:val="22"/>
                      <w:szCs w:val="22"/>
                      <w:highlight w:val="none"/>
                      <w:lang w:val="en-US" w:eastAsia="zh-CN"/>
                    </w:rPr>
                    <w:t>84</w:t>
                  </w:r>
                </w:p>
              </w:tc>
            </w:tr>
            <w:tr w14:paraId="0D58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2" w:type="dxa"/>
                  <w:vAlign w:val="center"/>
                </w:tcPr>
                <w:p w14:paraId="0A67FF72">
                  <w:pPr>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地面拖洗用水</w:t>
                  </w:r>
                </w:p>
              </w:tc>
              <w:tc>
                <w:tcPr>
                  <w:tcW w:w="1068" w:type="dxa"/>
                  <w:vAlign w:val="center"/>
                </w:tcPr>
                <w:p w14:paraId="0E25D1BE">
                  <w:pPr>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21476.8m</w:t>
                  </w:r>
                  <w:r>
                    <w:rPr>
                      <w:rFonts w:hint="eastAsia" w:eastAsiaTheme="minorEastAsia"/>
                      <w:color w:val="auto"/>
                      <w:kern w:val="0"/>
                      <w:sz w:val="22"/>
                      <w:szCs w:val="22"/>
                      <w:highlight w:val="none"/>
                      <w:vertAlign w:val="superscript"/>
                    </w:rPr>
                    <w:t>2</w:t>
                  </w:r>
                  <w:r>
                    <w:rPr>
                      <w:rFonts w:hint="eastAsia" w:eastAsiaTheme="minorEastAsia"/>
                      <w:color w:val="auto"/>
                      <w:kern w:val="0"/>
                      <w:sz w:val="22"/>
                      <w:szCs w:val="22"/>
                      <w:highlight w:val="none"/>
                    </w:rPr>
                    <w:t>，每个月1次</w:t>
                  </w:r>
                </w:p>
              </w:tc>
              <w:tc>
                <w:tcPr>
                  <w:tcW w:w="1517" w:type="dxa"/>
                  <w:vAlign w:val="center"/>
                </w:tcPr>
                <w:p w14:paraId="58143A3D">
                  <w:pPr>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0.1L/m</w:t>
                  </w:r>
                  <w:r>
                    <w:rPr>
                      <w:rFonts w:hint="eastAsia" w:eastAsiaTheme="minorEastAsia"/>
                      <w:color w:val="auto"/>
                      <w:kern w:val="0"/>
                      <w:sz w:val="22"/>
                      <w:szCs w:val="22"/>
                      <w:highlight w:val="none"/>
                      <w:vertAlign w:val="superscript"/>
                    </w:rPr>
                    <w:t>2</w:t>
                  </w:r>
                  <w:r>
                    <w:rPr>
                      <w:rFonts w:hint="eastAsia" w:eastAsiaTheme="minorEastAsia"/>
                      <w:color w:val="auto"/>
                      <w:kern w:val="0"/>
                      <w:sz w:val="22"/>
                      <w:szCs w:val="22"/>
                      <w:highlight w:val="none"/>
                    </w:rPr>
                    <w:t>·次</w:t>
                  </w:r>
                </w:p>
              </w:tc>
              <w:tc>
                <w:tcPr>
                  <w:tcW w:w="1359" w:type="dxa"/>
                  <w:vAlign w:val="center"/>
                </w:tcPr>
                <w:p w14:paraId="55DF2CE7">
                  <w:pPr>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0.07/2.15</w:t>
                  </w:r>
                </w:p>
              </w:tc>
              <w:tc>
                <w:tcPr>
                  <w:tcW w:w="984" w:type="dxa"/>
                  <w:vAlign w:val="center"/>
                </w:tcPr>
                <w:p w14:paraId="0767CE6D">
                  <w:pPr>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21.48</w:t>
                  </w:r>
                </w:p>
              </w:tc>
              <w:tc>
                <w:tcPr>
                  <w:tcW w:w="477" w:type="dxa"/>
                  <w:vAlign w:val="center"/>
                </w:tcPr>
                <w:p w14:paraId="7F74035D">
                  <w:pPr>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0.9</w:t>
                  </w:r>
                </w:p>
              </w:tc>
              <w:tc>
                <w:tcPr>
                  <w:tcW w:w="1182" w:type="dxa"/>
                  <w:vAlign w:val="center"/>
                </w:tcPr>
                <w:p w14:paraId="062C7FE2">
                  <w:pPr>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lang w:val="en-US" w:eastAsia="zh-CN"/>
                    </w:rPr>
                    <w:t>0.06/</w:t>
                  </w:r>
                  <w:r>
                    <w:rPr>
                      <w:rFonts w:hint="eastAsia" w:eastAsiaTheme="minorEastAsia"/>
                      <w:color w:val="auto"/>
                      <w:kern w:val="0"/>
                      <w:sz w:val="22"/>
                      <w:szCs w:val="22"/>
                      <w:highlight w:val="none"/>
                    </w:rPr>
                    <w:t>1.93</w:t>
                  </w:r>
                </w:p>
              </w:tc>
              <w:tc>
                <w:tcPr>
                  <w:tcW w:w="1005" w:type="dxa"/>
                  <w:vAlign w:val="center"/>
                </w:tcPr>
                <w:p w14:paraId="522FC5CD">
                  <w:pPr>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19.33</w:t>
                  </w:r>
                </w:p>
              </w:tc>
            </w:tr>
            <w:tr w14:paraId="25CEB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67" w:type="dxa"/>
                  <w:gridSpan w:val="3"/>
                  <w:vAlign w:val="center"/>
                </w:tcPr>
                <w:p w14:paraId="5C3CB8B3">
                  <w:pPr>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合计</w:t>
                  </w:r>
                </w:p>
              </w:tc>
              <w:tc>
                <w:tcPr>
                  <w:tcW w:w="1359" w:type="dxa"/>
                  <w:vAlign w:val="center"/>
                </w:tcPr>
                <w:p w14:paraId="3C8B5D8C">
                  <w:pPr>
                    <w:snapToGrid w:val="0"/>
                    <w:jc w:val="center"/>
                    <w:rPr>
                      <w:rFonts w:hint="default" w:eastAsiaTheme="minorEastAsia"/>
                      <w:color w:val="auto"/>
                      <w:kern w:val="0"/>
                      <w:sz w:val="22"/>
                      <w:szCs w:val="22"/>
                      <w:highlight w:val="none"/>
                      <w:lang w:val="en-US" w:eastAsia="zh-CN"/>
                    </w:rPr>
                  </w:pPr>
                  <w:r>
                    <w:rPr>
                      <w:rFonts w:hint="eastAsia" w:eastAsiaTheme="minorEastAsia"/>
                      <w:color w:val="auto"/>
                      <w:kern w:val="0"/>
                      <w:sz w:val="22"/>
                      <w:szCs w:val="22"/>
                      <w:highlight w:val="none"/>
                      <w:lang w:val="en-US" w:eastAsia="zh-CN"/>
                    </w:rPr>
                    <w:t>18.35</w:t>
                  </w:r>
                  <w:r>
                    <w:rPr>
                      <w:rFonts w:hint="eastAsia" w:eastAsiaTheme="minorEastAsia"/>
                      <w:color w:val="auto"/>
                      <w:kern w:val="0"/>
                      <w:sz w:val="22"/>
                      <w:szCs w:val="22"/>
                      <w:highlight w:val="none"/>
                    </w:rPr>
                    <w:t>/</w:t>
                  </w:r>
                  <w:r>
                    <w:rPr>
                      <w:rFonts w:hint="eastAsia" w:eastAsiaTheme="minorEastAsia"/>
                      <w:color w:val="auto"/>
                      <w:kern w:val="0"/>
                      <w:sz w:val="22"/>
                      <w:szCs w:val="22"/>
                      <w:highlight w:val="none"/>
                      <w:lang w:val="en-US" w:eastAsia="zh-CN"/>
                    </w:rPr>
                    <w:t>32.15</w:t>
                  </w:r>
                </w:p>
              </w:tc>
              <w:tc>
                <w:tcPr>
                  <w:tcW w:w="984" w:type="dxa"/>
                  <w:vAlign w:val="center"/>
                </w:tcPr>
                <w:p w14:paraId="60041DBB">
                  <w:pPr>
                    <w:snapToGrid w:val="0"/>
                    <w:jc w:val="center"/>
                    <w:rPr>
                      <w:rFonts w:hint="default" w:eastAsiaTheme="minorEastAsia"/>
                      <w:color w:val="auto"/>
                      <w:kern w:val="0"/>
                      <w:sz w:val="22"/>
                      <w:szCs w:val="22"/>
                      <w:highlight w:val="none"/>
                      <w:lang w:val="en-US" w:eastAsia="zh-CN"/>
                    </w:rPr>
                  </w:pPr>
                  <w:r>
                    <w:rPr>
                      <w:rFonts w:hint="eastAsia" w:eastAsiaTheme="minorEastAsia"/>
                      <w:color w:val="auto"/>
                      <w:kern w:val="0"/>
                      <w:sz w:val="22"/>
                      <w:szCs w:val="22"/>
                      <w:highlight w:val="none"/>
                      <w:lang w:val="en-US" w:eastAsia="zh-CN"/>
                    </w:rPr>
                    <w:t>5505.48</w:t>
                  </w:r>
                </w:p>
              </w:tc>
              <w:tc>
                <w:tcPr>
                  <w:tcW w:w="477" w:type="dxa"/>
                  <w:vAlign w:val="center"/>
                </w:tcPr>
                <w:p w14:paraId="57361DB5">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w:t>
                  </w:r>
                </w:p>
              </w:tc>
              <w:tc>
                <w:tcPr>
                  <w:tcW w:w="1182" w:type="dxa"/>
                  <w:vAlign w:val="center"/>
                </w:tcPr>
                <w:p w14:paraId="6FA20299">
                  <w:pPr>
                    <w:snapToGrid w:val="0"/>
                    <w:jc w:val="center"/>
                    <w:rPr>
                      <w:rFonts w:hint="default" w:eastAsiaTheme="minorEastAsia"/>
                      <w:color w:val="auto"/>
                      <w:kern w:val="0"/>
                      <w:sz w:val="22"/>
                      <w:szCs w:val="22"/>
                      <w:highlight w:val="none"/>
                      <w:lang w:val="en-US" w:eastAsia="zh-CN"/>
                    </w:rPr>
                  </w:pPr>
                  <w:r>
                    <w:rPr>
                      <w:rFonts w:hint="eastAsia" w:eastAsiaTheme="minorEastAsia"/>
                      <w:color w:val="auto"/>
                      <w:kern w:val="0"/>
                      <w:sz w:val="22"/>
                      <w:szCs w:val="22"/>
                      <w:highlight w:val="none"/>
                      <w:lang w:val="en-US" w:eastAsia="zh-CN"/>
                    </w:rPr>
                    <w:t>0.34/22.93</w:t>
                  </w:r>
                </w:p>
              </w:tc>
              <w:tc>
                <w:tcPr>
                  <w:tcW w:w="1005" w:type="dxa"/>
                  <w:vAlign w:val="center"/>
                </w:tcPr>
                <w:p w14:paraId="3265AD5C">
                  <w:pPr>
                    <w:snapToGrid w:val="0"/>
                    <w:jc w:val="center"/>
                    <w:rPr>
                      <w:rFonts w:hint="default" w:eastAsiaTheme="minorEastAsia"/>
                      <w:color w:val="auto"/>
                      <w:kern w:val="0"/>
                      <w:sz w:val="22"/>
                      <w:szCs w:val="22"/>
                      <w:highlight w:val="none"/>
                      <w:lang w:val="en-US" w:eastAsia="zh-CN"/>
                    </w:rPr>
                  </w:pPr>
                  <w:r>
                    <w:rPr>
                      <w:rFonts w:hint="eastAsia" w:eastAsiaTheme="minorEastAsia"/>
                      <w:color w:val="auto"/>
                      <w:kern w:val="0"/>
                      <w:sz w:val="22"/>
                      <w:szCs w:val="22"/>
                      <w:highlight w:val="none"/>
                      <w:lang w:val="en-US" w:eastAsia="zh-CN"/>
                    </w:rPr>
                    <w:t>103.33</w:t>
                  </w:r>
                </w:p>
              </w:tc>
            </w:tr>
            <w:tr w14:paraId="581BB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2" w:type="dxa"/>
                  <w:vAlign w:val="center"/>
                </w:tcPr>
                <w:p w14:paraId="4D73A0C3">
                  <w:pPr>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二</w:t>
                  </w:r>
                </w:p>
              </w:tc>
              <w:tc>
                <w:tcPr>
                  <w:tcW w:w="7592" w:type="dxa"/>
                  <w:gridSpan w:val="7"/>
                  <w:vAlign w:val="center"/>
                </w:tcPr>
                <w:p w14:paraId="04AC4432">
                  <w:pPr>
                    <w:snapToGrid w:val="0"/>
                    <w:jc w:val="center"/>
                    <w:rPr>
                      <w:rFonts w:eastAsiaTheme="minorEastAsia"/>
                      <w:color w:val="auto"/>
                      <w:kern w:val="0"/>
                      <w:sz w:val="22"/>
                      <w:szCs w:val="22"/>
                      <w:highlight w:val="none"/>
                    </w:rPr>
                  </w:pPr>
                  <w:r>
                    <w:rPr>
                      <w:rFonts w:hint="eastAsia" w:eastAsiaTheme="minorEastAsia"/>
                      <w:color w:val="auto"/>
                      <w:kern w:val="0"/>
                      <w:sz w:val="22"/>
                      <w:szCs w:val="22"/>
                      <w:highlight w:val="none"/>
                    </w:rPr>
                    <w:t>生活用水</w:t>
                  </w:r>
                </w:p>
              </w:tc>
            </w:tr>
            <w:tr w14:paraId="2E61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2" w:type="dxa"/>
                  <w:vAlign w:val="center"/>
                </w:tcPr>
                <w:p w14:paraId="3E2EF2C2">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生活用水</w:t>
                  </w:r>
                </w:p>
              </w:tc>
              <w:tc>
                <w:tcPr>
                  <w:tcW w:w="1068" w:type="dxa"/>
                  <w:vAlign w:val="center"/>
                </w:tcPr>
                <w:p w14:paraId="5F194ED7">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120</w:t>
                  </w:r>
                  <w:r>
                    <w:rPr>
                      <w:rFonts w:hint="eastAsia" w:eastAsiaTheme="minorEastAsia"/>
                      <w:color w:val="auto"/>
                      <w:kern w:val="0"/>
                      <w:sz w:val="22"/>
                      <w:szCs w:val="22"/>
                      <w:highlight w:val="none"/>
                    </w:rPr>
                    <w:t>人</w:t>
                  </w:r>
                </w:p>
              </w:tc>
              <w:tc>
                <w:tcPr>
                  <w:tcW w:w="1517" w:type="dxa"/>
                  <w:vAlign w:val="center"/>
                </w:tcPr>
                <w:p w14:paraId="466F778E">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50L/人·d</w:t>
                  </w:r>
                </w:p>
              </w:tc>
              <w:tc>
                <w:tcPr>
                  <w:tcW w:w="1359" w:type="dxa"/>
                  <w:vAlign w:val="center"/>
                </w:tcPr>
                <w:p w14:paraId="1F5EF97D">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6</w:t>
                  </w:r>
                </w:p>
              </w:tc>
              <w:tc>
                <w:tcPr>
                  <w:tcW w:w="984" w:type="dxa"/>
                  <w:vAlign w:val="center"/>
                </w:tcPr>
                <w:p w14:paraId="05D0CA38">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1800</w:t>
                  </w:r>
                </w:p>
              </w:tc>
              <w:tc>
                <w:tcPr>
                  <w:tcW w:w="477" w:type="dxa"/>
                  <w:vAlign w:val="center"/>
                </w:tcPr>
                <w:p w14:paraId="3ADF0658">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0.9</w:t>
                  </w:r>
                </w:p>
              </w:tc>
              <w:tc>
                <w:tcPr>
                  <w:tcW w:w="1182" w:type="dxa"/>
                  <w:vAlign w:val="center"/>
                </w:tcPr>
                <w:p w14:paraId="3DD907C2">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5.4</w:t>
                  </w:r>
                </w:p>
              </w:tc>
              <w:tc>
                <w:tcPr>
                  <w:tcW w:w="1005" w:type="dxa"/>
                  <w:vAlign w:val="center"/>
                </w:tcPr>
                <w:p w14:paraId="0E59FED2">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1620</w:t>
                  </w:r>
                </w:p>
              </w:tc>
            </w:tr>
            <w:tr w14:paraId="55D8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67" w:type="dxa"/>
                  <w:gridSpan w:val="3"/>
                  <w:vAlign w:val="center"/>
                </w:tcPr>
                <w:p w14:paraId="73FBF06E">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合计</w:t>
                  </w:r>
                </w:p>
              </w:tc>
              <w:tc>
                <w:tcPr>
                  <w:tcW w:w="1359" w:type="dxa"/>
                  <w:vAlign w:val="center"/>
                </w:tcPr>
                <w:p w14:paraId="54132E4E">
                  <w:pPr>
                    <w:snapToGrid w:val="0"/>
                    <w:jc w:val="center"/>
                    <w:rPr>
                      <w:rFonts w:hint="default" w:eastAsiaTheme="minorEastAsia"/>
                      <w:color w:val="auto"/>
                      <w:kern w:val="0"/>
                      <w:sz w:val="22"/>
                      <w:szCs w:val="22"/>
                      <w:highlight w:val="none"/>
                      <w:lang w:val="en-US" w:eastAsia="zh-CN"/>
                    </w:rPr>
                  </w:pPr>
                  <w:r>
                    <w:rPr>
                      <w:rFonts w:hint="eastAsia" w:eastAsiaTheme="minorEastAsia"/>
                      <w:color w:val="auto"/>
                      <w:kern w:val="0"/>
                      <w:sz w:val="22"/>
                      <w:szCs w:val="22"/>
                      <w:highlight w:val="none"/>
                      <w:lang w:val="en-US" w:eastAsia="zh-CN"/>
                    </w:rPr>
                    <w:t>24.35</w:t>
                  </w:r>
                  <w:r>
                    <w:rPr>
                      <w:rFonts w:hint="eastAsia" w:eastAsiaTheme="minorEastAsia"/>
                      <w:color w:val="auto"/>
                      <w:kern w:val="0"/>
                      <w:sz w:val="22"/>
                      <w:szCs w:val="22"/>
                      <w:highlight w:val="none"/>
                    </w:rPr>
                    <w:t>/</w:t>
                  </w:r>
                  <w:r>
                    <w:rPr>
                      <w:rFonts w:hint="eastAsia" w:eastAsiaTheme="minorEastAsia"/>
                      <w:color w:val="auto"/>
                      <w:kern w:val="0"/>
                      <w:sz w:val="22"/>
                      <w:szCs w:val="22"/>
                      <w:highlight w:val="none"/>
                      <w:lang w:val="en-US" w:eastAsia="zh-CN"/>
                    </w:rPr>
                    <w:t>38.15</w:t>
                  </w:r>
                </w:p>
              </w:tc>
              <w:tc>
                <w:tcPr>
                  <w:tcW w:w="984" w:type="dxa"/>
                  <w:vAlign w:val="center"/>
                </w:tcPr>
                <w:p w14:paraId="374CFE6C">
                  <w:pPr>
                    <w:snapToGrid w:val="0"/>
                    <w:jc w:val="center"/>
                    <w:rPr>
                      <w:rFonts w:hint="default" w:eastAsiaTheme="minorEastAsia"/>
                      <w:color w:val="auto"/>
                      <w:kern w:val="0"/>
                      <w:sz w:val="22"/>
                      <w:szCs w:val="22"/>
                      <w:highlight w:val="none"/>
                      <w:lang w:val="en-US" w:eastAsia="zh-CN"/>
                    </w:rPr>
                  </w:pPr>
                  <w:r>
                    <w:rPr>
                      <w:rFonts w:hint="eastAsia" w:eastAsiaTheme="minorEastAsia"/>
                      <w:color w:val="auto"/>
                      <w:kern w:val="0"/>
                      <w:sz w:val="22"/>
                      <w:szCs w:val="22"/>
                      <w:highlight w:val="none"/>
                      <w:lang w:val="en-US" w:eastAsia="zh-CN"/>
                    </w:rPr>
                    <w:t>7305.48</w:t>
                  </w:r>
                </w:p>
              </w:tc>
              <w:tc>
                <w:tcPr>
                  <w:tcW w:w="477" w:type="dxa"/>
                  <w:vAlign w:val="center"/>
                </w:tcPr>
                <w:p w14:paraId="66C8FEF0">
                  <w:pPr>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w:t>
                  </w:r>
                </w:p>
              </w:tc>
              <w:tc>
                <w:tcPr>
                  <w:tcW w:w="1182" w:type="dxa"/>
                  <w:vAlign w:val="center"/>
                </w:tcPr>
                <w:p w14:paraId="0CCBDC40">
                  <w:pPr>
                    <w:snapToGrid w:val="0"/>
                    <w:jc w:val="center"/>
                    <w:rPr>
                      <w:rFonts w:hint="default" w:eastAsiaTheme="minorEastAsia"/>
                      <w:color w:val="auto"/>
                      <w:kern w:val="0"/>
                      <w:sz w:val="22"/>
                      <w:szCs w:val="22"/>
                      <w:highlight w:val="none"/>
                      <w:lang w:val="en-US" w:eastAsia="zh-CN"/>
                    </w:rPr>
                  </w:pPr>
                  <w:r>
                    <w:rPr>
                      <w:rFonts w:hint="eastAsia" w:eastAsiaTheme="minorEastAsia"/>
                      <w:color w:val="auto"/>
                      <w:kern w:val="0"/>
                      <w:sz w:val="22"/>
                      <w:szCs w:val="22"/>
                      <w:highlight w:val="none"/>
                      <w:lang w:val="en-US" w:eastAsia="zh-CN"/>
                    </w:rPr>
                    <w:t>5.74/28.33</w:t>
                  </w:r>
                </w:p>
              </w:tc>
              <w:tc>
                <w:tcPr>
                  <w:tcW w:w="1005" w:type="dxa"/>
                  <w:vAlign w:val="center"/>
                </w:tcPr>
                <w:p w14:paraId="0A98685A">
                  <w:pPr>
                    <w:snapToGrid w:val="0"/>
                    <w:jc w:val="center"/>
                    <w:rPr>
                      <w:rFonts w:hint="default" w:eastAsiaTheme="minorEastAsia"/>
                      <w:color w:val="auto"/>
                      <w:kern w:val="0"/>
                      <w:sz w:val="22"/>
                      <w:szCs w:val="22"/>
                      <w:highlight w:val="none"/>
                      <w:lang w:val="en-US" w:eastAsia="zh-CN"/>
                    </w:rPr>
                  </w:pPr>
                  <w:r>
                    <w:rPr>
                      <w:rFonts w:hint="eastAsia" w:eastAsiaTheme="minorEastAsia"/>
                      <w:color w:val="auto"/>
                      <w:kern w:val="0"/>
                      <w:sz w:val="22"/>
                      <w:szCs w:val="22"/>
                      <w:highlight w:val="none"/>
                      <w:lang w:val="en-US" w:eastAsia="zh-CN"/>
                    </w:rPr>
                    <w:t>1723.33</w:t>
                  </w:r>
                </w:p>
              </w:tc>
            </w:tr>
          </w:tbl>
          <w:p w14:paraId="0EA441F3">
            <w:pPr>
              <w:snapToGrid w:val="0"/>
              <w:ind w:firstLine="520" w:firstLineChars="200"/>
              <w:rPr>
                <w:color w:val="auto"/>
                <w:kern w:val="0"/>
                <w:sz w:val="26"/>
                <w:szCs w:val="26"/>
                <w:highlight w:val="none"/>
              </w:rPr>
            </w:pPr>
          </w:p>
          <w:p w14:paraId="597B647C">
            <w:pPr>
              <w:snapToGrid w:val="0"/>
              <w:ind w:firstLine="520" w:firstLineChars="200"/>
              <w:rPr>
                <w:color w:val="auto"/>
                <w:kern w:val="0"/>
                <w:sz w:val="26"/>
                <w:szCs w:val="26"/>
                <w:highlight w:val="none"/>
              </w:rPr>
            </w:pPr>
            <w:r>
              <w:rPr>
                <w:rFonts w:hint="eastAsia"/>
                <w:color w:val="auto"/>
                <w:kern w:val="0"/>
                <w:sz w:val="26"/>
                <w:szCs w:val="26"/>
                <w:highlight w:val="none"/>
              </w:rPr>
              <w:t>本项目</w:t>
            </w:r>
            <w:r>
              <w:rPr>
                <w:color w:val="auto"/>
                <w:kern w:val="0"/>
                <w:sz w:val="26"/>
                <w:szCs w:val="26"/>
                <w:highlight w:val="none"/>
              </w:rPr>
              <w:t>水平衡</w:t>
            </w:r>
            <w:r>
              <w:rPr>
                <w:rFonts w:hint="eastAsia"/>
                <w:color w:val="auto"/>
                <w:kern w:val="0"/>
                <w:sz w:val="26"/>
                <w:szCs w:val="26"/>
                <w:highlight w:val="none"/>
              </w:rPr>
              <w:t>见图2.6-</w:t>
            </w:r>
            <w:r>
              <w:rPr>
                <w:color w:val="auto"/>
                <w:kern w:val="0"/>
                <w:sz w:val="26"/>
                <w:szCs w:val="26"/>
                <w:highlight w:val="none"/>
              </w:rPr>
              <w:t>1</w:t>
            </w:r>
            <w:r>
              <w:rPr>
                <w:rFonts w:hint="eastAsia"/>
                <w:color w:val="auto"/>
                <w:kern w:val="0"/>
                <w:sz w:val="26"/>
                <w:szCs w:val="26"/>
                <w:highlight w:val="none"/>
              </w:rPr>
              <w:t>。</w:t>
            </w:r>
          </w:p>
          <w:p w14:paraId="3731ED05">
            <w:pPr>
              <w:widowControl/>
              <w:jc w:val="left"/>
              <w:rPr>
                <w:color w:val="auto"/>
                <w:highlight w:val="none"/>
              </w:rPr>
            </w:pPr>
          </w:p>
          <w:p w14:paraId="27425625">
            <w:pPr>
              <w:snapToGrid w:val="0"/>
              <w:jc w:val="center"/>
              <w:rPr>
                <w:rFonts w:hint="eastAsia"/>
                <w:bCs/>
                <w:color w:val="auto"/>
                <w:kern w:val="0"/>
                <w:sz w:val="26"/>
                <w:szCs w:val="26"/>
                <w:highlight w:val="none"/>
              </w:rPr>
            </w:pPr>
            <w:r>
              <w:rPr>
                <w:rFonts w:hint="eastAsia"/>
                <w:bCs/>
                <w:color w:val="auto"/>
                <w:kern w:val="0"/>
                <w:sz w:val="26"/>
                <w:szCs w:val="26"/>
                <w:highlight w:val="none"/>
              </w:rPr>
              <w:drawing>
                <wp:inline distT="0" distB="0" distL="114300" distR="114300">
                  <wp:extent cx="5301615" cy="2139315"/>
                  <wp:effectExtent l="0" t="0" r="0" b="0"/>
                  <wp:docPr id="2" name="ECB019B1-382A-4266-B25C-5B523AA43C14-1" descr="C:/Users/Administrator/AppData/Local/Temp/wps.bTvEO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1" descr="C:/Users/Administrator/AppData/Local/Temp/wps.bTvEOuwps"/>
                          <pic:cNvPicPr>
                            <a:picLocks noChangeAspect="1"/>
                          </pic:cNvPicPr>
                        </pic:nvPicPr>
                        <pic:blipFill>
                          <a:blip r:embed="rId14"/>
                          <a:stretch>
                            <a:fillRect/>
                          </a:stretch>
                        </pic:blipFill>
                        <pic:spPr>
                          <a:xfrm>
                            <a:off x="0" y="0"/>
                            <a:ext cx="5301615" cy="2139315"/>
                          </a:xfrm>
                          <a:prstGeom prst="rect">
                            <a:avLst/>
                          </a:prstGeom>
                        </pic:spPr>
                      </pic:pic>
                    </a:graphicData>
                  </a:graphic>
                </wp:inline>
              </w:drawing>
            </w:r>
          </w:p>
          <w:p w14:paraId="6A41AA1D">
            <w:pPr>
              <w:snapToGrid w:val="0"/>
              <w:jc w:val="center"/>
              <w:rPr>
                <w:bCs/>
                <w:color w:val="auto"/>
                <w:kern w:val="0"/>
                <w:sz w:val="26"/>
                <w:szCs w:val="26"/>
                <w:highlight w:val="none"/>
              </w:rPr>
            </w:pPr>
            <w:r>
              <w:rPr>
                <w:rFonts w:hint="eastAsia"/>
                <w:bCs/>
                <w:color w:val="auto"/>
                <w:kern w:val="0"/>
                <w:sz w:val="26"/>
                <w:szCs w:val="26"/>
                <w:highlight w:val="none"/>
              </w:rPr>
              <w:t>图</w:t>
            </w:r>
            <w:r>
              <w:rPr>
                <w:bCs/>
                <w:color w:val="auto"/>
                <w:kern w:val="0"/>
                <w:sz w:val="26"/>
                <w:szCs w:val="26"/>
                <w:highlight w:val="none"/>
              </w:rPr>
              <w:t>2.</w:t>
            </w:r>
            <w:r>
              <w:rPr>
                <w:rFonts w:hint="eastAsia"/>
                <w:bCs/>
                <w:color w:val="auto"/>
                <w:kern w:val="0"/>
                <w:sz w:val="26"/>
                <w:szCs w:val="26"/>
                <w:highlight w:val="none"/>
              </w:rPr>
              <w:t>6</w:t>
            </w:r>
            <w:r>
              <w:rPr>
                <w:bCs/>
                <w:color w:val="auto"/>
                <w:kern w:val="0"/>
                <w:sz w:val="26"/>
                <w:szCs w:val="26"/>
                <w:highlight w:val="none"/>
              </w:rPr>
              <w:t>-</w:t>
            </w:r>
            <w:r>
              <w:rPr>
                <w:rFonts w:hint="eastAsia"/>
                <w:bCs/>
                <w:color w:val="auto"/>
                <w:kern w:val="0"/>
                <w:sz w:val="26"/>
                <w:szCs w:val="26"/>
                <w:highlight w:val="none"/>
              </w:rPr>
              <w:t>1  水</w:t>
            </w:r>
            <w:r>
              <w:rPr>
                <w:bCs/>
                <w:color w:val="auto"/>
                <w:kern w:val="0"/>
                <w:sz w:val="26"/>
                <w:szCs w:val="26"/>
                <w:highlight w:val="none"/>
              </w:rPr>
              <w:t>平衡</w:t>
            </w:r>
            <w:r>
              <w:rPr>
                <w:rFonts w:hint="eastAsia"/>
                <w:bCs/>
                <w:color w:val="auto"/>
                <w:kern w:val="0"/>
                <w:sz w:val="26"/>
                <w:szCs w:val="26"/>
                <w:highlight w:val="none"/>
              </w:rPr>
              <w:t>图</w:t>
            </w:r>
            <w:r>
              <w:rPr>
                <w:bCs/>
                <w:color w:val="auto"/>
                <w:kern w:val="0"/>
                <w:sz w:val="26"/>
                <w:szCs w:val="26"/>
                <w:highlight w:val="none"/>
              </w:rPr>
              <w:t>（</w:t>
            </w:r>
            <w:r>
              <w:rPr>
                <w:rFonts w:hint="eastAsia"/>
                <w:bCs/>
                <w:color w:val="auto"/>
                <w:kern w:val="0"/>
                <w:sz w:val="26"/>
                <w:szCs w:val="26"/>
                <w:highlight w:val="none"/>
              </w:rPr>
              <w:t>m</w:t>
            </w:r>
            <w:r>
              <w:rPr>
                <w:bCs/>
                <w:color w:val="auto"/>
                <w:kern w:val="0"/>
                <w:sz w:val="26"/>
                <w:szCs w:val="26"/>
                <w:highlight w:val="none"/>
                <w:vertAlign w:val="superscript"/>
              </w:rPr>
              <w:t>3</w:t>
            </w:r>
            <w:r>
              <w:rPr>
                <w:bCs/>
                <w:color w:val="auto"/>
                <w:kern w:val="0"/>
                <w:sz w:val="26"/>
                <w:szCs w:val="26"/>
                <w:highlight w:val="none"/>
              </w:rPr>
              <w:t>/d</w:t>
            </w:r>
            <w:r>
              <w:rPr>
                <w:rFonts w:hint="eastAsia"/>
                <w:bCs/>
                <w:color w:val="auto"/>
                <w:kern w:val="0"/>
                <w:sz w:val="26"/>
                <w:szCs w:val="26"/>
                <w:highlight w:val="none"/>
                <w:lang w:eastAsia="zh-CN"/>
              </w:rPr>
              <w:t>，日均</w:t>
            </w:r>
            <w:r>
              <w:rPr>
                <w:bCs/>
                <w:color w:val="auto"/>
                <w:kern w:val="0"/>
                <w:sz w:val="26"/>
                <w:szCs w:val="26"/>
                <w:highlight w:val="none"/>
              </w:rPr>
              <w:t>）</w:t>
            </w:r>
          </w:p>
          <w:p w14:paraId="3D220D5D">
            <w:pPr>
              <w:autoSpaceDE w:val="0"/>
              <w:autoSpaceDN w:val="0"/>
              <w:adjustRightInd w:val="0"/>
              <w:snapToGrid w:val="0"/>
              <w:jc w:val="center"/>
              <w:textAlignment w:val="baseline"/>
              <w:rPr>
                <w:color w:val="auto"/>
                <w:kern w:val="0"/>
                <w:sz w:val="26"/>
                <w:szCs w:val="26"/>
                <w:highlight w:val="none"/>
              </w:rPr>
            </w:pPr>
          </w:p>
          <w:p w14:paraId="3C515E44">
            <w:pPr>
              <w:autoSpaceDE w:val="0"/>
              <w:autoSpaceDN w:val="0"/>
              <w:adjustRightInd w:val="0"/>
              <w:spacing w:line="480" w:lineRule="exact"/>
              <w:ind w:firstLine="522" w:firstLineChars="200"/>
              <w:textAlignment w:val="baseline"/>
              <w:rPr>
                <w:rFonts w:eastAsiaTheme="minorEastAsia"/>
                <w:b/>
                <w:color w:val="auto"/>
                <w:kern w:val="0"/>
                <w:sz w:val="26"/>
                <w:szCs w:val="26"/>
                <w:highlight w:val="none"/>
              </w:rPr>
            </w:pPr>
            <w:r>
              <w:rPr>
                <w:rFonts w:eastAsiaTheme="minorEastAsia"/>
                <w:b/>
                <w:color w:val="auto"/>
                <w:kern w:val="0"/>
                <w:sz w:val="26"/>
                <w:szCs w:val="26"/>
                <w:highlight w:val="none"/>
              </w:rPr>
              <w:t>2.7劳动定员及工作制度</w:t>
            </w:r>
          </w:p>
          <w:p w14:paraId="5392DD6C">
            <w:pPr>
              <w:autoSpaceDE w:val="0"/>
              <w:autoSpaceDN w:val="0"/>
              <w:adjustRightInd w:val="0"/>
              <w:spacing w:line="480" w:lineRule="exact"/>
              <w:ind w:firstLine="520" w:firstLineChars="200"/>
              <w:textAlignment w:val="baseline"/>
              <w:rPr>
                <w:rFonts w:eastAsiaTheme="minorEastAsia"/>
                <w:bCs/>
                <w:color w:val="auto"/>
                <w:kern w:val="0"/>
                <w:sz w:val="26"/>
                <w:szCs w:val="26"/>
                <w:highlight w:val="none"/>
              </w:rPr>
            </w:pPr>
            <w:r>
              <w:rPr>
                <w:rFonts w:eastAsiaTheme="minorEastAsia"/>
                <w:bCs/>
                <w:color w:val="auto"/>
                <w:kern w:val="0"/>
                <w:sz w:val="26"/>
                <w:szCs w:val="26"/>
                <w:highlight w:val="none"/>
              </w:rPr>
              <w:t>项目员工人数120人，实行两班制，8h/班，</w:t>
            </w:r>
            <w:r>
              <w:rPr>
                <w:rFonts w:hint="eastAsia" w:eastAsiaTheme="minorEastAsia"/>
                <w:bCs/>
                <w:color w:val="auto"/>
                <w:kern w:val="0"/>
                <w:sz w:val="26"/>
                <w:szCs w:val="26"/>
                <w:highlight w:val="none"/>
              </w:rPr>
              <w:t>全</w:t>
            </w:r>
            <w:r>
              <w:rPr>
                <w:rFonts w:eastAsiaTheme="minorEastAsia"/>
                <w:bCs/>
                <w:color w:val="auto"/>
                <w:kern w:val="0"/>
                <w:sz w:val="26"/>
                <w:szCs w:val="26"/>
                <w:highlight w:val="none"/>
              </w:rPr>
              <w:t>年工作300d。</w:t>
            </w:r>
          </w:p>
          <w:p w14:paraId="162CD947">
            <w:pPr>
              <w:autoSpaceDE w:val="0"/>
              <w:autoSpaceDN w:val="0"/>
              <w:adjustRightInd w:val="0"/>
              <w:spacing w:line="480" w:lineRule="exact"/>
              <w:ind w:firstLine="522" w:firstLineChars="200"/>
              <w:textAlignment w:val="baseline"/>
              <w:rPr>
                <w:rFonts w:eastAsiaTheme="minorEastAsia"/>
                <w:b/>
                <w:color w:val="auto"/>
                <w:kern w:val="0"/>
                <w:sz w:val="26"/>
                <w:szCs w:val="26"/>
                <w:highlight w:val="none"/>
              </w:rPr>
            </w:pPr>
            <w:r>
              <w:rPr>
                <w:rFonts w:eastAsiaTheme="minorEastAsia"/>
                <w:b/>
                <w:color w:val="auto"/>
                <w:kern w:val="0"/>
                <w:sz w:val="26"/>
                <w:szCs w:val="26"/>
                <w:highlight w:val="none"/>
              </w:rPr>
              <w:t>2.</w:t>
            </w:r>
            <w:r>
              <w:rPr>
                <w:rFonts w:hint="eastAsia" w:eastAsiaTheme="minorEastAsia"/>
                <w:b/>
                <w:color w:val="auto"/>
                <w:kern w:val="0"/>
                <w:sz w:val="26"/>
                <w:szCs w:val="26"/>
                <w:highlight w:val="none"/>
              </w:rPr>
              <w:t>8</w:t>
            </w:r>
            <w:r>
              <w:rPr>
                <w:rFonts w:eastAsiaTheme="minorEastAsia"/>
                <w:b/>
                <w:color w:val="auto"/>
                <w:kern w:val="0"/>
                <w:sz w:val="26"/>
                <w:szCs w:val="26"/>
                <w:highlight w:val="none"/>
              </w:rPr>
              <w:t xml:space="preserve"> 总平面布置 </w:t>
            </w:r>
          </w:p>
          <w:p w14:paraId="690553EC">
            <w:pPr>
              <w:pStyle w:val="67"/>
              <w:spacing w:line="480" w:lineRule="exact"/>
              <w:ind w:firstLine="520"/>
              <w:jc w:val="both"/>
              <w:rPr>
                <w:rFonts w:eastAsiaTheme="minorEastAsia"/>
                <w:color w:val="auto"/>
                <w:sz w:val="26"/>
                <w:szCs w:val="26"/>
                <w:highlight w:val="none"/>
              </w:rPr>
            </w:pPr>
            <w:r>
              <w:rPr>
                <w:rFonts w:eastAsiaTheme="minorEastAsia"/>
                <w:color w:val="auto"/>
                <w:sz w:val="26"/>
                <w:szCs w:val="26"/>
                <w:highlight w:val="none"/>
              </w:rPr>
              <w:t>本项目生产厂房内西部由南向北布置原料区、剪板区、2D激光切割区、悬点焊接区、油料库、辅料间、小型冲压区；厂房中部由南向北布置模具检修区、产品检修区、中型冲压区、中型液压区、迪斯油压生产线以及模具存放区；厂房东部由南向北布置</w:t>
            </w:r>
            <w:bookmarkStart w:id="50" w:name="hmcheck_9529d4ef7dbc46f784bcf0f998b37309"/>
            <w:r>
              <w:rPr>
                <w:rFonts w:eastAsiaTheme="minorEastAsia"/>
                <w:color w:val="auto"/>
                <w:sz w:val="26"/>
                <w:szCs w:val="26"/>
                <w:highlight w:val="none"/>
                <w:shd w:val="clear" w:fill="FFAFAA"/>
              </w:rPr>
              <w:t>滚边</w:t>
            </w:r>
            <w:bookmarkEnd w:id="50"/>
            <w:r>
              <w:rPr>
                <w:rFonts w:eastAsiaTheme="minorEastAsia"/>
                <w:color w:val="auto"/>
                <w:sz w:val="26"/>
                <w:szCs w:val="26"/>
                <w:highlight w:val="none"/>
              </w:rPr>
              <w:t>/打胶区、X30P尾门内板焊接区、ME11发盖/前门焊接区、ME11外摆门焊接区、ME11侧围框架焊接区、3D激光切割区以及成品区</w:t>
            </w:r>
            <w:r>
              <w:rPr>
                <w:rFonts w:hint="eastAsia" w:eastAsiaTheme="minorEastAsia"/>
                <w:color w:val="auto"/>
                <w:sz w:val="26"/>
                <w:szCs w:val="26"/>
                <w:highlight w:val="none"/>
              </w:rPr>
              <w:t>，</w:t>
            </w:r>
            <w:r>
              <w:rPr>
                <w:rFonts w:eastAsiaTheme="minorEastAsia"/>
                <w:color w:val="auto"/>
                <w:sz w:val="26"/>
                <w:szCs w:val="26"/>
                <w:highlight w:val="none"/>
              </w:rPr>
              <w:t>各区域配套设置通道、半成品暂存区及成品暂存区。厂房外北侧由西向东依次布置废金属压块打包区、一般固废暂存间、危废贮存点</w:t>
            </w:r>
            <w:r>
              <w:rPr>
                <w:rFonts w:hint="eastAsia" w:eastAsiaTheme="minorEastAsia"/>
                <w:color w:val="auto"/>
                <w:sz w:val="26"/>
                <w:szCs w:val="26"/>
                <w:highlight w:val="none"/>
              </w:rPr>
              <w:t>以及</w:t>
            </w:r>
            <w:r>
              <w:rPr>
                <w:rFonts w:eastAsiaTheme="minorEastAsia"/>
                <w:color w:val="auto"/>
                <w:sz w:val="26"/>
                <w:szCs w:val="26"/>
                <w:highlight w:val="none"/>
              </w:rPr>
              <w:t>气库。</w:t>
            </w:r>
            <w:r>
              <w:rPr>
                <w:rFonts w:hint="eastAsia" w:eastAsiaTheme="minorEastAsia"/>
                <w:color w:val="auto"/>
                <w:sz w:val="26"/>
                <w:szCs w:val="26"/>
                <w:highlight w:val="none"/>
                <w:lang w:eastAsia="zh-CN"/>
              </w:rPr>
              <w:t>办公楼</w:t>
            </w:r>
            <w:r>
              <w:rPr>
                <w:rFonts w:hint="eastAsia" w:eastAsiaTheme="minorEastAsia"/>
                <w:color w:val="auto"/>
                <w:sz w:val="26"/>
                <w:szCs w:val="26"/>
                <w:highlight w:val="none"/>
              </w:rPr>
              <w:t>紧邻生产厂房南侧</w:t>
            </w:r>
            <w:r>
              <w:rPr>
                <w:rFonts w:eastAsiaTheme="minorEastAsia"/>
                <w:color w:val="auto"/>
                <w:sz w:val="26"/>
                <w:szCs w:val="26"/>
                <w:highlight w:val="none"/>
              </w:rPr>
              <w:t>。</w:t>
            </w:r>
          </w:p>
          <w:p w14:paraId="0E97A402">
            <w:pPr>
              <w:spacing w:line="480" w:lineRule="exact"/>
              <w:ind w:firstLine="520" w:firstLineChars="200"/>
              <w:rPr>
                <w:color w:val="auto"/>
                <w:kern w:val="0"/>
                <w:sz w:val="26"/>
                <w:szCs w:val="26"/>
                <w:highlight w:val="none"/>
              </w:rPr>
            </w:pPr>
            <w:r>
              <w:rPr>
                <w:rFonts w:eastAsiaTheme="minorEastAsia"/>
                <w:color w:val="auto"/>
                <w:sz w:val="26"/>
                <w:szCs w:val="26"/>
                <w:highlight w:val="none"/>
              </w:rPr>
              <w:t>物流运输依靠厂房外东侧环道，与厂房东侧成品区</w:t>
            </w:r>
            <w:r>
              <w:rPr>
                <w:rFonts w:hint="eastAsia" w:eastAsiaTheme="minorEastAsia"/>
                <w:color w:val="auto"/>
                <w:sz w:val="26"/>
                <w:szCs w:val="26"/>
                <w:highlight w:val="none"/>
              </w:rPr>
              <w:t>以及厂区东南大门</w:t>
            </w:r>
            <w:r>
              <w:rPr>
                <w:rFonts w:eastAsiaTheme="minorEastAsia"/>
                <w:color w:val="auto"/>
                <w:sz w:val="26"/>
                <w:szCs w:val="26"/>
                <w:highlight w:val="none"/>
              </w:rPr>
              <w:t>相邻，可以满足高峰期物流运输要求。项目总体平面布局工艺流畅，分区明确，生产流线不交叉迂回。</w:t>
            </w:r>
          </w:p>
        </w:tc>
      </w:tr>
      <w:tr w14:paraId="613007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89" w:hRule="atLeast"/>
          <w:jc w:val="center"/>
        </w:trPr>
        <w:tc>
          <w:tcPr>
            <w:tcW w:w="476" w:type="dxa"/>
            <w:vAlign w:val="center"/>
          </w:tcPr>
          <w:p w14:paraId="741218D5">
            <w:pPr>
              <w:pStyle w:val="15"/>
              <w:adjustRightInd w:val="0"/>
              <w:snapToGrid w:val="0"/>
              <w:spacing w:before="0" w:beforeAutospacing="0" w:after="0" w:afterAutospacing="0"/>
              <w:jc w:val="center"/>
              <w:rPr>
                <w:rFonts w:cs="宋体"/>
                <w:color w:val="auto"/>
                <w:sz w:val="26"/>
                <w:szCs w:val="26"/>
                <w:highlight w:val="none"/>
              </w:rPr>
            </w:pPr>
            <w:r>
              <w:rPr>
                <w:rFonts w:hint="eastAsia" w:cs="宋体"/>
                <w:color w:val="auto"/>
                <w:sz w:val="26"/>
                <w:szCs w:val="26"/>
                <w:highlight w:val="none"/>
              </w:rPr>
              <w:t>工艺流程和产排污环节</w:t>
            </w:r>
          </w:p>
        </w:tc>
        <w:tc>
          <w:tcPr>
            <w:tcW w:w="8584" w:type="dxa"/>
            <w:gridSpan w:val="2"/>
          </w:tcPr>
          <w:p w14:paraId="24A0DB72">
            <w:pPr>
              <w:spacing w:line="480" w:lineRule="exact"/>
              <w:ind w:firstLine="522" w:firstLineChars="200"/>
              <w:rPr>
                <w:b/>
                <w:color w:val="auto"/>
                <w:sz w:val="26"/>
                <w:szCs w:val="26"/>
                <w:highlight w:val="none"/>
              </w:rPr>
            </w:pPr>
            <w:r>
              <w:rPr>
                <w:b/>
                <w:color w:val="auto"/>
                <w:sz w:val="26"/>
                <w:szCs w:val="26"/>
                <w:highlight w:val="none"/>
              </w:rPr>
              <w:t>2.</w:t>
            </w:r>
            <w:r>
              <w:rPr>
                <w:rFonts w:hint="eastAsia"/>
                <w:b/>
                <w:color w:val="auto"/>
                <w:sz w:val="26"/>
                <w:szCs w:val="26"/>
                <w:highlight w:val="none"/>
              </w:rPr>
              <w:t>9</w:t>
            </w:r>
            <w:r>
              <w:rPr>
                <w:b/>
                <w:color w:val="auto"/>
                <w:sz w:val="26"/>
                <w:szCs w:val="26"/>
                <w:highlight w:val="none"/>
              </w:rPr>
              <w:t xml:space="preserve"> 施工期工艺流程和产排污环节</w:t>
            </w:r>
          </w:p>
          <w:p w14:paraId="14723931">
            <w:pPr>
              <w:spacing w:line="460" w:lineRule="exact"/>
              <w:ind w:firstLine="520" w:firstLineChars="200"/>
              <w:rPr>
                <w:bCs/>
                <w:color w:val="auto"/>
                <w:sz w:val="26"/>
                <w:szCs w:val="26"/>
                <w:highlight w:val="none"/>
              </w:rPr>
            </w:pPr>
            <w:r>
              <w:rPr>
                <w:color w:val="auto"/>
                <w:sz w:val="26"/>
                <w:szCs w:val="26"/>
                <w:highlight w:val="none"/>
              </w:rPr>
              <w:t>本次</w:t>
            </w:r>
            <w:r>
              <w:rPr>
                <w:rFonts w:hint="eastAsia"/>
                <w:color w:val="auto"/>
                <w:sz w:val="26"/>
                <w:szCs w:val="26"/>
                <w:highlight w:val="none"/>
              </w:rPr>
              <w:t>租用友拓合川厂区工程建设项目</w:t>
            </w:r>
            <w:r>
              <w:rPr>
                <w:rFonts w:hint="eastAsia"/>
                <w:color w:val="auto"/>
                <w:sz w:val="26"/>
                <w:szCs w:val="26"/>
                <w:highlight w:val="none"/>
                <w:lang w:eastAsia="zh-CN"/>
              </w:rPr>
              <w:t>厂房及设备</w:t>
            </w:r>
            <w:r>
              <w:rPr>
                <w:rFonts w:hint="eastAsia"/>
                <w:color w:val="auto"/>
                <w:sz w:val="26"/>
                <w:szCs w:val="26"/>
                <w:highlight w:val="none"/>
              </w:rPr>
              <w:t>进行设备改造、新增设备，不涉及基础开挖及土建工程</w:t>
            </w:r>
            <w:r>
              <w:rPr>
                <w:bCs/>
                <w:color w:val="auto"/>
                <w:sz w:val="26"/>
                <w:szCs w:val="26"/>
                <w:highlight w:val="none"/>
              </w:rPr>
              <w:t>。施工人员不在场地内食宿</w:t>
            </w:r>
            <w:r>
              <w:rPr>
                <w:rFonts w:hint="eastAsia"/>
                <w:bCs/>
                <w:color w:val="auto"/>
                <w:sz w:val="26"/>
                <w:szCs w:val="26"/>
                <w:highlight w:val="none"/>
              </w:rPr>
              <w:t>，</w:t>
            </w:r>
            <w:r>
              <w:rPr>
                <w:bCs/>
                <w:color w:val="auto"/>
                <w:sz w:val="26"/>
                <w:szCs w:val="26"/>
                <w:highlight w:val="none"/>
              </w:rPr>
              <w:t>施工期环境影响主要是设备</w:t>
            </w:r>
            <w:r>
              <w:rPr>
                <w:rFonts w:hint="eastAsia"/>
                <w:bCs/>
                <w:color w:val="auto"/>
                <w:sz w:val="26"/>
                <w:szCs w:val="26"/>
                <w:highlight w:val="none"/>
              </w:rPr>
              <w:t>拆除、改造及</w:t>
            </w:r>
            <w:r>
              <w:rPr>
                <w:bCs/>
                <w:color w:val="auto"/>
                <w:sz w:val="26"/>
                <w:szCs w:val="26"/>
                <w:highlight w:val="none"/>
              </w:rPr>
              <w:t>安装过程中产生的噪声</w:t>
            </w:r>
            <w:r>
              <w:rPr>
                <w:rFonts w:hint="eastAsia"/>
                <w:bCs/>
                <w:color w:val="auto"/>
                <w:sz w:val="26"/>
                <w:szCs w:val="26"/>
                <w:highlight w:val="none"/>
              </w:rPr>
              <w:t>、固废及少量扬尘，以及施工人员产生少量生活垃圾和生活污水</w:t>
            </w:r>
            <w:r>
              <w:rPr>
                <w:bCs/>
                <w:color w:val="auto"/>
                <w:sz w:val="26"/>
                <w:szCs w:val="26"/>
                <w:highlight w:val="none"/>
              </w:rPr>
              <w:t>等。</w:t>
            </w:r>
            <w:r>
              <w:rPr>
                <w:rFonts w:hint="eastAsia"/>
                <w:bCs/>
                <w:color w:val="auto"/>
                <w:sz w:val="26"/>
                <w:szCs w:val="26"/>
                <w:highlight w:val="none"/>
              </w:rPr>
              <w:t>设备拆除由重庆国周新能源汽车科技有限公司负责。</w:t>
            </w:r>
          </w:p>
          <w:p w14:paraId="46736838">
            <w:pPr>
              <w:spacing w:line="460" w:lineRule="exact"/>
              <w:ind w:firstLine="520" w:firstLineChars="200"/>
              <w:rPr>
                <w:bCs/>
                <w:color w:val="auto"/>
                <w:sz w:val="26"/>
                <w:szCs w:val="26"/>
                <w:highlight w:val="none"/>
              </w:rPr>
            </w:pPr>
            <w:r>
              <w:rPr>
                <w:bCs/>
                <w:color w:val="auto"/>
                <w:sz w:val="26"/>
                <w:szCs w:val="26"/>
                <w:highlight w:val="none"/>
              </w:rPr>
              <w:t>施工期对环境的潜在影响是暂时的，将随着施工期的结束而结束。</w:t>
            </w:r>
          </w:p>
          <w:p w14:paraId="7AB75486">
            <w:pPr>
              <w:ind w:firstLine="520" w:firstLineChars="200"/>
              <w:rPr>
                <w:bCs/>
                <w:color w:val="auto"/>
                <w:sz w:val="26"/>
                <w:szCs w:val="26"/>
                <w:highlight w:val="none"/>
              </w:rPr>
            </w:pPr>
          </w:p>
          <w:p w14:paraId="37FC185A">
            <w:pPr>
              <w:keepNext/>
              <w:adjustRightInd w:val="0"/>
              <w:snapToGrid w:val="0"/>
              <w:jc w:val="center"/>
              <w:rPr>
                <w:color w:val="auto"/>
                <w:highlight w:val="none"/>
              </w:rPr>
            </w:pPr>
            <w:r>
              <w:rPr>
                <w:color w:val="auto"/>
                <w:sz w:val="26"/>
                <w:highlight w:val="none"/>
              </w:rPr>
              <mc:AlternateContent>
                <mc:Choice Requires="wps">
                  <w:drawing>
                    <wp:anchor distT="0" distB="0" distL="114300" distR="114300" simplePos="0" relativeHeight="251661312" behindDoc="0" locked="0" layoutInCell="1" allowOverlap="1">
                      <wp:simplePos x="0" y="0"/>
                      <wp:positionH relativeFrom="column">
                        <wp:posOffset>560705</wp:posOffset>
                      </wp:positionH>
                      <wp:positionV relativeFrom="paragraph">
                        <wp:posOffset>426720</wp:posOffset>
                      </wp:positionV>
                      <wp:extent cx="653415" cy="267970"/>
                      <wp:effectExtent l="0" t="0" r="13335" b="17780"/>
                      <wp:wrapNone/>
                      <wp:docPr id="11" name="文本框 11"/>
                      <wp:cNvGraphicFramePr/>
                      <a:graphic xmlns:a="http://schemas.openxmlformats.org/drawingml/2006/main">
                        <a:graphicData uri="http://schemas.microsoft.com/office/word/2010/wordprocessingShape">
                          <wps:wsp>
                            <wps:cNvSpPr txBox="1"/>
                            <wps:spPr>
                              <a:xfrm>
                                <a:off x="1868805" y="3521710"/>
                                <a:ext cx="653415" cy="2679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4C5F819">
                                  <w:r>
                                    <w:rPr>
                                      <w:rFonts w:hint="eastAsia"/>
                                      <w:b/>
                                      <w:bCs/>
                                      <w:sz w:val="18"/>
                                      <w:szCs w:val="21"/>
                                    </w:rPr>
                                    <w:t>拆除改造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15pt;margin-top:33.6pt;height:21.1pt;width:51.45pt;z-index:251661312;mso-width-relative:page;mso-height-relative:page;" fillcolor="#CCE8CF [3201]" filled="t" stroked="f" coordsize="21600,21600" o:gfxdata="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G&#10;6VwP1wAAAAkBAAAPAAAAAAAAAAEAIAAAACIAAABkcnMvZG93bnJldi54bWxQSwECFAAUAAAACACH&#10;TuJA0MPVFF4CAACcBAAADgAAAAAAAAABACAAAAAmAQAAZHJzL2Uyb0RvYy54bWxQSwUGAAAAAAYA&#10;BgBZAQAA9gUAAAAA&#10;">
                      <v:fill on="t" focussize="0,0"/>
                      <v:stroke on="f" weight="0.5pt"/>
                      <v:imagedata o:title=""/>
                      <o:lock v:ext="edit" aspectratio="f"/>
                      <v:textbox>
                        <w:txbxContent>
                          <w:p w14:paraId="54C5F819">
                            <w:r>
                              <w:rPr>
                                <w:rFonts w:hint="eastAsia"/>
                                <w:b/>
                                <w:bCs/>
                                <w:sz w:val="18"/>
                                <w:szCs w:val="21"/>
                              </w:rPr>
                              <w:t>拆除改造</w:t>
                            </w:r>
                          </w:p>
                        </w:txbxContent>
                      </v:textbox>
                    </v:shape>
                  </w:pict>
                </mc:Fallback>
              </mc:AlternateContent>
            </w:r>
            <w:r>
              <w:rPr>
                <w:color w:val="auto"/>
                <w:sz w:val="26"/>
                <w:szCs w:val="26"/>
                <w:highlight w:val="none"/>
              </w:rPr>
              <w:drawing>
                <wp:inline distT="0" distB="0" distL="114300" distR="114300">
                  <wp:extent cx="4577080" cy="1085215"/>
                  <wp:effectExtent l="0" t="0" r="13970" b="6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5"/>
                          <a:srcRect b="13904"/>
                          <a:stretch>
                            <a:fillRect/>
                          </a:stretch>
                        </pic:blipFill>
                        <pic:spPr>
                          <a:xfrm>
                            <a:off x="0" y="0"/>
                            <a:ext cx="4577080" cy="1085215"/>
                          </a:xfrm>
                          <a:prstGeom prst="rect">
                            <a:avLst/>
                          </a:prstGeom>
                          <a:noFill/>
                          <a:ln>
                            <a:noFill/>
                          </a:ln>
                        </pic:spPr>
                      </pic:pic>
                    </a:graphicData>
                  </a:graphic>
                </wp:inline>
              </w:drawing>
            </w:r>
          </w:p>
          <w:p w14:paraId="4E2C1B93">
            <w:pPr>
              <w:pStyle w:val="5"/>
              <w:jc w:val="center"/>
              <w:rPr>
                <w:rFonts w:ascii="Times New Roman" w:hAnsi="Times New Roman" w:eastAsia="宋体"/>
                <w:color w:val="auto"/>
                <w:sz w:val="28"/>
                <w:szCs w:val="24"/>
                <w:highlight w:val="none"/>
              </w:rPr>
            </w:pPr>
            <w:r>
              <w:rPr>
                <w:rFonts w:ascii="Times New Roman" w:hAnsi="Times New Roman" w:eastAsia="宋体"/>
                <w:color w:val="auto"/>
                <w:sz w:val="28"/>
                <w:szCs w:val="24"/>
                <w:highlight w:val="none"/>
              </w:rPr>
              <w:t>图2.</w:t>
            </w:r>
            <w:r>
              <w:rPr>
                <w:rFonts w:hint="eastAsia" w:ascii="Times New Roman" w:hAnsi="Times New Roman" w:eastAsia="宋体"/>
                <w:color w:val="auto"/>
                <w:sz w:val="28"/>
                <w:szCs w:val="24"/>
                <w:highlight w:val="none"/>
              </w:rPr>
              <w:t>9</w:t>
            </w:r>
            <w:r>
              <w:rPr>
                <w:rFonts w:ascii="Times New Roman" w:hAnsi="Times New Roman" w:eastAsia="宋体"/>
                <w:color w:val="auto"/>
                <w:sz w:val="28"/>
                <w:szCs w:val="24"/>
                <w:highlight w:val="none"/>
              </w:rPr>
              <w:t>-1  项目施工期工艺流程及产污环节图</w:t>
            </w:r>
          </w:p>
          <w:p w14:paraId="222D8F46">
            <w:pPr>
              <w:keepNext/>
              <w:keepLines/>
              <w:autoSpaceDE w:val="0"/>
              <w:autoSpaceDN w:val="0"/>
              <w:adjustRightInd w:val="0"/>
              <w:ind w:firstLine="522" w:firstLineChars="200"/>
              <w:jc w:val="left"/>
              <w:textAlignment w:val="baseline"/>
              <w:outlineLvl w:val="0"/>
              <w:rPr>
                <w:rFonts w:hAnsi="宋体"/>
                <w:b/>
                <w:color w:val="auto"/>
                <w:kern w:val="0"/>
                <w:sz w:val="26"/>
                <w:szCs w:val="26"/>
                <w:highlight w:val="none"/>
              </w:rPr>
            </w:pPr>
          </w:p>
          <w:p w14:paraId="2D1882CE">
            <w:pPr>
              <w:keepNext/>
              <w:keepLines/>
              <w:autoSpaceDE w:val="0"/>
              <w:autoSpaceDN w:val="0"/>
              <w:adjustRightInd w:val="0"/>
              <w:spacing w:line="480" w:lineRule="exact"/>
              <w:ind w:firstLine="522" w:firstLineChars="200"/>
              <w:jc w:val="left"/>
              <w:textAlignment w:val="baseline"/>
              <w:outlineLvl w:val="0"/>
              <w:rPr>
                <w:rFonts w:hAnsi="宋体"/>
                <w:b/>
                <w:color w:val="auto"/>
                <w:kern w:val="0"/>
                <w:sz w:val="26"/>
                <w:szCs w:val="26"/>
                <w:highlight w:val="none"/>
              </w:rPr>
            </w:pPr>
            <w:r>
              <w:rPr>
                <w:rFonts w:hAnsi="宋体"/>
                <w:b/>
                <w:color w:val="auto"/>
                <w:kern w:val="0"/>
                <w:sz w:val="26"/>
                <w:szCs w:val="26"/>
                <w:highlight w:val="none"/>
              </w:rPr>
              <w:t>2.1</w:t>
            </w:r>
            <w:r>
              <w:rPr>
                <w:rFonts w:hint="eastAsia" w:hAnsi="宋体"/>
                <w:b/>
                <w:color w:val="auto"/>
                <w:kern w:val="0"/>
                <w:sz w:val="26"/>
                <w:szCs w:val="26"/>
                <w:highlight w:val="none"/>
              </w:rPr>
              <w:t>0 工艺</w:t>
            </w:r>
            <w:r>
              <w:rPr>
                <w:rFonts w:hAnsi="宋体"/>
                <w:b/>
                <w:color w:val="auto"/>
                <w:kern w:val="0"/>
                <w:sz w:val="26"/>
                <w:szCs w:val="26"/>
                <w:highlight w:val="none"/>
              </w:rPr>
              <w:t>流程和</w:t>
            </w:r>
            <w:r>
              <w:rPr>
                <w:rFonts w:hint="eastAsia" w:hAnsi="宋体"/>
                <w:b/>
                <w:color w:val="auto"/>
                <w:kern w:val="0"/>
                <w:sz w:val="26"/>
                <w:szCs w:val="26"/>
                <w:highlight w:val="none"/>
              </w:rPr>
              <w:t>产</w:t>
            </w:r>
            <w:r>
              <w:rPr>
                <w:rFonts w:hAnsi="宋体"/>
                <w:b/>
                <w:color w:val="auto"/>
                <w:kern w:val="0"/>
                <w:sz w:val="26"/>
                <w:szCs w:val="26"/>
                <w:highlight w:val="none"/>
              </w:rPr>
              <w:t>排污环节</w:t>
            </w:r>
          </w:p>
          <w:p w14:paraId="13724A0C">
            <w:pPr>
              <w:spacing w:line="480" w:lineRule="exact"/>
              <w:ind w:firstLine="520" w:firstLineChars="200"/>
              <w:rPr>
                <w:color w:val="auto"/>
                <w:sz w:val="26"/>
                <w:szCs w:val="26"/>
                <w:highlight w:val="none"/>
              </w:rPr>
            </w:pPr>
            <w:r>
              <w:rPr>
                <w:rFonts w:hint="eastAsia"/>
                <w:color w:val="auto"/>
                <w:sz w:val="26"/>
                <w:szCs w:val="26"/>
                <w:highlight w:val="none"/>
              </w:rPr>
              <w:t>本项目产品总体可分为冲压件、焊接件。</w:t>
            </w:r>
          </w:p>
          <w:p w14:paraId="1B81E909">
            <w:pPr>
              <w:spacing w:line="480" w:lineRule="exact"/>
              <w:ind w:firstLine="522" w:firstLineChars="200"/>
              <w:rPr>
                <w:b/>
                <w:bCs/>
                <w:color w:val="auto"/>
                <w:sz w:val="26"/>
                <w:szCs w:val="26"/>
                <w:highlight w:val="none"/>
              </w:rPr>
            </w:pPr>
            <w:r>
              <w:rPr>
                <w:rFonts w:hint="eastAsia"/>
                <w:b/>
                <w:bCs/>
                <w:color w:val="auto"/>
                <w:sz w:val="26"/>
                <w:szCs w:val="26"/>
                <w:highlight w:val="none"/>
              </w:rPr>
              <w:t>（1）冲压件生产工艺流程及</w:t>
            </w:r>
            <w:bookmarkStart w:id="51" w:name="hmcheck_87d68e4deb10470e833955bc82be4568"/>
            <w:r>
              <w:rPr>
                <w:rFonts w:hint="eastAsia"/>
                <w:b/>
                <w:bCs/>
                <w:color w:val="auto"/>
                <w:sz w:val="26"/>
                <w:szCs w:val="26"/>
                <w:highlight w:val="none"/>
                <w:shd w:val="clear" w:fill="FFAFAA"/>
              </w:rPr>
              <w:t>产</w:t>
            </w:r>
            <w:bookmarkEnd w:id="51"/>
            <w:r>
              <w:rPr>
                <w:rFonts w:hint="eastAsia"/>
                <w:b/>
                <w:bCs/>
                <w:color w:val="auto"/>
                <w:sz w:val="26"/>
                <w:szCs w:val="26"/>
                <w:highlight w:val="none"/>
              </w:rPr>
              <w:t>排污分析</w:t>
            </w:r>
          </w:p>
          <w:p w14:paraId="72296C7D">
            <w:pPr>
              <w:widowControl/>
              <w:jc w:val="center"/>
              <w:rPr>
                <w:color w:val="auto"/>
                <w:highlight w:val="none"/>
              </w:rPr>
            </w:pPr>
          </w:p>
          <w:p w14:paraId="07A58444">
            <w:pPr>
              <w:widowControl/>
              <w:jc w:val="left"/>
              <w:rPr>
                <w:color w:val="auto"/>
                <w:highlight w:val="none"/>
              </w:rPr>
            </w:pPr>
            <w:r>
              <w:rPr>
                <w:rFonts w:hint="eastAsia"/>
                <w:color w:val="auto"/>
                <w:highlight w:val="none"/>
              </w:rPr>
              <w:drawing>
                <wp:inline distT="0" distB="0" distL="114300" distR="114300">
                  <wp:extent cx="5311775" cy="863600"/>
                  <wp:effectExtent l="0" t="0" r="3175" b="12700"/>
                  <wp:docPr id="16"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2"/>
                          <pic:cNvPicPr>
                            <a:picLocks noChangeAspect="1"/>
                          </pic:cNvPicPr>
                        </pic:nvPicPr>
                        <pic:blipFill>
                          <a:blip r:embed="rId16"/>
                          <a:stretch>
                            <a:fillRect/>
                          </a:stretch>
                        </pic:blipFill>
                        <pic:spPr>
                          <a:xfrm>
                            <a:off x="0" y="0"/>
                            <a:ext cx="5311775" cy="863600"/>
                          </a:xfrm>
                          <a:prstGeom prst="rect">
                            <a:avLst/>
                          </a:prstGeom>
                        </pic:spPr>
                      </pic:pic>
                    </a:graphicData>
                  </a:graphic>
                </wp:inline>
              </w:drawing>
            </w:r>
          </w:p>
          <w:p w14:paraId="5E0A8146">
            <w:pPr>
              <w:pStyle w:val="77"/>
              <w:adjustRightInd/>
              <w:jc w:val="center"/>
              <w:rPr>
                <w:rFonts w:ascii="Times New Roman" w:cs="Times New Roman"/>
                <w:color w:val="auto"/>
                <w:sz w:val="26"/>
                <w:szCs w:val="26"/>
                <w:highlight w:val="none"/>
                <w:lang w:val="zh-CN"/>
              </w:rPr>
            </w:pPr>
            <w:r>
              <w:rPr>
                <w:rFonts w:ascii="Times New Roman" w:cs="Times New Roman"/>
                <w:color w:val="auto"/>
                <w:sz w:val="26"/>
                <w:szCs w:val="26"/>
                <w:highlight w:val="none"/>
                <w:lang w:val="zh-CN"/>
              </w:rPr>
              <w:t>图</w:t>
            </w:r>
            <w:r>
              <w:rPr>
                <w:rFonts w:ascii="Times New Roman" w:cs="Times New Roman"/>
                <w:color w:val="auto"/>
                <w:sz w:val="26"/>
                <w:szCs w:val="26"/>
                <w:highlight w:val="none"/>
              </w:rPr>
              <w:t>2.1</w:t>
            </w:r>
            <w:r>
              <w:rPr>
                <w:rFonts w:hint="eastAsia" w:ascii="Times New Roman" w:cs="Times New Roman"/>
                <w:color w:val="auto"/>
                <w:sz w:val="26"/>
                <w:szCs w:val="26"/>
                <w:highlight w:val="none"/>
              </w:rPr>
              <w:t>0</w:t>
            </w:r>
            <w:r>
              <w:rPr>
                <w:rFonts w:ascii="Times New Roman" w:cs="Times New Roman"/>
                <w:color w:val="auto"/>
                <w:sz w:val="26"/>
                <w:szCs w:val="26"/>
                <w:highlight w:val="none"/>
              </w:rPr>
              <w:t xml:space="preserve">-1  </w:t>
            </w:r>
            <w:r>
              <w:rPr>
                <w:rFonts w:hint="eastAsia" w:ascii="Times New Roman" w:cs="Times New Roman"/>
                <w:color w:val="auto"/>
                <w:sz w:val="26"/>
                <w:szCs w:val="26"/>
                <w:highlight w:val="none"/>
              </w:rPr>
              <w:t>冲压件生产</w:t>
            </w:r>
            <w:r>
              <w:rPr>
                <w:rFonts w:ascii="Times New Roman" w:cs="Times New Roman"/>
                <w:color w:val="auto"/>
                <w:sz w:val="26"/>
                <w:szCs w:val="26"/>
                <w:highlight w:val="none"/>
                <w:lang w:val="zh-CN"/>
              </w:rPr>
              <w:t>工艺流程及产排污节点图</w:t>
            </w:r>
          </w:p>
          <w:p w14:paraId="0EBD35C5">
            <w:pPr>
              <w:ind w:firstLine="520" w:firstLineChars="200"/>
              <w:rPr>
                <w:rFonts w:ascii="宋体" w:hAnsi="宋体" w:cs="宋体"/>
                <w:color w:val="auto"/>
                <w:sz w:val="26"/>
                <w:szCs w:val="26"/>
                <w:highlight w:val="none"/>
              </w:rPr>
            </w:pPr>
          </w:p>
          <w:p w14:paraId="7291881D">
            <w:pPr>
              <w:adjustRightInd w:val="0"/>
              <w:snapToGrid w:val="0"/>
              <w:spacing w:line="480" w:lineRule="exact"/>
              <w:ind w:firstLine="520" w:firstLineChars="200"/>
              <w:rPr>
                <w:rFonts w:eastAsiaTheme="minorEastAsia"/>
                <w:color w:val="auto"/>
                <w:sz w:val="26"/>
                <w:szCs w:val="26"/>
                <w:highlight w:val="none"/>
              </w:rPr>
            </w:pPr>
            <w:r>
              <w:rPr>
                <w:rFonts w:eastAsiaTheme="minorEastAsia"/>
                <w:color w:val="auto"/>
                <w:sz w:val="26"/>
                <w:szCs w:val="26"/>
                <w:highlight w:val="none"/>
              </w:rPr>
              <w:t>①开卷出料：利用开卷机将钢卷展开，以进行进一步切割/剪切加工</w:t>
            </w:r>
            <w:r>
              <w:rPr>
                <w:rFonts w:hint="eastAsia" w:eastAsiaTheme="minorEastAsia"/>
                <w:color w:val="auto"/>
                <w:sz w:val="26"/>
                <w:szCs w:val="26"/>
                <w:highlight w:val="none"/>
              </w:rPr>
              <w:t>。</w:t>
            </w:r>
          </w:p>
          <w:p w14:paraId="076FDDB1">
            <w:pPr>
              <w:adjustRightInd w:val="0"/>
              <w:snapToGrid w:val="0"/>
              <w:spacing w:line="480" w:lineRule="exact"/>
              <w:ind w:firstLine="520" w:firstLineChars="200"/>
              <w:rPr>
                <w:rFonts w:eastAsiaTheme="minorEastAsia"/>
                <w:color w:val="auto"/>
                <w:sz w:val="26"/>
                <w:szCs w:val="26"/>
                <w:highlight w:val="none"/>
              </w:rPr>
            </w:pPr>
            <w:r>
              <w:rPr>
                <w:rFonts w:eastAsiaTheme="minorEastAsia"/>
                <w:color w:val="auto"/>
                <w:sz w:val="26"/>
                <w:szCs w:val="26"/>
                <w:highlight w:val="none"/>
              </w:rPr>
              <w:t>产污环节：此工序会产生废包装材料</w:t>
            </w:r>
            <w:r>
              <w:rPr>
                <w:rFonts w:hint="eastAsia" w:eastAsiaTheme="minorEastAsia"/>
                <w:color w:val="auto"/>
                <w:sz w:val="26"/>
                <w:szCs w:val="26"/>
                <w:highlight w:val="none"/>
              </w:rPr>
              <w:t>S1</w:t>
            </w:r>
            <w:r>
              <w:rPr>
                <w:rFonts w:eastAsiaTheme="minorEastAsia"/>
                <w:color w:val="auto"/>
                <w:sz w:val="26"/>
                <w:szCs w:val="26"/>
                <w:highlight w:val="none"/>
              </w:rPr>
              <w:t>、噪声</w:t>
            </w:r>
            <w:r>
              <w:rPr>
                <w:rFonts w:hint="eastAsia" w:eastAsiaTheme="minorEastAsia"/>
                <w:color w:val="auto"/>
                <w:sz w:val="26"/>
                <w:szCs w:val="26"/>
                <w:highlight w:val="none"/>
              </w:rPr>
              <w:t>N</w:t>
            </w:r>
            <w:r>
              <w:rPr>
                <w:rFonts w:eastAsiaTheme="minorEastAsia"/>
                <w:color w:val="auto"/>
                <w:sz w:val="26"/>
                <w:szCs w:val="26"/>
                <w:highlight w:val="none"/>
              </w:rPr>
              <w:t>等。</w:t>
            </w:r>
          </w:p>
          <w:p w14:paraId="4FD3A352">
            <w:pPr>
              <w:adjustRightInd w:val="0"/>
              <w:snapToGrid w:val="0"/>
              <w:spacing w:line="480" w:lineRule="exact"/>
              <w:ind w:firstLine="520" w:firstLineChars="200"/>
              <w:rPr>
                <w:rFonts w:eastAsiaTheme="minorEastAsia"/>
                <w:color w:val="auto"/>
                <w:sz w:val="26"/>
                <w:szCs w:val="26"/>
                <w:highlight w:val="none"/>
              </w:rPr>
            </w:pPr>
            <w:r>
              <w:rPr>
                <w:rFonts w:eastAsiaTheme="minorEastAsia"/>
                <w:color w:val="auto"/>
                <w:sz w:val="26"/>
                <w:szCs w:val="26"/>
                <w:highlight w:val="none"/>
              </w:rPr>
              <w:t>②激光切割/剪板：利用剪板机或者激光切割机</w:t>
            </w:r>
            <w:r>
              <w:rPr>
                <w:rFonts w:hint="eastAsia" w:eastAsiaTheme="minorEastAsia"/>
                <w:color w:val="auto"/>
                <w:sz w:val="26"/>
                <w:szCs w:val="26"/>
                <w:highlight w:val="none"/>
                <w:lang w:eastAsia="zh-CN"/>
              </w:rPr>
              <w:t>（自带滤芯除尘器）</w:t>
            </w:r>
            <w:r>
              <w:rPr>
                <w:rFonts w:eastAsiaTheme="minorEastAsia"/>
                <w:color w:val="auto"/>
                <w:sz w:val="26"/>
                <w:szCs w:val="26"/>
                <w:highlight w:val="none"/>
              </w:rPr>
              <w:t>按照产品要求进行下料，激光切割机的高功率密度光束照射原料钢，使其很快被加热至汽化温度，形成孔洞，随着光束对原料钢的移动，孔洞连续形成宽度很窄的切缝，完成对原料钢的切割</w:t>
            </w:r>
            <w:r>
              <w:rPr>
                <w:rFonts w:hint="eastAsia" w:eastAsiaTheme="minorEastAsia"/>
                <w:color w:val="auto"/>
                <w:sz w:val="26"/>
                <w:szCs w:val="26"/>
                <w:highlight w:val="none"/>
              </w:rPr>
              <w:t>，工作时间4800h/a。</w:t>
            </w:r>
          </w:p>
          <w:p w14:paraId="3E50C3B8">
            <w:pPr>
              <w:adjustRightInd w:val="0"/>
              <w:snapToGrid w:val="0"/>
              <w:spacing w:line="480" w:lineRule="exact"/>
              <w:ind w:firstLine="520" w:firstLineChars="200"/>
              <w:rPr>
                <w:rFonts w:eastAsiaTheme="minorEastAsia"/>
                <w:color w:val="auto"/>
                <w:sz w:val="26"/>
                <w:szCs w:val="26"/>
                <w:highlight w:val="none"/>
              </w:rPr>
            </w:pPr>
            <w:r>
              <w:rPr>
                <w:rFonts w:eastAsiaTheme="minorEastAsia"/>
                <w:color w:val="auto"/>
                <w:sz w:val="26"/>
                <w:szCs w:val="26"/>
                <w:highlight w:val="none"/>
              </w:rPr>
              <w:t>产污环节：</w:t>
            </w:r>
            <w:r>
              <w:rPr>
                <w:rFonts w:hint="eastAsia" w:eastAsiaTheme="minorEastAsia"/>
                <w:color w:val="auto"/>
                <w:sz w:val="26"/>
                <w:szCs w:val="26"/>
                <w:highlight w:val="none"/>
              </w:rPr>
              <w:t>此</w:t>
            </w:r>
            <w:r>
              <w:rPr>
                <w:rFonts w:eastAsiaTheme="minorEastAsia"/>
                <w:color w:val="auto"/>
                <w:sz w:val="26"/>
                <w:szCs w:val="26"/>
                <w:highlight w:val="none"/>
              </w:rPr>
              <w:t>工序主要会产生切割粉尘G1、金属边角料S</w:t>
            </w:r>
            <w:r>
              <w:rPr>
                <w:rFonts w:hint="eastAsia" w:eastAsiaTheme="minorEastAsia"/>
                <w:color w:val="auto"/>
                <w:sz w:val="26"/>
                <w:szCs w:val="26"/>
                <w:highlight w:val="none"/>
              </w:rPr>
              <w:t>2</w:t>
            </w:r>
            <w:r>
              <w:rPr>
                <w:rFonts w:eastAsiaTheme="minorEastAsia"/>
                <w:color w:val="auto"/>
                <w:sz w:val="26"/>
                <w:szCs w:val="26"/>
                <w:highlight w:val="none"/>
              </w:rPr>
              <w:t>、噪声N等。</w:t>
            </w:r>
          </w:p>
          <w:p w14:paraId="4ADE5A60">
            <w:pPr>
              <w:adjustRightInd w:val="0"/>
              <w:snapToGrid w:val="0"/>
              <w:spacing w:line="480" w:lineRule="exact"/>
              <w:ind w:firstLine="520" w:firstLineChars="200"/>
              <w:rPr>
                <w:rFonts w:eastAsiaTheme="minorEastAsia"/>
                <w:color w:val="auto"/>
                <w:kern w:val="0"/>
                <w:sz w:val="26"/>
                <w:szCs w:val="26"/>
                <w:highlight w:val="none"/>
                <w:lang w:bidi="ar"/>
              </w:rPr>
            </w:pPr>
            <w:r>
              <w:rPr>
                <w:rFonts w:eastAsiaTheme="minorEastAsia"/>
                <w:color w:val="auto"/>
                <w:sz w:val="26"/>
                <w:szCs w:val="26"/>
                <w:highlight w:val="none"/>
              </w:rPr>
              <w:t>③冲压（拉伸）：切割后</w:t>
            </w:r>
            <w:r>
              <w:rPr>
                <w:rFonts w:eastAsiaTheme="minorEastAsia"/>
                <w:color w:val="auto"/>
                <w:kern w:val="0"/>
                <w:sz w:val="26"/>
                <w:szCs w:val="26"/>
                <w:highlight w:val="none"/>
                <w:lang w:bidi="ar"/>
              </w:rPr>
              <w:t>钢板放置在模具上，利用冲床和液压机对钢板进行进一步加工，包括落料、拉伸成型</w:t>
            </w:r>
            <w:r>
              <w:rPr>
                <w:rFonts w:hint="eastAsia" w:eastAsiaTheme="minorEastAsia"/>
                <w:color w:val="auto"/>
                <w:kern w:val="0"/>
                <w:sz w:val="26"/>
                <w:szCs w:val="26"/>
                <w:highlight w:val="none"/>
                <w:lang w:bidi="ar"/>
              </w:rPr>
              <w:t>、切边、冲孔、修整、精冲、定型等，以实现毛刺修正和尺寸调整，</w:t>
            </w:r>
            <w:r>
              <w:rPr>
                <w:rFonts w:hint="eastAsia" w:eastAsiaTheme="minorEastAsia"/>
                <w:color w:val="auto"/>
                <w:sz w:val="26"/>
                <w:szCs w:val="26"/>
                <w:highlight w:val="none"/>
              </w:rPr>
              <w:t>工作时间4800h/a。</w:t>
            </w:r>
            <w:r>
              <w:rPr>
                <w:rFonts w:eastAsiaTheme="minorEastAsia"/>
                <w:color w:val="auto"/>
                <w:kern w:val="0"/>
                <w:sz w:val="26"/>
                <w:szCs w:val="26"/>
                <w:highlight w:val="none"/>
                <w:lang w:bidi="ar"/>
              </w:rPr>
              <w:t>液压机使用循环冷却水进行间接冷却，冷却水循环系统将进行补、排水，根据建设单位提供资料，冷却水槽每半年定期排一次。</w:t>
            </w:r>
          </w:p>
          <w:p w14:paraId="7F8E38C2">
            <w:pPr>
              <w:widowControl/>
              <w:adjustRightInd w:val="0"/>
              <w:snapToGrid w:val="0"/>
              <w:spacing w:line="480" w:lineRule="exact"/>
              <w:ind w:firstLine="520" w:firstLineChars="200"/>
              <w:jc w:val="left"/>
              <w:rPr>
                <w:rFonts w:eastAsiaTheme="minorEastAsia"/>
                <w:color w:val="auto"/>
                <w:sz w:val="26"/>
                <w:szCs w:val="26"/>
                <w:highlight w:val="none"/>
              </w:rPr>
            </w:pPr>
            <w:r>
              <w:rPr>
                <w:rFonts w:eastAsiaTheme="minorEastAsia"/>
                <w:color w:val="auto"/>
                <w:sz w:val="26"/>
                <w:szCs w:val="26"/>
                <w:highlight w:val="none"/>
              </w:rPr>
              <w:t>产污环节：</w:t>
            </w:r>
            <w:r>
              <w:rPr>
                <w:rFonts w:eastAsiaTheme="minorEastAsia"/>
                <w:color w:val="auto"/>
                <w:kern w:val="0"/>
                <w:sz w:val="26"/>
                <w:szCs w:val="26"/>
                <w:highlight w:val="none"/>
                <w:lang w:bidi="ar"/>
              </w:rPr>
              <w:t>该工序会产生边角料S2</w:t>
            </w:r>
            <w:r>
              <w:rPr>
                <w:rFonts w:hint="eastAsia" w:eastAsiaTheme="minorEastAsia"/>
                <w:color w:val="auto"/>
                <w:kern w:val="0"/>
                <w:sz w:val="26"/>
                <w:szCs w:val="26"/>
                <w:highlight w:val="none"/>
                <w:lang w:bidi="ar"/>
              </w:rPr>
              <w:t>、液压机冷却循环水更换废水W1、</w:t>
            </w:r>
            <w:r>
              <w:rPr>
                <w:rFonts w:eastAsiaTheme="minorEastAsia"/>
                <w:color w:val="auto"/>
                <w:kern w:val="0"/>
                <w:sz w:val="26"/>
                <w:szCs w:val="26"/>
                <w:highlight w:val="none"/>
                <w:lang w:bidi="ar"/>
              </w:rPr>
              <w:t>噪声N等</w:t>
            </w:r>
            <w:r>
              <w:rPr>
                <w:rFonts w:hint="eastAsia" w:eastAsiaTheme="minorEastAsia"/>
                <w:color w:val="auto"/>
                <w:kern w:val="0"/>
                <w:sz w:val="26"/>
                <w:szCs w:val="26"/>
                <w:highlight w:val="none"/>
                <w:lang w:bidi="ar"/>
              </w:rPr>
              <w:t>。</w:t>
            </w:r>
          </w:p>
          <w:p w14:paraId="7E39235F">
            <w:pPr>
              <w:pStyle w:val="77"/>
              <w:widowControl/>
              <w:autoSpaceDE/>
              <w:autoSpaceDN/>
              <w:snapToGrid w:val="0"/>
              <w:spacing w:line="480" w:lineRule="exact"/>
              <w:ind w:firstLine="520" w:firstLineChars="200"/>
              <w:jc w:val="both"/>
              <w:rPr>
                <w:rFonts w:ascii="Times New Roman" w:cs="Times New Roman" w:eastAsiaTheme="minorEastAsia"/>
                <w:color w:val="auto"/>
                <w:sz w:val="26"/>
                <w:szCs w:val="26"/>
                <w:highlight w:val="none"/>
              </w:rPr>
            </w:pPr>
            <w:r>
              <w:rPr>
                <w:rFonts w:ascii="Times New Roman" w:cs="Times New Roman" w:eastAsiaTheme="minorEastAsia"/>
                <w:color w:val="auto"/>
                <w:sz w:val="26"/>
                <w:szCs w:val="26"/>
                <w:highlight w:val="none"/>
              </w:rPr>
              <w:t>④检测，包装：人工查看工件外观，合格品包装入库</w:t>
            </w:r>
            <w:r>
              <w:rPr>
                <w:rFonts w:hint="eastAsia" w:ascii="Times New Roman" w:cs="Times New Roman" w:eastAsiaTheme="minorEastAsia"/>
                <w:color w:val="auto"/>
                <w:sz w:val="26"/>
                <w:szCs w:val="26"/>
                <w:highlight w:val="none"/>
              </w:rPr>
              <w:t>，不合格产品根据需求采用便携式打磨机对相应位置进行打磨，打磨位置不固定，打磨周期不固定，单次打磨时间较短，工作时间约600h/a</w:t>
            </w:r>
            <w:r>
              <w:rPr>
                <w:rFonts w:ascii="Times New Roman" w:cs="Times New Roman" w:eastAsiaTheme="minorEastAsia"/>
                <w:color w:val="auto"/>
                <w:sz w:val="26"/>
                <w:szCs w:val="26"/>
                <w:highlight w:val="none"/>
              </w:rPr>
              <w:t>。</w:t>
            </w:r>
          </w:p>
          <w:p w14:paraId="14798E65">
            <w:pPr>
              <w:adjustRightInd w:val="0"/>
              <w:snapToGrid w:val="0"/>
              <w:spacing w:line="480" w:lineRule="exact"/>
              <w:ind w:firstLine="520" w:firstLineChars="200"/>
              <w:rPr>
                <w:rFonts w:eastAsiaTheme="minorEastAsia"/>
                <w:color w:val="auto"/>
                <w:kern w:val="0"/>
                <w:sz w:val="26"/>
                <w:szCs w:val="26"/>
                <w:highlight w:val="none"/>
                <w:lang w:bidi="ar"/>
              </w:rPr>
            </w:pPr>
            <w:r>
              <w:rPr>
                <w:rFonts w:eastAsiaTheme="minorEastAsia"/>
                <w:color w:val="auto"/>
                <w:sz w:val="26"/>
                <w:szCs w:val="26"/>
                <w:highlight w:val="none"/>
              </w:rPr>
              <w:t>产污环节：</w:t>
            </w:r>
            <w:r>
              <w:rPr>
                <w:rFonts w:eastAsiaTheme="minorEastAsia"/>
                <w:color w:val="auto"/>
                <w:kern w:val="0"/>
                <w:sz w:val="26"/>
                <w:szCs w:val="26"/>
                <w:highlight w:val="none"/>
                <w:lang w:bidi="ar"/>
              </w:rPr>
              <w:t>该工序会产生</w:t>
            </w:r>
            <w:r>
              <w:rPr>
                <w:rFonts w:hint="eastAsia" w:eastAsiaTheme="minorEastAsia"/>
                <w:color w:val="auto"/>
                <w:kern w:val="0"/>
                <w:sz w:val="26"/>
                <w:szCs w:val="26"/>
                <w:highlight w:val="none"/>
                <w:lang w:bidi="ar"/>
              </w:rPr>
              <w:t>打磨粉尘G2、废边角料S2、</w:t>
            </w:r>
            <w:r>
              <w:rPr>
                <w:rFonts w:eastAsiaTheme="minorEastAsia"/>
                <w:color w:val="auto"/>
                <w:kern w:val="0"/>
                <w:sz w:val="26"/>
                <w:szCs w:val="26"/>
                <w:highlight w:val="none"/>
                <w:lang w:bidi="ar"/>
              </w:rPr>
              <w:t>不合格品S</w:t>
            </w:r>
            <w:r>
              <w:rPr>
                <w:rFonts w:hint="eastAsia" w:eastAsiaTheme="minorEastAsia"/>
                <w:color w:val="auto"/>
                <w:kern w:val="0"/>
                <w:sz w:val="26"/>
                <w:szCs w:val="26"/>
                <w:highlight w:val="none"/>
                <w:lang w:bidi="ar"/>
              </w:rPr>
              <w:t>3和噪声N等</w:t>
            </w:r>
            <w:r>
              <w:rPr>
                <w:rFonts w:eastAsiaTheme="minorEastAsia"/>
                <w:color w:val="auto"/>
                <w:kern w:val="0"/>
                <w:sz w:val="26"/>
                <w:szCs w:val="26"/>
                <w:highlight w:val="none"/>
                <w:lang w:bidi="ar"/>
              </w:rPr>
              <w:t>。</w:t>
            </w:r>
          </w:p>
          <w:p w14:paraId="07D51A32">
            <w:pPr>
              <w:pStyle w:val="77"/>
              <w:widowControl/>
              <w:autoSpaceDE/>
              <w:autoSpaceDN/>
              <w:adjustRightInd/>
              <w:spacing w:line="480" w:lineRule="exact"/>
              <w:ind w:firstLine="522" w:firstLineChars="200"/>
              <w:jc w:val="both"/>
              <w:rPr>
                <w:rFonts w:ascii="Times New Roman" w:cs="Times New Roman"/>
                <w:b/>
                <w:bCs/>
                <w:color w:val="auto"/>
                <w:sz w:val="26"/>
                <w:szCs w:val="26"/>
                <w:highlight w:val="none"/>
              </w:rPr>
            </w:pPr>
            <w:r>
              <w:rPr>
                <w:rFonts w:hint="eastAsia" w:ascii="Times New Roman" w:cs="Times New Roman"/>
                <w:b/>
                <w:bCs/>
                <w:color w:val="auto"/>
                <w:sz w:val="26"/>
                <w:szCs w:val="26"/>
                <w:highlight w:val="none"/>
              </w:rPr>
              <w:t>（2）焊接件生产工艺流程</w:t>
            </w:r>
          </w:p>
          <w:p w14:paraId="62B42FBB">
            <w:pPr>
              <w:widowControl/>
              <w:jc w:val="center"/>
              <w:rPr>
                <w:b/>
                <w:bCs/>
                <w:color w:val="auto"/>
                <w:sz w:val="26"/>
                <w:szCs w:val="26"/>
                <w:highlight w:val="none"/>
              </w:rPr>
            </w:pPr>
            <w:r>
              <w:rPr>
                <w:rFonts w:hint="eastAsia"/>
                <w:b/>
                <w:bCs/>
                <w:color w:val="auto"/>
                <w:sz w:val="26"/>
                <w:szCs w:val="26"/>
                <w:highlight w:val="none"/>
              </w:rPr>
              <w:drawing>
                <wp:inline distT="0" distB="0" distL="114300" distR="114300">
                  <wp:extent cx="3923665" cy="2039620"/>
                  <wp:effectExtent l="0" t="0" r="0" b="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17"/>
                          <a:srcRect l="26159"/>
                          <a:stretch>
                            <a:fillRect/>
                          </a:stretch>
                        </pic:blipFill>
                        <pic:spPr>
                          <a:xfrm>
                            <a:off x="0" y="0"/>
                            <a:ext cx="3923665" cy="2039620"/>
                          </a:xfrm>
                          <a:prstGeom prst="rect">
                            <a:avLst/>
                          </a:prstGeom>
                        </pic:spPr>
                      </pic:pic>
                    </a:graphicData>
                  </a:graphic>
                </wp:inline>
              </w:drawing>
            </w:r>
          </w:p>
          <w:p w14:paraId="27905AC5">
            <w:pPr>
              <w:pStyle w:val="77"/>
              <w:adjustRightInd/>
              <w:jc w:val="center"/>
              <w:rPr>
                <w:rFonts w:ascii="Times New Roman" w:cs="Times New Roman"/>
                <w:color w:val="auto"/>
                <w:sz w:val="26"/>
                <w:szCs w:val="26"/>
                <w:highlight w:val="none"/>
                <w:lang w:val="zh-CN"/>
              </w:rPr>
            </w:pPr>
            <w:r>
              <w:rPr>
                <w:rFonts w:ascii="Times New Roman" w:cs="Times New Roman"/>
                <w:color w:val="auto"/>
                <w:sz w:val="26"/>
                <w:szCs w:val="26"/>
                <w:highlight w:val="none"/>
                <w:lang w:val="zh-CN"/>
              </w:rPr>
              <w:t>图</w:t>
            </w:r>
            <w:r>
              <w:rPr>
                <w:rFonts w:ascii="Times New Roman" w:cs="Times New Roman"/>
                <w:color w:val="auto"/>
                <w:sz w:val="26"/>
                <w:szCs w:val="26"/>
                <w:highlight w:val="none"/>
              </w:rPr>
              <w:t>2.1</w:t>
            </w:r>
            <w:r>
              <w:rPr>
                <w:rFonts w:hint="eastAsia" w:ascii="Times New Roman" w:cs="Times New Roman"/>
                <w:color w:val="auto"/>
                <w:sz w:val="26"/>
                <w:szCs w:val="26"/>
                <w:highlight w:val="none"/>
              </w:rPr>
              <w:t>0</w:t>
            </w:r>
            <w:r>
              <w:rPr>
                <w:rFonts w:ascii="Times New Roman" w:cs="Times New Roman"/>
                <w:color w:val="auto"/>
                <w:sz w:val="26"/>
                <w:szCs w:val="26"/>
                <w:highlight w:val="none"/>
              </w:rPr>
              <w:t xml:space="preserve">-2  </w:t>
            </w:r>
            <w:r>
              <w:rPr>
                <w:rFonts w:hint="eastAsia" w:ascii="Times New Roman" w:cs="Times New Roman"/>
                <w:color w:val="auto"/>
                <w:sz w:val="26"/>
                <w:szCs w:val="26"/>
                <w:highlight w:val="none"/>
              </w:rPr>
              <w:t>焊接件</w:t>
            </w:r>
            <w:r>
              <w:rPr>
                <w:rFonts w:ascii="Times New Roman" w:cs="Times New Roman"/>
                <w:color w:val="auto"/>
                <w:sz w:val="26"/>
                <w:szCs w:val="26"/>
                <w:highlight w:val="none"/>
                <w:lang w:val="zh-CN"/>
              </w:rPr>
              <w:t>生产工艺流程及产排污节点图</w:t>
            </w:r>
          </w:p>
          <w:p w14:paraId="5EB591DB">
            <w:pPr>
              <w:pStyle w:val="77"/>
              <w:adjustRightInd/>
              <w:jc w:val="center"/>
              <w:rPr>
                <w:rFonts w:ascii="Times New Roman" w:cs="Times New Roman"/>
                <w:b/>
                <w:bCs/>
                <w:color w:val="auto"/>
                <w:sz w:val="26"/>
                <w:szCs w:val="26"/>
                <w:highlight w:val="none"/>
                <w:lang w:val="zh-CN"/>
              </w:rPr>
            </w:pPr>
          </w:p>
          <w:p w14:paraId="177117CB">
            <w:pPr>
              <w:spacing w:line="480" w:lineRule="exact"/>
              <w:ind w:firstLine="520" w:firstLineChars="200"/>
              <w:rPr>
                <w:rFonts w:eastAsiaTheme="minorEastAsia"/>
                <w:color w:val="auto"/>
                <w:kern w:val="0"/>
                <w:sz w:val="26"/>
                <w:szCs w:val="26"/>
                <w:highlight w:val="none"/>
                <w:lang w:bidi="ar"/>
              </w:rPr>
            </w:pPr>
            <w:r>
              <w:rPr>
                <w:rFonts w:hint="eastAsia" w:eastAsiaTheme="minorEastAsia"/>
                <w:color w:val="auto"/>
                <w:sz w:val="26"/>
                <w:szCs w:val="26"/>
                <w:highlight w:val="none"/>
              </w:rPr>
              <w:t>焊接件在焊接前工艺流程与冲压件相同，冲压后需焊接的半成品转移至焊接生产线进行焊接。</w:t>
            </w:r>
          </w:p>
          <w:p w14:paraId="473EEFF6">
            <w:pPr>
              <w:spacing w:line="480" w:lineRule="exact"/>
              <w:ind w:firstLine="520" w:firstLineChars="200"/>
              <w:rPr>
                <w:rFonts w:eastAsiaTheme="minorEastAsia"/>
                <w:color w:val="auto"/>
                <w:sz w:val="26"/>
                <w:szCs w:val="26"/>
                <w:highlight w:val="none"/>
              </w:rPr>
            </w:pPr>
            <w:r>
              <w:rPr>
                <w:rFonts w:eastAsiaTheme="minorEastAsia"/>
                <w:color w:val="auto"/>
                <w:sz w:val="26"/>
                <w:szCs w:val="26"/>
                <w:highlight w:val="none"/>
              </w:rPr>
              <w:t>①焊接</w:t>
            </w:r>
          </w:p>
          <w:p w14:paraId="66CE626D">
            <w:pPr>
              <w:adjustRightInd w:val="0"/>
              <w:snapToGrid w:val="0"/>
              <w:spacing w:line="480" w:lineRule="exact"/>
              <w:ind w:firstLine="520" w:firstLineChars="200"/>
              <w:rPr>
                <w:rFonts w:eastAsiaTheme="minorEastAsia"/>
                <w:color w:val="auto"/>
                <w:sz w:val="26"/>
                <w:szCs w:val="26"/>
                <w:highlight w:val="none"/>
              </w:rPr>
            </w:pPr>
            <w:r>
              <w:rPr>
                <w:rFonts w:hint="eastAsia" w:eastAsiaTheme="minorEastAsia"/>
                <w:color w:val="auto"/>
                <w:sz w:val="26"/>
                <w:szCs w:val="26"/>
                <w:highlight w:val="none"/>
              </w:rPr>
              <w:t>本项目焊接方式有2种，包括点焊、弧焊，</w:t>
            </w:r>
            <w:r>
              <w:rPr>
                <w:rFonts w:hint="eastAsia" w:eastAsiaTheme="minorEastAsia"/>
                <w:color w:val="auto"/>
                <w:sz w:val="26"/>
                <w:szCs w:val="26"/>
                <w:highlight w:val="none"/>
                <w:lang w:eastAsia="zh-CN"/>
              </w:rPr>
              <w:t>根据产品需求进行选取不同焊接方式，约</w:t>
            </w:r>
            <w:r>
              <w:rPr>
                <w:rFonts w:hint="eastAsia" w:eastAsiaTheme="minorEastAsia"/>
                <w:color w:val="auto"/>
                <w:sz w:val="26"/>
                <w:szCs w:val="26"/>
                <w:highlight w:val="none"/>
                <w:lang w:val="en-US" w:eastAsia="zh-CN"/>
              </w:rPr>
              <w:t>90%的产品采用点焊，10</w:t>
            </w:r>
            <w:bookmarkStart w:id="52" w:name="hmcheck_41c2ec3e8f0545cfa155e114a7e3465e"/>
            <w:r>
              <w:rPr>
                <w:rFonts w:hint="eastAsia" w:eastAsiaTheme="minorEastAsia"/>
                <w:color w:val="auto"/>
                <w:sz w:val="26"/>
                <w:szCs w:val="26"/>
                <w:highlight w:val="none"/>
                <w:shd w:val="clear" w:fill="B2E9BC"/>
                <w:lang w:val="en-US" w:eastAsia="zh-CN"/>
              </w:rPr>
              <w:t>%的</w:t>
            </w:r>
            <w:bookmarkEnd w:id="52"/>
            <w:r>
              <w:rPr>
                <w:rFonts w:hint="eastAsia" w:eastAsiaTheme="minorEastAsia"/>
                <w:color w:val="auto"/>
                <w:sz w:val="26"/>
                <w:szCs w:val="26"/>
                <w:highlight w:val="none"/>
                <w:lang w:val="en-US" w:eastAsia="zh-CN"/>
              </w:rPr>
              <w:t>产品采用弧焊</w:t>
            </w:r>
            <w:r>
              <w:rPr>
                <w:rFonts w:hint="eastAsia" w:eastAsiaTheme="minorEastAsia"/>
                <w:color w:val="auto"/>
                <w:sz w:val="26"/>
                <w:szCs w:val="26"/>
                <w:highlight w:val="none"/>
                <w:lang w:eastAsia="zh-CN"/>
              </w:rPr>
              <w:t>，</w:t>
            </w:r>
            <w:r>
              <w:rPr>
                <w:rFonts w:hint="eastAsia" w:eastAsiaTheme="minorEastAsia"/>
                <w:color w:val="auto"/>
                <w:sz w:val="26"/>
                <w:szCs w:val="26"/>
                <w:highlight w:val="none"/>
              </w:rPr>
              <w:t>工作时间约4800h/a。</w:t>
            </w:r>
          </w:p>
          <w:p w14:paraId="7C1F4786">
            <w:pPr>
              <w:widowControl/>
              <w:numPr>
                <w:ilvl w:val="0"/>
                <w:numId w:val="10"/>
              </w:numPr>
              <w:adjustRightInd w:val="0"/>
              <w:snapToGrid w:val="0"/>
              <w:spacing w:line="480" w:lineRule="exact"/>
              <w:ind w:firstLine="520" w:firstLineChars="200"/>
              <w:jc w:val="left"/>
              <w:rPr>
                <w:rFonts w:eastAsiaTheme="minorEastAsia"/>
                <w:color w:val="auto"/>
                <w:kern w:val="0"/>
                <w:sz w:val="26"/>
                <w:szCs w:val="26"/>
                <w:highlight w:val="none"/>
                <w:lang w:bidi="ar"/>
              </w:rPr>
            </w:pPr>
            <w:r>
              <w:rPr>
                <w:rFonts w:eastAsiaTheme="minorEastAsia"/>
                <w:color w:val="auto"/>
                <w:kern w:val="0"/>
                <w:sz w:val="26"/>
                <w:szCs w:val="26"/>
                <w:highlight w:val="none"/>
                <w:lang w:bidi="ar"/>
              </w:rPr>
              <w:t>点焊</w:t>
            </w:r>
          </w:p>
          <w:p w14:paraId="444A5613">
            <w:pPr>
              <w:widowControl/>
              <w:adjustRightInd w:val="0"/>
              <w:snapToGrid w:val="0"/>
              <w:spacing w:line="480" w:lineRule="exact"/>
              <w:ind w:firstLine="520" w:firstLineChars="200"/>
              <w:jc w:val="left"/>
              <w:rPr>
                <w:rFonts w:eastAsiaTheme="minorEastAsia"/>
                <w:color w:val="auto"/>
                <w:kern w:val="0"/>
                <w:sz w:val="26"/>
                <w:szCs w:val="26"/>
                <w:highlight w:val="none"/>
                <w:lang w:bidi="ar"/>
              </w:rPr>
            </w:pPr>
            <w:r>
              <w:rPr>
                <w:rFonts w:eastAsiaTheme="minorEastAsia"/>
                <w:color w:val="auto"/>
                <w:kern w:val="0"/>
                <w:sz w:val="26"/>
                <w:szCs w:val="26"/>
                <w:highlight w:val="none"/>
                <w:lang w:bidi="ar"/>
              </w:rPr>
              <w:t>主要采用点焊机器人进行电阻焊，将工件组合后通过电极施加压力，利用电流通过接头的接触面产生的电阻热熔化母材金属进行焊接。不需要焊丝、焊剂等焊接材料；加热时间短，热量集中，故热影响区小，变形与应力也小，焊后不必校正和热处理。</w:t>
            </w:r>
          </w:p>
          <w:p w14:paraId="0AEBB9BA">
            <w:pPr>
              <w:widowControl/>
              <w:adjustRightInd w:val="0"/>
              <w:snapToGrid w:val="0"/>
              <w:spacing w:line="480" w:lineRule="exact"/>
              <w:ind w:firstLine="520" w:firstLineChars="200"/>
              <w:jc w:val="left"/>
              <w:rPr>
                <w:rFonts w:eastAsiaTheme="minorEastAsia"/>
                <w:color w:val="auto"/>
                <w:kern w:val="0"/>
                <w:sz w:val="26"/>
                <w:szCs w:val="26"/>
                <w:highlight w:val="none"/>
                <w:lang w:bidi="ar"/>
              </w:rPr>
            </w:pPr>
            <w:r>
              <w:rPr>
                <w:rFonts w:hint="eastAsia" w:eastAsiaTheme="minorEastAsia"/>
                <w:color w:val="auto"/>
                <w:kern w:val="0"/>
                <w:sz w:val="26"/>
                <w:szCs w:val="26"/>
                <w:highlight w:val="none"/>
                <w:lang w:bidi="ar"/>
              </w:rPr>
              <w:t>产污环节：该过程</w:t>
            </w:r>
            <w:r>
              <w:rPr>
                <w:rFonts w:eastAsiaTheme="minorEastAsia"/>
                <w:color w:val="auto"/>
                <w:kern w:val="0"/>
                <w:sz w:val="26"/>
                <w:szCs w:val="26"/>
                <w:highlight w:val="none"/>
                <w:lang w:bidi="ar"/>
              </w:rPr>
              <w:t>基本无噪声和废气产生。</w:t>
            </w:r>
          </w:p>
          <w:p w14:paraId="1A547065">
            <w:pPr>
              <w:widowControl/>
              <w:numPr>
                <w:ilvl w:val="0"/>
                <w:numId w:val="10"/>
              </w:numPr>
              <w:adjustRightInd w:val="0"/>
              <w:snapToGrid w:val="0"/>
              <w:spacing w:line="480" w:lineRule="exact"/>
              <w:ind w:firstLine="520" w:firstLineChars="200"/>
              <w:jc w:val="left"/>
              <w:rPr>
                <w:rFonts w:eastAsiaTheme="minorEastAsia"/>
                <w:color w:val="auto"/>
                <w:kern w:val="0"/>
                <w:sz w:val="26"/>
                <w:szCs w:val="26"/>
                <w:highlight w:val="none"/>
                <w:lang w:bidi="ar"/>
              </w:rPr>
            </w:pPr>
            <w:r>
              <w:rPr>
                <w:rFonts w:eastAsiaTheme="minorEastAsia"/>
                <w:color w:val="auto"/>
                <w:kern w:val="0"/>
                <w:sz w:val="26"/>
                <w:szCs w:val="26"/>
                <w:highlight w:val="none"/>
                <w:lang w:bidi="ar"/>
              </w:rPr>
              <w:t>弧焊</w:t>
            </w:r>
          </w:p>
          <w:p w14:paraId="13425C3A">
            <w:pPr>
              <w:widowControl/>
              <w:adjustRightInd w:val="0"/>
              <w:snapToGrid w:val="0"/>
              <w:spacing w:line="480" w:lineRule="exact"/>
              <w:ind w:firstLine="520" w:firstLineChars="200"/>
              <w:jc w:val="left"/>
              <w:rPr>
                <w:rFonts w:eastAsiaTheme="minorEastAsia"/>
                <w:color w:val="auto"/>
                <w:kern w:val="0"/>
                <w:sz w:val="26"/>
                <w:szCs w:val="26"/>
                <w:highlight w:val="none"/>
                <w:lang w:bidi="ar"/>
              </w:rPr>
            </w:pPr>
            <w:r>
              <w:rPr>
                <w:rFonts w:eastAsiaTheme="minorEastAsia"/>
                <w:color w:val="auto"/>
                <w:kern w:val="0"/>
                <w:sz w:val="26"/>
                <w:szCs w:val="26"/>
                <w:highlight w:val="none"/>
                <w:lang w:bidi="ar"/>
              </w:rPr>
              <w:t>主要采用弧焊机器人进行弧焊，弧焊以电弧为能源，使用熔化电极，以外加气体作为电弧介质，此焊接过程采用无铅焊丝</w:t>
            </w:r>
            <w:r>
              <w:rPr>
                <w:rFonts w:hint="eastAsia" w:eastAsiaTheme="minorEastAsia"/>
                <w:color w:val="auto"/>
                <w:kern w:val="0"/>
                <w:sz w:val="26"/>
                <w:szCs w:val="26"/>
                <w:highlight w:val="none"/>
                <w:lang w:bidi="ar"/>
              </w:rPr>
              <w:t>，焊接工作平台固定。</w:t>
            </w:r>
          </w:p>
          <w:p w14:paraId="5A2034C5">
            <w:pPr>
              <w:widowControl/>
              <w:adjustRightInd w:val="0"/>
              <w:snapToGrid w:val="0"/>
              <w:spacing w:line="480" w:lineRule="exact"/>
              <w:ind w:firstLine="520" w:firstLineChars="200"/>
              <w:jc w:val="left"/>
              <w:rPr>
                <w:rFonts w:eastAsiaTheme="minorEastAsia"/>
                <w:color w:val="auto"/>
                <w:kern w:val="0"/>
                <w:sz w:val="26"/>
                <w:szCs w:val="26"/>
                <w:highlight w:val="none"/>
                <w:lang w:bidi="ar"/>
              </w:rPr>
            </w:pPr>
            <w:r>
              <w:rPr>
                <w:rFonts w:hint="eastAsia" w:eastAsiaTheme="minorEastAsia"/>
                <w:color w:val="auto"/>
                <w:kern w:val="0"/>
                <w:sz w:val="26"/>
                <w:szCs w:val="26"/>
                <w:highlight w:val="none"/>
                <w:lang w:bidi="ar"/>
              </w:rPr>
              <w:t>产污环节：</w:t>
            </w:r>
            <w:r>
              <w:rPr>
                <w:rFonts w:eastAsiaTheme="minorEastAsia"/>
                <w:color w:val="auto"/>
                <w:kern w:val="0"/>
                <w:sz w:val="26"/>
                <w:szCs w:val="26"/>
                <w:highlight w:val="none"/>
                <w:lang w:bidi="ar"/>
              </w:rPr>
              <w:t>此工序</w:t>
            </w:r>
            <w:r>
              <w:rPr>
                <w:rFonts w:hint="eastAsia" w:eastAsiaTheme="minorEastAsia"/>
                <w:color w:val="auto"/>
                <w:kern w:val="0"/>
                <w:sz w:val="26"/>
                <w:szCs w:val="26"/>
                <w:highlight w:val="none"/>
                <w:lang w:bidi="ar"/>
              </w:rPr>
              <w:t>主要</w:t>
            </w:r>
            <w:r>
              <w:rPr>
                <w:rFonts w:eastAsiaTheme="minorEastAsia"/>
                <w:color w:val="auto"/>
                <w:kern w:val="0"/>
                <w:sz w:val="26"/>
                <w:szCs w:val="26"/>
                <w:highlight w:val="none"/>
                <w:lang w:bidi="ar"/>
              </w:rPr>
              <w:t>产生焊接烟尘</w:t>
            </w:r>
            <w:r>
              <w:rPr>
                <w:rFonts w:hint="eastAsia" w:eastAsiaTheme="minorEastAsia"/>
                <w:color w:val="auto"/>
                <w:kern w:val="0"/>
                <w:sz w:val="26"/>
                <w:szCs w:val="26"/>
                <w:highlight w:val="none"/>
                <w:lang w:bidi="ar"/>
              </w:rPr>
              <w:t>G3、废焊丝S4</w:t>
            </w:r>
            <w:r>
              <w:rPr>
                <w:rFonts w:eastAsiaTheme="minorEastAsia"/>
                <w:color w:val="auto"/>
                <w:kern w:val="0"/>
                <w:sz w:val="26"/>
                <w:szCs w:val="26"/>
                <w:highlight w:val="none"/>
                <w:lang w:bidi="ar"/>
              </w:rPr>
              <w:t>等。</w:t>
            </w:r>
          </w:p>
          <w:p w14:paraId="4CE5DFF3">
            <w:pPr>
              <w:widowControl/>
              <w:adjustRightInd w:val="0"/>
              <w:snapToGrid w:val="0"/>
              <w:spacing w:line="480" w:lineRule="exact"/>
              <w:ind w:firstLine="520" w:firstLineChars="200"/>
              <w:jc w:val="left"/>
              <w:rPr>
                <w:rFonts w:eastAsiaTheme="minorEastAsia"/>
                <w:color w:val="auto"/>
                <w:kern w:val="0"/>
                <w:sz w:val="26"/>
                <w:szCs w:val="26"/>
                <w:highlight w:val="none"/>
                <w:lang w:bidi="ar"/>
              </w:rPr>
            </w:pPr>
            <w:r>
              <w:rPr>
                <w:rFonts w:eastAsiaTheme="minorEastAsia"/>
                <w:color w:val="auto"/>
                <w:kern w:val="0"/>
                <w:sz w:val="26"/>
                <w:szCs w:val="26"/>
                <w:highlight w:val="none"/>
                <w:lang w:bidi="ar"/>
              </w:rPr>
              <w:t>③</w:t>
            </w:r>
            <w:bookmarkStart w:id="53" w:name="hmcheck_a32f9d56158b40cbab1b032c037b1b9c"/>
            <w:r>
              <w:rPr>
                <w:rFonts w:eastAsiaTheme="minorEastAsia"/>
                <w:color w:val="auto"/>
                <w:kern w:val="0"/>
                <w:sz w:val="26"/>
                <w:szCs w:val="26"/>
                <w:highlight w:val="none"/>
                <w:shd w:val="clear" w:fill="FFAFAA"/>
                <w:lang w:bidi="ar"/>
              </w:rPr>
              <w:t>滚边</w:t>
            </w:r>
            <w:bookmarkEnd w:id="53"/>
            <w:r>
              <w:rPr>
                <w:rFonts w:eastAsiaTheme="minorEastAsia"/>
                <w:color w:val="auto"/>
                <w:kern w:val="0"/>
                <w:sz w:val="26"/>
                <w:szCs w:val="26"/>
                <w:highlight w:val="none"/>
                <w:lang w:bidi="ar"/>
              </w:rPr>
              <w:t>、打胶：</w:t>
            </w:r>
          </w:p>
          <w:p w14:paraId="5A458EA3">
            <w:pPr>
              <w:adjustRightInd w:val="0"/>
              <w:snapToGrid w:val="0"/>
              <w:spacing w:line="480" w:lineRule="exact"/>
              <w:ind w:firstLine="536" w:firstLineChars="200"/>
              <w:rPr>
                <w:rFonts w:eastAsiaTheme="minorEastAsia"/>
                <w:color w:val="auto"/>
                <w:spacing w:val="4"/>
                <w:sz w:val="26"/>
                <w:szCs w:val="26"/>
                <w:highlight w:val="none"/>
                <w:shd w:val="clear" w:color="auto" w:fill="FFFFFF"/>
              </w:rPr>
            </w:pPr>
            <w:r>
              <w:rPr>
                <w:rFonts w:eastAsiaTheme="minorEastAsia"/>
                <w:color w:val="auto"/>
                <w:spacing w:val="4"/>
                <w:sz w:val="26"/>
                <w:szCs w:val="26"/>
                <w:highlight w:val="none"/>
                <w:shd w:val="clear" w:color="auto" w:fill="FFFFFF"/>
              </w:rPr>
              <w:t>焊接完成后进行</w:t>
            </w:r>
            <w:bookmarkStart w:id="54" w:name="hmcheck_d67e80a7e2f54421a075c62efd4f9065"/>
            <w:r>
              <w:rPr>
                <w:rFonts w:eastAsiaTheme="minorEastAsia"/>
                <w:color w:val="auto"/>
                <w:spacing w:val="4"/>
                <w:sz w:val="26"/>
                <w:szCs w:val="26"/>
                <w:highlight w:val="none"/>
                <w:shd w:val="clear" w:color="auto" w:fill="FFAFAA"/>
              </w:rPr>
              <w:t>滚边</w:t>
            </w:r>
            <w:bookmarkEnd w:id="54"/>
            <w:r>
              <w:rPr>
                <w:rFonts w:eastAsiaTheme="minorEastAsia"/>
                <w:color w:val="auto"/>
                <w:spacing w:val="4"/>
                <w:sz w:val="26"/>
                <w:szCs w:val="26"/>
                <w:highlight w:val="none"/>
                <w:shd w:val="clear" w:color="auto" w:fill="FFFFFF"/>
              </w:rPr>
              <w:t>，</w:t>
            </w:r>
            <w:bookmarkStart w:id="55" w:name="hmcheck_a38e7849be0b4268a3c004fffe3533d6"/>
            <w:r>
              <w:rPr>
                <w:rFonts w:eastAsiaTheme="minorEastAsia"/>
                <w:color w:val="auto"/>
                <w:spacing w:val="4"/>
                <w:sz w:val="26"/>
                <w:szCs w:val="26"/>
                <w:highlight w:val="none"/>
                <w:shd w:val="clear" w:color="auto" w:fill="FFAFAA"/>
              </w:rPr>
              <w:t>滚边</w:t>
            </w:r>
            <w:bookmarkEnd w:id="55"/>
            <w:r>
              <w:rPr>
                <w:rFonts w:eastAsiaTheme="minorEastAsia"/>
                <w:color w:val="auto"/>
                <w:spacing w:val="4"/>
                <w:sz w:val="26"/>
                <w:szCs w:val="26"/>
                <w:highlight w:val="none"/>
                <w:shd w:val="clear" w:color="auto" w:fill="FFFFFF"/>
              </w:rPr>
              <w:t>是指在焊接件的边缘进行卷边或折边处理，通常用于增加边缘的强度、防止边缘锋利造成伤害，60%</w:t>
            </w:r>
            <w:bookmarkStart w:id="56" w:name="hmcheck_696e65256aac471f9f2b5eaa827ed0dd"/>
            <w:r>
              <w:rPr>
                <w:rFonts w:eastAsiaTheme="minorEastAsia"/>
                <w:color w:val="auto"/>
                <w:spacing w:val="4"/>
                <w:sz w:val="26"/>
                <w:szCs w:val="26"/>
                <w:highlight w:val="none"/>
                <w:shd w:val="clear" w:color="auto" w:fill="FFAFAA"/>
              </w:rPr>
              <w:t>滚边</w:t>
            </w:r>
            <w:bookmarkEnd w:id="56"/>
            <w:r>
              <w:rPr>
                <w:rFonts w:eastAsiaTheme="minorEastAsia"/>
                <w:color w:val="auto"/>
                <w:spacing w:val="4"/>
                <w:sz w:val="26"/>
                <w:szCs w:val="26"/>
                <w:highlight w:val="none"/>
                <w:shd w:val="clear" w:color="auto" w:fill="FFFFFF"/>
              </w:rPr>
              <w:t>区域需要涂覆折边胶，折边胶起到粘连固定作用</w:t>
            </w:r>
            <w:r>
              <w:rPr>
                <w:rFonts w:hint="eastAsia" w:eastAsiaTheme="minorEastAsia"/>
                <w:color w:val="auto"/>
                <w:spacing w:val="4"/>
                <w:sz w:val="26"/>
                <w:szCs w:val="26"/>
                <w:highlight w:val="none"/>
                <w:shd w:val="clear" w:color="auto" w:fill="FFFFFF"/>
              </w:rPr>
              <w:t>，工作时间约600h/a</w:t>
            </w:r>
            <w:r>
              <w:rPr>
                <w:rFonts w:eastAsiaTheme="minorEastAsia"/>
                <w:color w:val="auto"/>
                <w:spacing w:val="4"/>
                <w:sz w:val="26"/>
                <w:szCs w:val="26"/>
                <w:highlight w:val="none"/>
                <w:shd w:val="clear" w:color="auto" w:fill="FFFFFF"/>
              </w:rPr>
              <w:t>。</w:t>
            </w:r>
          </w:p>
          <w:p w14:paraId="6AC7B5DD">
            <w:pPr>
              <w:adjustRightInd w:val="0"/>
              <w:snapToGrid w:val="0"/>
              <w:spacing w:line="480" w:lineRule="exact"/>
              <w:ind w:firstLine="536" w:firstLineChars="200"/>
              <w:rPr>
                <w:rFonts w:eastAsiaTheme="minorEastAsia"/>
                <w:color w:val="auto"/>
                <w:kern w:val="0"/>
                <w:sz w:val="26"/>
                <w:szCs w:val="26"/>
                <w:highlight w:val="none"/>
                <w:lang w:bidi="ar"/>
              </w:rPr>
            </w:pPr>
            <w:r>
              <w:rPr>
                <w:rFonts w:hint="eastAsia" w:eastAsiaTheme="minorEastAsia"/>
                <w:color w:val="auto"/>
                <w:spacing w:val="4"/>
                <w:sz w:val="26"/>
                <w:szCs w:val="26"/>
                <w:highlight w:val="none"/>
                <w:shd w:val="clear" w:color="auto" w:fill="FFFFFF"/>
              </w:rPr>
              <w:t>产污环节：</w:t>
            </w:r>
            <w:r>
              <w:rPr>
                <w:rFonts w:eastAsiaTheme="minorEastAsia"/>
                <w:color w:val="auto"/>
                <w:spacing w:val="4"/>
                <w:sz w:val="26"/>
                <w:szCs w:val="26"/>
                <w:highlight w:val="none"/>
                <w:shd w:val="clear" w:color="auto" w:fill="FFFFFF"/>
              </w:rPr>
              <w:t>此工序产生</w:t>
            </w:r>
            <w:r>
              <w:rPr>
                <w:rFonts w:hint="eastAsia" w:eastAsiaTheme="minorEastAsia"/>
                <w:color w:val="auto"/>
                <w:spacing w:val="4"/>
                <w:sz w:val="26"/>
                <w:szCs w:val="26"/>
                <w:highlight w:val="none"/>
                <w:shd w:val="clear" w:color="auto" w:fill="FFFFFF"/>
              </w:rPr>
              <w:t>打胶废气G4、废胶瓶S5、噪声N等。</w:t>
            </w:r>
          </w:p>
          <w:p w14:paraId="5FE63A0E">
            <w:pPr>
              <w:adjustRightInd w:val="0"/>
              <w:snapToGrid w:val="0"/>
              <w:spacing w:line="480" w:lineRule="exact"/>
              <w:ind w:firstLine="536" w:firstLineChars="200"/>
              <w:rPr>
                <w:rFonts w:eastAsiaTheme="minorEastAsia"/>
                <w:color w:val="auto"/>
                <w:spacing w:val="4"/>
                <w:sz w:val="26"/>
                <w:szCs w:val="26"/>
                <w:highlight w:val="none"/>
                <w:shd w:val="clear" w:color="auto" w:fill="FFFFFF"/>
              </w:rPr>
            </w:pPr>
            <w:r>
              <w:rPr>
                <w:rFonts w:hint="eastAsia" w:eastAsiaTheme="minorEastAsia"/>
                <w:color w:val="auto"/>
                <w:spacing w:val="4"/>
                <w:sz w:val="26"/>
                <w:szCs w:val="26"/>
                <w:highlight w:val="none"/>
                <w:shd w:val="clear" w:color="auto" w:fill="FFFFFF"/>
              </w:rPr>
              <w:t>④</w:t>
            </w:r>
            <w:r>
              <w:rPr>
                <w:rFonts w:eastAsiaTheme="minorEastAsia"/>
                <w:color w:val="auto"/>
                <w:spacing w:val="4"/>
                <w:sz w:val="26"/>
                <w:szCs w:val="26"/>
                <w:highlight w:val="none"/>
                <w:shd w:val="clear" w:color="auto" w:fill="FFFFFF"/>
              </w:rPr>
              <w:t>检测，包装</w:t>
            </w:r>
          </w:p>
          <w:p w14:paraId="2889B8CC">
            <w:pPr>
              <w:adjustRightInd w:val="0"/>
              <w:snapToGrid w:val="0"/>
              <w:spacing w:line="480" w:lineRule="exact"/>
              <w:ind w:firstLine="520" w:firstLineChars="200"/>
              <w:rPr>
                <w:rFonts w:eastAsiaTheme="minorEastAsia"/>
                <w:color w:val="auto"/>
                <w:sz w:val="26"/>
                <w:szCs w:val="26"/>
                <w:highlight w:val="none"/>
              </w:rPr>
            </w:pPr>
            <w:r>
              <w:rPr>
                <w:rFonts w:eastAsiaTheme="minorEastAsia"/>
                <w:color w:val="auto"/>
                <w:sz w:val="26"/>
                <w:szCs w:val="26"/>
                <w:highlight w:val="none"/>
              </w:rPr>
              <w:t>人工查看工件外观，合格品包装入库，不合格产品根据需求采用便携式打磨机对相应位置进行打磨，CO</w:t>
            </w:r>
            <w:r>
              <w:rPr>
                <w:rFonts w:eastAsiaTheme="minorEastAsia"/>
                <w:color w:val="auto"/>
                <w:sz w:val="26"/>
                <w:szCs w:val="26"/>
                <w:highlight w:val="none"/>
                <w:vertAlign w:val="subscript"/>
              </w:rPr>
              <w:t>2</w:t>
            </w:r>
            <w:r>
              <w:rPr>
                <w:rFonts w:eastAsiaTheme="minorEastAsia"/>
                <w:color w:val="auto"/>
                <w:sz w:val="26"/>
                <w:szCs w:val="26"/>
                <w:highlight w:val="none"/>
              </w:rPr>
              <w:t>保护焊采用惰性气体作为保护气体的电弧焊法，打磨及补焊工位不完全固定</w:t>
            </w:r>
            <w:r>
              <w:rPr>
                <w:rFonts w:hint="eastAsia" w:eastAsiaTheme="minorEastAsia"/>
                <w:color w:val="auto"/>
                <w:sz w:val="26"/>
                <w:szCs w:val="26"/>
                <w:highlight w:val="none"/>
              </w:rPr>
              <w:t>，其中打磨工作时间约600h/a、补焊工作时间约1200h/a</w:t>
            </w:r>
            <w:r>
              <w:rPr>
                <w:rFonts w:eastAsiaTheme="minorEastAsia"/>
                <w:color w:val="auto"/>
                <w:sz w:val="26"/>
                <w:szCs w:val="26"/>
                <w:highlight w:val="none"/>
              </w:rPr>
              <w:t>。</w:t>
            </w:r>
          </w:p>
          <w:p w14:paraId="1EF98F83">
            <w:pPr>
              <w:adjustRightInd w:val="0"/>
              <w:snapToGrid w:val="0"/>
              <w:spacing w:line="480" w:lineRule="exact"/>
              <w:ind w:firstLine="520" w:firstLineChars="200"/>
              <w:rPr>
                <w:color w:val="auto"/>
                <w:sz w:val="26"/>
                <w:szCs w:val="26"/>
                <w:highlight w:val="none"/>
              </w:rPr>
            </w:pPr>
            <w:r>
              <w:rPr>
                <w:rFonts w:eastAsiaTheme="minorEastAsia"/>
                <w:color w:val="auto"/>
                <w:sz w:val="26"/>
                <w:szCs w:val="26"/>
                <w:highlight w:val="none"/>
              </w:rPr>
              <w:t>产污环节：该工序会产生打磨粉尘G2、补焊焊接G</w:t>
            </w:r>
            <w:r>
              <w:rPr>
                <w:rFonts w:hint="eastAsia" w:eastAsiaTheme="minorEastAsia"/>
                <w:color w:val="auto"/>
                <w:sz w:val="26"/>
                <w:szCs w:val="26"/>
                <w:highlight w:val="none"/>
              </w:rPr>
              <w:t>5</w:t>
            </w:r>
            <w:r>
              <w:rPr>
                <w:rFonts w:eastAsiaTheme="minorEastAsia"/>
                <w:color w:val="auto"/>
                <w:sz w:val="26"/>
                <w:szCs w:val="26"/>
                <w:highlight w:val="none"/>
              </w:rPr>
              <w:t>、废边角料S2、不合格品S3和噪声N等。</w:t>
            </w:r>
          </w:p>
          <w:p w14:paraId="420336F0">
            <w:pPr>
              <w:spacing w:line="480" w:lineRule="exact"/>
              <w:ind w:firstLine="522" w:firstLineChars="200"/>
              <w:rPr>
                <w:b/>
                <w:bCs/>
                <w:color w:val="auto"/>
                <w:sz w:val="26"/>
                <w:szCs w:val="26"/>
                <w:highlight w:val="none"/>
              </w:rPr>
            </w:pPr>
            <w:r>
              <w:rPr>
                <w:rFonts w:hint="eastAsia"/>
                <w:b/>
                <w:bCs/>
                <w:color w:val="auto"/>
                <w:sz w:val="26"/>
                <w:szCs w:val="26"/>
                <w:highlight w:val="none"/>
              </w:rPr>
              <w:t>（3）模具维护工艺流程</w:t>
            </w:r>
          </w:p>
          <w:p w14:paraId="53D98EEB">
            <w:pPr>
              <w:spacing w:line="480" w:lineRule="exact"/>
              <w:ind w:firstLine="520" w:firstLineChars="200"/>
              <w:rPr>
                <w:color w:val="auto"/>
                <w:sz w:val="26"/>
                <w:szCs w:val="26"/>
                <w:highlight w:val="none"/>
              </w:rPr>
            </w:pPr>
            <w:r>
              <w:rPr>
                <w:rFonts w:hint="eastAsia"/>
                <w:color w:val="auto"/>
                <w:sz w:val="26"/>
                <w:szCs w:val="26"/>
                <w:highlight w:val="none"/>
              </w:rPr>
              <w:t>本项目液压机和冲床用到的模具均为外部定制，本项目不生产模具，但会对模具进行简单日常维护</w:t>
            </w:r>
            <w:r>
              <w:rPr>
                <w:rFonts w:hint="eastAsia"/>
                <w:color w:val="auto"/>
                <w:sz w:val="26"/>
                <w:szCs w:val="26"/>
                <w:highlight w:val="none"/>
                <w:lang w:eastAsia="zh-CN"/>
              </w:rPr>
              <w:t>，维修后模具循环使用</w:t>
            </w:r>
            <w:r>
              <w:rPr>
                <w:rFonts w:hint="eastAsia"/>
                <w:color w:val="auto"/>
                <w:sz w:val="26"/>
                <w:szCs w:val="26"/>
                <w:highlight w:val="none"/>
              </w:rPr>
              <w:t>。根据建设单位提供资料，本项目模具维修主要为更换配件更换；部分模具需采用乙炔烘烤局部加热以消除内应力，乙炔燃烧主要生成CO</w:t>
            </w:r>
            <w:r>
              <w:rPr>
                <w:rFonts w:hint="eastAsia"/>
                <w:color w:val="auto"/>
                <w:sz w:val="26"/>
                <w:szCs w:val="26"/>
                <w:highlight w:val="none"/>
                <w:vertAlign w:val="subscript"/>
              </w:rPr>
              <w:t>2</w:t>
            </w:r>
            <w:r>
              <w:rPr>
                <w:rFonts w:hint="eastAsia"/>
                <w:color w:val="auto"/>
                <w:sz w:val="26"/>
                <w:szCs w:val="26"/>
                <w:highlight w:val="none"/>
              </w:rPr>
              <w:t>和水蒸气。模具使用过程中无需用水清洗，表面脏污时采用抹布擦拭。</w:t>
            </w:r>
          </w:p>
          <w:p w14:paraId="313883CE">
            <w:pPr>
              <w:spacing w:line="480" w:lineRule="exact"/>
              <w:ind w:firstLine="520" w:firstLineChars="200"/>
              <w:rPr>
                <w:color w:val="auto"/>
                <w:sz w:val="26"/>
                <w:szCs w:val="26"/>
                <w:highlight w:val="none"/>
              </w:rPr>
            </w:pPr>
            <w:r>
              <w:rPr>
                <w:rFonts w:hint="eastAsia"/>
                <w:color w:val="auto"/>
                <w:sz w:val="26"/>
                <w:szCs w:val="26"/>
                <w:highlight w:val="none"/>
              </w:rPr>
              <w:t>产污环节：该过程会产生废模具维护耗材S6、废含油抹布S7及噪声N等。</w:t>
            </w:r>
          </w:p>
          <w:p w14:paraId="28738293">
            <w:pPr>
              <w:spacing w:line="480" w:lineRule="exact"/>
              <w:ind w:firstLine="522" w:firstLineChars="200"/>
              <w:rPr>
                <w:b/>
                <w:bCs/>
                <w:color w:val="auto"/>
                <w:sz w:val="26"/>
                <w:szCs w:val="26"/>
                <w:highlight w:val="none"/>
              </w:rPr>
            </w:pPr>
            <w:r>
              <w:rPr>
                <w:rFonts w:hint="eastAsia"/>
                <w:b/>
                <w:bCs/>
                <w:color w:val="auto"/>
                <w:sz w:val="26"/>
                <w:szCs w:val="26"/>
                <w:highlight w:val="none"/>
              </w:rPr>
              <w:t>（4）其他产排污环节识别</w:t>
            </w:r>
          </w:p>
          <w:p w14:paraId="7EFC140C">
            <w:pPr>
              <w:spacing w:line="480" w:lineRule="exact"/>
              <w:ind w:firstLine="520" w:firstLineChars="200"/>
              <w:rPr>
                <w:color w:val="auto"/>
                <w:sz w:val="26"/>
                <w:szCs w:val="26"/>
                <w:highlight w:val="none"/>
              </w:rPr>
            </w:pPr>
            <w:r>
              <w:rPr>
                <w:color w:val="auto"/>
                <w:sz w:val="26"/>
                <w:szCs w:val="26"/>
                <w:highlight w:val="none"/>
              </w:rPr>
              <w:t>①</w:t>
            </w:r>
            <w:r>
              <w:rPr>
                <w:rFonts w:hint="eastAsia"/>
                <w:color w:val="auto"/>
                <w:sz w:val="26"/>
                <w:szCs w:val="26"/>
                <w:highlight w:val="none"/>
              </w:rPr>
              <w:t>车间地面拖洗：本项目车间地面不冲洗，每个月进行一次拖地，产生地面拖洗废水W2。</w:t>
            </w:r>
          </w:p>
          <w:p w14:paraId="565DF6CD">
            <w:pPr>
              <w:spacing w:line="480" w:lineRule="exact"/>
              <w:ind w:firstLine="520" w:firstLineChars="200"/>
              <w:rPr>
                <w:color w:val="auto"/>
                <w:sz w:val="26"/>
                <w:szCs w:val="26"/>
                <w:highlight w:val="none"/>
              </w:rPr>
            </w:pPr>
            <w:r>
              <w:rPr>
                <w:color w:val="auto"/>
                <w:sz w:val="26"/>
                <w:szCs w:val="26"/>
                <w:highlight w:val="none"/>
              </w:rPr>
              <w:t>②</w:t>
            </w:r>
            <w:r>
              <w:rPr>
                <w:rFonts w:hint="eastAsia"/>
                <w:color w:val="auto"/>
                <w:sz w:val="26"/>
                <w:szCs w:val="26"/>
                <w:highlight w:val="none"/>
              </w:rPr>
              <w:t>设备维护保养：根据建设单位提供资料，本项目使用高品质液压油，根据实际情况不定期补充，使用周期较长，一般</w:t>
            </w:r>
            <w:r>
              <w:rPr>
                <w:rFonts w:hint="eastAsia"/>
                <w:color w:val="auto"/>
                <w:sz w:val="26"/>
                <w:szCs w:val="26"/>
                <w:highlight w:val="none"/>
                <w:lang w:eastAsia="zh-CN"/>
              </w:rPr>
              <w:t>一年</w:t>
            </w:r>
            <w:r>
              <w:rPr>
                <w:rFonts w:hint="eastAsia"/>
                <w:color w:val="auto"/>
                <w:sz w:val="26"/>
                <w:szCs w:val="26"/>
                <w:highlight w:val="none"/>
              </w:rPr>
              <w:t>更换</w:t>
            </w:r>
            <w:r>
              <w:rPr>
                <w:rFonts w:hint="eastAsia"/>
                <w:color w:val="auto"/>
                <w:sz w:val="26"/>
                <w:szCs w:val="26"/>
                <w:highlight w:val="none"/>
                <w:lang w:eastAsia="zh-CN"/>
              </w:rPr>
              <w:t>两</w:t>
            </w:r>
            <w:r>
              <w:rPr>
                <w:rFonts w:hint="eastAsia"/>
                <w:color w:val="auto"/>
                <w:sz w:val="26"/>
                <w:szCs w:val="26"/>
                <w:highlight w:val="none"/>
              </w:rPr>
              <w:t>次。设备维护保养及液压油更换过程中会产生废液压油S8，废润滑油S9，废含油棉纱、手套S10等。</w:t>
            </w:r>
          </w:p>
          <w:p w14:paraId="66AB0DA9">
            <w:pPr>
              <w:spacing w:line="480" w:lineRule="exact"/>
              <w:ind w:firstLine="520" w:firstLineChars="200"/>
              <w:rPr>
                <w:color w:val="auto"/>
                <w:sz w:val="26"/>
                <w:szCs w:val="26"/>
                <w:highlight w:val="none"/>
              </w:rPr>
            </w:pPr>
            <w:r>
              <w:rPr>
                <w:color w:val="auto"/>
                <w:sz w:val="26"/>
                <w:szCs w:val="26"/>
                <w:highlight w:val="none"/>
              </w:rPr>
              <w:t>③</w:t>
            </w:r>
            <w:r>
              <w:rPr>
                <w:rFonts w:hint="eastAsia"/>
                <w:color w:val="auto"/>
                <w:sz w:val="26"/>
                <w:szCs w:val="26"/>
                <w:highlight w:val="none"/>
              </w:rPr>
              <w:t>辅料使用：液压油、润滑油等辅料使用过程中产生废油桶等废包装容器S11，焊丝等产品使用过程中产生废包装材料S1，各类气体使用过程中产生空气瓶返回厂家作原始用途，故本次评价不作为固体废物管理。</w:t>
            </w:r>
          </w:p>
          <w:p w14:paraId="4B65418D">
            <w:pPr>
              <w:spacing w:line="480" w:lineRule="exact"/>
              <w:ind w:firstLine="520" w:firstLineChars="200"/>
              <w:rPr>
                <w:color w:val="auto"/>
                <w:sz w:val="26"/>
                <w:szCs w:val="26"/>
                <w:highlight w:val="none"/>
              </w:rPr>
            </w:pPr>
            <w:r>
              <w:rPr>
                <w:rFonts w:hint="eastAsia"/>
                <w:color w:val="auto"/>
                <w:sz w:val="26"/>
                <w:szCs w:val="26"/>
                <w:highlight w:val="none"/>
              </w:rPr>
              <w:t>④废气、废水治理工艺：项目切割、焊接烟尘采用滤芯处理器，废气处理过程会产生废滤芯S</w:t>
            </w:r>
            <w:r>
              <w:rPr>
                <w:rFonts w:hint="eastAsia"/>
                <w:color w:val="auto"/>
                <w:sz w:val="26"/>
                <w:szCs w:val="26"/>
                <w:highlight w:val="none"/>
                <w:lang w:val="en-US" w:eastAsia="zh-CN"/>
              </w:rPr>
              <w:t>12</w:t>
            </w:r>
            <w:r>
              <w:rPr>
                <w:rFonts w:hint="eastAsia"/>
                <w:color w:val="auto"/>
                <w:sz w:val="26"/>
                <w:szCs w:val="26"/>
                <w:highlight w:val="none"/>
              </w:rPr>
              <w:t>、除尘灰S</w:t>
            </w:r>
            <w:r>
              <w:rPr>
                <w:rFonts w:hint="eastAsia"/>
                <w:color w:val="auto"/>
                <w:sz w:val="26"/>
                <w:szCs w:val="26"/>
                <w:highlight w:val="none"/>
                <w:lang w:val="en-US" w:eastAsia="zh-CN"/>
              </w:rPr>
              <w:t>13</w:t>
            </w:r>
            <w:r>
              <w:rPr>
                <w:rFonts w:hint="eastAsia"/>
                <w:color w:val="auto"/>
                <w:sz w:val="26"/>
                <w:szCs w:val="26"/>
                <w:highlight w:val="none"/>
              </w:rPr>
              <w:t>。废水生化处理过程会产生生化污泥S</w:t>
            </w:r>
            <w:r>
              <w:rPr>
                <w:rFonts w:hint="eastAsia"/>
                <w:color w:val="auto"/>
                <w:sz w:val="26"/>
                <w:szCs w:val="26"/>
                <w:highlight w:val="none"/>
                <w:lang w:val="en-US" w:eastAsia="zh-CN"/>
              </w:rPr>
              <w:t>14</w:t>
            </w:r>
            <w:r>
              <w:rPr>
                <w:rFonts w:hint="eastAsia"/>
                <w:color w:val="auto"/>
                <w:sz w:val="26"/>
                <w:szCs w:val="26"/>
                <w:highlight w:val="none"/>
              </w:rPr>
              <w:t>、噪声N。</w:t>
            </w:r>
          </w:p>
          <w:p w14:paraId="023C5AF1">
            <w:pPr>
              <w:spacing w:line="480" w:lineRule="exact"/>
              <w:ind w:firstLine="520" w:firstLineChars="200"/>
              <w:rPr>
                <w:rFonts w:hint="eastAsia"/>
                <w:color w:val="auto"/>
                <w:sz w:val="26"/>
                <w:szCs w:val="26"/>
                <w:highlight w:val="none"/>
              </w:rPr>
            </w:pPr>
            <w:r>
              <w:rPr>
                <w:rFonts w:hint="eastAsia"/>
                <w:color w:val="auto"/>
                <w:sz w:val="26"/>
                <w:szCs w:val="26"/>
                <w:highlight w:val="none"/>
              </w:rPr>
              <w:t>⑤工作人员办公生活：产生生活污水W3、生活垃圾S</w:t>
            </w:r>
            <w:r>
              <w:rPr>
                <w:rFonts w:hint="eastAsia"/>
                <w:color w:val="auto"/>
                <w:sz w:val="26"/>
                <w:szCs w:val="26"/>
                <w:highlight w:val="none"/>
                <w:lang w:val="en-US" w:eastAsia="zh-CN"/>
              </w:rPr>
              <w:t>15</w:t>
            </w:r>
            <w:r>
              <w:rPr>
                <w:rFonts w:hint="eastAsia"/>
                <w:color w:val="auto"/>
                <w:sz w:val="26"/>
                <w:szCs w:val="26"/>
                <w:highlight w:val="none"/>
              </w:rPr>
              <w:t>。</w:t>
            </w:r>
          </w:p>
          <w:p w14:paraId="0A46C35F">
            <w:pPr>
              <w:spacing w:line="480" w:lineRule="exact"/>
              <w:ind w:firstLine="520" w:firstLineChars="200"/>
              <w:rPr>
                <w:rFonts w:hint="default" w:eastAsia="宋体"/>
                <w:color w:val="auto"/>
                <w:sz w:val="26"/>
                <w:szCs w:val="26"/>
                <w:highlight w:val="none"/>
                <w:lang w:val="en-US" w:eastAsia="zh-CN"/>
              </w:rPr>
            </w:pPr>
            <w:r>
              <w:rPr>
                <w:rFonts w:hint="eastAsia" w:ascii="Times New Roman" w:hAnsi="Times New Roman" w:eastAsia="宋体" w:cs="Times New Roman"/>
                <w:color w:val="auto"/>
                <w:sz w:val="26"/>
                <w:szCs w:val="26"/>
                <w:highlight w:val="none"/>
              </w:rPr>
              <w:t>⑥</w:t>
            </w:r>
            <w:r>
              <w:rPr>
                <w:rFonts w:hint="eastAsia" w:eastAsia="宋体"/>
                <w:color w:val="auto"/>
                <w:sz w:val="26"/>
                <w:szCs w:val="26"/>
                <w:highlight w:val="none"/>
                <w:lang w:eastAsia="zh-CN"/>
              </w:rPr>
              <w:t>空压机</w:t>
            </w:r>
            <w:r>
              <w:rPr>
                <w:rFonts w:hint="eastAsia"/>
                <w:color w:val="auto"/>
                <w:sz w:val="26"/>
                <w:szCs w:val="26"/>
                <w:highlight w:val="none"/>
                <w:lang w:eastAsia="zh-CN"/>
              </w:rPr>
              <w:t>：空压机</w:t>
            </w:r>
            <w:r>
              <w:rPr>
                <w:rFonts w:hint="eastAsia" w:eastAsia="宋体"/>
                <w:color w:val="auto"/>
                <w:sz w:val="26"/>
                <w:szCs w:val="26"/>
                <w:highlight w:val="none"/>
                <w:lang w:eastAsia="zh-CN"/>
              </w:rPr>
              <w:t>空气压缩过程会产生少量的冷凝水</w:t>
            </w:r>
            <w:r>
              <w:rPr>
                <w:rFonts w:hint="eastAsia"/>
                <w:color w:val="auto"/>
                <w:sz w:val="26"/>
                <w:szCs w:val="26"/>
                <w:highlight w:val="none"/>
                <w:lang w:eastAsia="zh-CN"/>
              </w:rPr>
              <w:t>，产生少量含油废液</w:t>
            </w:r>
            <w:r>
              <w:rPr>
                <w:rFonts w:hint="eastAsia"/>
                <w:color w:val="auto"/>
                <w:sz w:val="26"/>
                <w:szCs w:val="26"/>
                <w:highlight w:val="none"/>
                <w:lang w:val="en-US" w:eastAsia="zh-CN"/>
              </w:rPr>
              <w:t>S16。</w:t>
            </w:r>
          </w:p>
          <w:p w14:paraId="161A3524">
            <w:pPr>
              <w:keepNext/>
              <w:keepLines/>
              <w:autoSpaceDE w:val="0"/>
              <w:autoSpaceDN w:val="0"/>
              <w:adjustRightInd w:val="0"/>
              <w:snapToGrid w:val="0"/>
              <w:spacing w:line="480" w:lineRule="exact"/>
              <w:ind w:firstLine="520" w:firstLineChars="200"/>
              <w:textAlignment w:val="baseline"/>
              <w:rPr>
                <w:color w:val="auto"/>
                <w:kern w:val="0"/>
                <w:sz w:val="26"/>
                <w:szCs w:val="26"/>
                <w:highlight w:val="none"/>
              </w:rPr>
            </w:pPr>
            <w:r>
              <w:rPr>
                <w:color w:val="auto"/>
                <w:kern w:val="0"/>
                <w:sz w:val="26"/>
                <w:szCs w:val="26"/>
                <w:highlight w:val="none"/>
              </w:rPr>
              <w:t>综上，本项目</w:t>
            </w:r>
            <w:r>
              <w:rPr>
                <w:rFonts w:hint="eastAsia"/>
                <w:color w:val="auto"/>
                <w:kern w:val="0"/>
                <w:sz w:val="26"/>
                <w:szCs w:val="26"/>
                <w:highlight w:val="none"/>
              </w:rPr>
              <w:t>运营期</w:t>
            </w:r>
            <w:r>
              <w:rPr>
                <w:color w:val="auto"/>
                <w:kern w:val="0"/>
                <w:sz w:val="26"/>
                <w:szCs w:val="26"/>
                <w:highlight w:val="none"/>
              </w:rPr>
              <w:t>主要污染源及污染因子识别详见下表。</w:t>
            </w:r>
          </w:p>
          <w:p w14:paraId="49461524">
            <w:pPr>
              <w:keepNext/>
              <w:keepLines/>
              <w:autoSpaceDE w:val="0"/>
              <w:autoSpaceDN w:val="0"/>
              <w:adjustRightInd w:val="0"/>
              <w:snapToGrid w:val="0"/>
              <w:ind w:firstLine="520" w:firstLineChars="200"/>
              <w:textAlignment w:val="baseline"/>
              <w:rPr>
                <w:color w:val="auto"/>
                <w:kern w:val="0"/>
                <w:sz w:val="26"/>
                <w:szCs w:val="26"/>
                <w:highlight w:val="none"/>
              </w:rPr>
            </w:pPr>
          </w:p>
          <w:p w14:paraId="245D4FF0">
            <w:pPr>
              <w:keepNext/>
              <w:keepLines/>
              <w:autoSpaceDE w:val="0"/>
              <w:autoSpaceDN w:val="0"/>
              <w:adjustRightInd w:val="0"/>
              <w:snapToGrid w:val="0"/>
              <w:jc w:val="center"/>
              <w:textAlignment w:val="baseline"/>
              <w:rPr>
                <w:bCs/>
                <w:color w:val="auto"/>
                <w:kern w:val="0"/>
                <w:sz w:val="26"/>
                <w:szCs w:val="26"/>
                <w:highlight w:val="none"/>
              </w:rPr>
            </w:pPr>
            <w:r>
              <w:rPr>
                <w:bCs/>
                <w:color w:val="auto"/>
                <w:kern w:val="0"/>
                <w:sz w:val="26"/>
                <w:szCs w:val="26"/>
                <w:highlight w:val="none"/>
              </w:rPr>
              <w:t>表2.11-1  主要污染源及产污因子识别</w:t>
            </w:r>
          </w:p>
          <w:tbl>
            <w:tblPr>
              <w:tblStyle w:val="16"/>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1635"/>
              <w:gridCol w:w="1080"/>
              <w:gridCol w:w="2160"/>
              <w:gridCol w:w="2949"/>
            </w:tblGrid>
            <w:tr w14:paraId="04EC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Align w:val="center"/>
                </w:tcPr>
                <w:p w14:paraId="0A1BA15F">
                  <w:pPr>
                    <w:adjustRightInd w:val="0"/>
                    <w:snapToGrid w:val="0"/>
                    <w:jc w:val="center"/>
                    <w:rPr>
                      <w:color w:val="auto"/>
                      <w:szCs w:val="21"/>
                      <w:highlight w:val="none"/>
                    </w:rPr>
                  </w:pPr>
                  <w:r>
                    <w:rPr>
                      <w:color w:val="auto"/>
                      <w:szCs w:val="21"/>
                      <w:highlight w:val="none"/>
                    </w:rPr>
                    <w:t>类别</w:t>
                  </w:r>
                </w:p>
              </w:tc>
              <w:tc>
                <w:tcPr>
                  <w:tcW w:w="1635" w:type="dxa"/>
                  <w:vAlign w:val="center"/>
                </w:tcPr>
                <w:p w14:paraId="22B7522F">
                  <w:pPr>
                    <w:adjustRightInd w:val="0"/>
                    <w:snapToGrid w:val="0"/>
                    <w:jc w:val="center"/>
                    <w:rPr>
                      <w:color w:val="auto"/>
                      <w:szCs w:val="21"/>
                      <w:highlight w:val="none"/>
                    </w:rPr>
                  </w:pPr>
                  <w:r>
                    <w:rPr>
                      <w:color w:val="auto"/>
                      <w:szCs w:val="21"/>
                      <w:highlight w:val="none"/>
                    </w:rPr>
                    <w:t>污染物</w:t>
                  </w:r>
                </w:p>
              </w:tc>
              <w:tc>
                <w:tcPr>
                  <w:tcW w:w="1080" w:type="dxa"/>
                  <w:vAlign w:val="center"/>
                </w:tcPr>
                <w:p w14:paraId="4BA32DF5">
                  <w:pPr>
                    <w:adjustRightInd w:val="0"/>
                    <w:snapToGrid w:val="0"/>
                    <w:jc w:val="center"/>
                    <w:rPr>
                      <w:color w:val="auto"/>
                      <w:szCs w:val="21"/>
                      <w:highlight w:val="none"/>
                    </w:rPr>
                  </w:pPr>
                  <w:r>
                    <w:rPr>
                      <w:color w:val="auto"/>
                      <w:szCs w:val="21"/>
                      <w:highlight w:val="none"/>
                    </w:rPr>
                    <w:t>产污工序</w:t>
                  </w:r>
                </w:p>
              </w:tc>
              <w:tc>
                <w:tcPr>
                  <w:tcW w:w="2160" w:type="dxa"/>
                  <w:vAlign w:val="center"/>
                </w:tcPr>
                <w:p w14:paraId="42385F7E">
                  <w:pPr>
                    <w:adjustRightInd w:val="0"/>
                    <w:snapToGrid w:val="0"/>
                    <w:jc w:val="center"/>
                    <w:rPr>
                      <w:color w:val="auto"/>
                      <w:szCs w:val="21"/>
                      <w:highlight w:val="none"/>
                    </w:rPr>
                  </w:pPr>
                  <w:r>
                    <w:rPr>
                      <w:color w:val="auto"/>
                      <w:szCs w:val="21"/>
                      <w:highlight w:val="none"/>
                    </w:rPr>
                    <w:t>主要成分</w:t>
                  </w:r>
                </w:p>
              </w:tc>
              <w:tc>
                <w:tcPr>
                  <w:tcW w:w="2949" w:type="dxa"/>
                  <w:vAlign w:val="center"/>
                </w:tcPr>
                <w:p w14:paraId="1A10DCC0">
                  <w:pPr>
                    <w:adjustRightInd w:val="0"/>
                    <w:snapToGrid w:val="0"/>
                    <w:jc w:val="center"/>
                    <w:rPr>
                      <w:color w:val="auto"/>
                      <w:szCs w:val="21"/>
                      <w:highlight w:val="none"/>
                    </w:rPr>
                  </w:pPr>
                  <w:r>
                    <w:rPr>
                      <w:color w:val="auto"/>
                      <w:szCs w:val="21"/>
                      <w:highlight w:val="none"/>
                    </w:rPr>
                    <w:t>治理措施</w:t>
                  </w:r>
                </w:p>
              </w:tc>
            </w:tr>
            <w:tr w14:paraId="062A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restart"/>
                  <w:vAlign w:val="center"/>
                </w:tcPr>
                <w:p w14:paraId="65897879">
                  <w:pPr>
                    <w:adjustRightInd w:val="0"/>
                    <w:snapToGrid w:val="0"/>
                    <w:jc w:val="center"/>
                    <w:rPr>
                      <w:color w:val="auto"/>
                      <w:szCs w:val="21"/>
                      <w:highlight w:val="none"/>
                    </w:rPr>
                  </w:pPr>
                  <w:r>
                    <w:rPr>
                      <w:rFonts w:hint="eastAsia"/>
                      <w:color w:val="auto"/>
                      <w:szCs w:val="21"/>
                      <w:highlight w:val="none"/>
                    </w:rPr>
                    <w:t>废水</w:t>
                  </w:r>
                </w:p>
              </w:tc>
              <w:tc>
                <w:tcPr>
                  <w:tcW w:w="1635" w:type="dxa"/>
                  <w:vAlign w:val="center"/>
                </w:tcPr>
                <w:p w14:paraId="6CF5AD6A">
                  <w:pPr>
                    <w:adjustRightInd w:val="0"/>
                    <w:snapToGrid w:val="0"/>
                    <w:jc w:val="center"/>
                    <w:rPr>
                      <w:color w:val="auto"/>
                      <w:szCs w:val="21"/>
                      <w:highlight w:val="none"/>
                    </w:rPr>
                  </w:pPr>
                  <w:r>
                    <w:rPr>
                      <w:rFonts w:hint="eastAsia"/>
                      <w:color w:val="auto"/>
                      <w:szCs w:val="21"/>
                      <w:highlight w:val="none"/>
                    </w:rPr>
                    <w:t>冷却循环水更换废水W1</w:t>
                  </w:r>
                </w:p>
              </w:tc>
              <w:tc>
                <w:tcPr>
                  <w:tcW w:w="1080" w:type="dxa"/>
                  <w:vAlign w:val="center"/>
                </w:tcPr>
                <w:p w14:paraId="3DC6172D">
                  <w:pPr>
                    <w:adjustRightInd w:val="0"/>
                    <w:snapToGrid w:val="0"/>
                    <w:jc w:val="center"/>
                    <w:rPr>
                      <w:color w:val="auto"/>
                      <w:szCs w:val="21"/>
                      <w:highlight w:val="none"/>
                    </w:rPr>
                  </w:pPr>
                  <w:r>
                    <w:rPr>
                      <w:rFonts w:hint="eastAsia"/>
                      <w:color w:val="auto"/>
                      <w:szCs w:val="21"/>
                      <w:highlight w:val="none"/>
                    </w:rPr>
                    <w:t>液压机间接冷却</w:t>
                  </w:r>
                </w:p>
              </w:tc>
              <w:tc>
                <w:tcPr>
                  <w:tcW w:w="2160" w:type="dxa"/>
                  <w:vAlign w:val="center"/>
                </w:tcPr>
                <w:p w14:paraId="2815C73A">
                  <w:pPr>
                    <w:adjustRightInd w:val="0"/>
                    <w:snapToGrid w:val="0"/>
                    <w:jc w:val="center"/>
                    <w:rPr>
                      <w:rFonts w:hint="eastAsia" w:eastAsia="宋体"/>
                      <w:color w:val="auto"/>
                      <w:szCs w:val="21"/>
                      <w:highlight w:val="none"/>
                      <w:lang w:eastAsia="zh-CN"/>
                    </w:rPr>
                  </w:pPr>
                  <w:r>
                    <w:rPr>
                      <w:rFonts w:hint="eastAsia"/>
                      <w:color w:val="auto"/>
                      <w:szCs w:val="21"/>
                      <w:highlight w:val="none"/>
                    </w:rPr>
                    <w:t>pH、COD、SS</w:t>
                  </w:r>
                  <w:r>
                    <w:rPr>
                      <w:rFonts w:hint="eastAsia"/>
                      <w:color w:val="auto"/>
                      <w:szCs w:val="21"/>
                      <w:highlight w:val="none"/>
                      <w:lang w:eastAsia="zh-CN"/>
                    </w:rPr>
                    <w:t>、少量石油类</w:t>
                  </w:r>
                </w:p>
              </w:tc>
              <w:tc>
                <w:tcPr>
                  <w:tcW w:w="2949" w:type="dxa"/>
                  <w:vMerge w:val="restart"/>
                  <w:vAlign w:val="center"/>
                </w:tcPr>
                <w:p w14:paraId="1F4D4C00">
                  <w:pPr>
                    <w:adjustRightInd w:val="0"/>
                    <w:snapToGrid w:val="0"/>
                    <w:jc w:val="center"/>
                    <w:rPr>
                      <w:color w:val="auto"/>
                      <w:szCs w:val="21"/>
                      <w:highlight w:val="none"/>
                    </w:rPr>
                  </w:pPr>
                  <w:r>
                    <w:rPr>
                      <w:rFonts w:hint="eastAsia"/>
                      <w:color w:val="auto"/>
                      <w:szCs w:val="21"/>
                      <w:highlight w:val="none"/>
                    </w:rPr>
                    <w:t>利用厂区已建综合</w:t>
                  </w:r>
                  <w:r>
                    <w:rPr>
                      <w:color w:val="auto"/>
                      <w:szCs w:val="21"/>
                      <w:highlight w:val="none"/>
                    </w:rPr>
                    <w:t>生化池处理</w:t>
                  </w:r>
                  <w:r>
                    <w:rPr>
                      <w:rFonts w:hint="eastAsia"/>
                      <w:color w:val="auto"/>
                      <w:szCs w:val="21"/>
                      <w:highlight w:val="none"/>
                    </w:rPr>
                    <w:t>，采用“格栅+初沉+厌氧”的处理工艺</w:t>
                  </w:r>
                </w:p>
              </w:tc>
            </w:tr>
            <w:tr w14:paraId="59C81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vAlign w:val="center"/>
                </w:tcPr>
                <w:p w14:paraId="6013B1DB">
                  <w:pPr>
                    <w:adjustRightInd w:val="0"/>
                    <w:snapToGrid w:val="0"/>
                    <w:jc w:val="center"/>
                    <w:rPr>
                      <w:color w:val="auto"/>
                      <w:szCs w:val="21"/>
                      <w:highlight w:val="none"/>
                    </w:rPr>
                  </w:pPr>
                </w:p>
              </w:tc>
              <w:tc>
                <w:tcPr>
                  <w:tcW w:w="1635" w:type="dxa"/>
                  <w:vAlign w:val="center"/>
                </w:tcPr>
                <w:p w14:paraId="6C938793">
                  <w:pPr>
                    <w:adjustRightInd w:val="0"/>
                    <w:snapToGrid w:val="0"/>
                    <w:jc w:val="center"/>
                    <w:rPr>
                      <w:color w:val="auto"/>
                      <w:szCs w:val="21"/>
                      <w:highlight w:val="none"/>
                    </w:rPr>
                  </w:pPr>
                  <w:r>
                    <w:rPr>
                      <w:rFonts w:hint="eastAsia"/>
                      <w:color w:val="auto"/>
                      <w:szCs w:val="21"/>
                      <w:highlight w:val="none"/>
                    </w:rPr>
                    <w:t>地面拖洗废水W2</w:t>
                  </w:r>
                </w:p>
              </w:tc>
              <w:tc>
                <w:tcPr>
                  <w:tcW w:w="1080" w:type="dxa"/>
                  <w:vAlign w:val="center"/>
                </w:tcPr>
                <w:p w14:paraId="3B9B029C">
                  <w:pPr>
                    <w:adjustRightInd w:val="0"/>
                    <w:snapToGrid w:val="0"/>
                    <w:jc w:val="center"/>
                    <w:rPr>
                      <w:color w:val="auto"/>
                      <w:szCs w:val="21"/>
                      <w:highlight w:val="none"/>
                    </w:rPr>
                  </w:pPr>
                  <w:r>
                    <w:rPr>
                      <w:rFonts w:hint="eastAsia"/>
                      <w:color w:val="auto"/>
                      <w:szCs w:val="21"/>
                      <w:highlight w:val="none"/>
                    </w:rPr>
                    <w:t>车间地面清洁</w:t>
                  </w:r>
                </w:p>
              </w:tc>
              <w:tc>
                <w:tcPr>
                  <w:tcW w:w="2160" w:type="dxa"/>
                  <w:vAlign w:val="center"/>
                </w:tcPr>
                <w:p w14:paraId="4E15D87F">
                  <w:pPr>
                    <w:adjustRightInd w:val="0"/>
                    <w:snapToGrid w:val="0"/>
                    <w:jc w:val="center"/>
                    <w:rPr>
                      <w:color w:val="auto"/>
                      <w:szCs w:val="21"/>
                      <w:highlight w:val="none"/>
                    </w:rPr>
                  </w:pPr>
                  <w:r>
                    <w:rPr>
                      <w:rFonts w:hint="eastAsia"/>
                      <w:color w:val="auto"/>
                      <w:szCs w:val="21"/>
                      <w:highlight w:val="none"/>
                    </w:rPr>
                    <w:t>pH、COD、SS、少量石油类</w:t>
                  </w:r>
                </w:p>
              </w:tc>
              <w:tc>
                <w:tcPr>
                  <w:tcW w:w="2949" w:type="dxa"/>
                  <w:vMerge w:val="continue"/>
                  <w:vAlign w:val="center"/>
                </w:tcPr>
                <w:p w14:paraId="3338B060">
                  <w:pPr>
                    <w:adjustRightInd w:val="0"/>
                    <w:snapToGrid w:val="0"/>
                    <w:jc w:val="center"/>
                    <w:rPr>
                      <w:color w:val="auto"/>
                      <w:szCs w:val="21"/>
                      <w:highlight w:val="none"/>
                    </w:rPr>
                  </w:pPr>
                </w:p>
              </w:tc>
            </w:tr>
            <w:tr w14:paraId="6B44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vAlign w:val="center"/>
                </w:tcPr>
                <w:p w14:paraId="3E10147D">
                  <w:pPr>
                    <w:adjustRightInd w:val="0"/>
                    <w:snapToGrid w:val="0"/>
                    <w:jc w:val="center"/>
                    <w:rPr>
                      <w:color w:val="auto"/>
                      <w:szCs w:val="21"/>
                      <w:highlight w:val="none"/>
                    </w:rPr>
                  </w:pPr>
                </w:p>
              </w:tc>
              <w:tc>
                <w:tcPr>
                  <w:tcW w:w="1635" w:type="dxa"/>
                  <w:vAlign w:val="center"/>
                </w:tcPr>
                <w:p w14:paraId="1749163E">
                  <w:pPr>
                    <w:adjustRightInd w:val="0"/>
                    <w:snapToGrid w:val="0"/>
                    <w:jc w:val="center"/>
                    <w:rPr>
                      <w:color w:val="auto"/>
                      <w:szCs w:val="21"/>
                      <w:highlight w:val="none"/>
                    </w:rPr>
                  </w:pPr>
                  <w:r>
                    <w:rPr>
                      <w:color w:val="auto"/>
                      <w:szCs w:val="21"/>
                      <w:highlight w:val="none"/>
                    </w:rPr>
                    <w:t>生活污水</w:t>
                  </w:r>
                  <w:r>
                    <w:rPr>
                      <w:rFonts w:hint="eastAsia"/>
                      <w:color w:val="auto"/>
                      <w:szCs w:val="21"/>
                      <w:highlight w:val="none"/>
                    </w:rPr>
                    <w:t>W3</w:t>
                  </w:r>
                </w:p>
              </w:tc>
              <w:tc>
                <w:tcPr>
                  <w:tcW w:w="1080" w:type="dxa"/>
                  <w:vAlign w:val="center"/>
                </w:tcPr>
                <w:p w14:paraId="43032EC1">
                  <w:pPr>
                    <w:adjustRightInd w:val="0"/>
                    <w:snapToGrid w:val="0"/>
                    <w:jc w:val="center"/>
                    <w:rPr>
                      <w:color w:val="auto"/>
                      <w:szCs w:val="21"/>
                      <w:highlight w:val="none"/>
                    </w:rPr>
                  </w:pPr>
                  <w:r>
                    <w:rPr>
                      <w:color w:val="auto"/>
                      <w:szCs w:val="21"/>
                      <w:highlight w:val="none"/>
                    </w:rPr>
                    <w:t>/</w:t>
                  </w:r>
                </w:p>
              </w:tc>
              <w:tc>
                <w:tcPr>
                  <w:tcW w:w="2160" w:type="dxa"/>
                  <w:vAlign w:val="center"/>
                </w:tcPr>
                <w:p w14:paraId="437418D8">
                  <w:pPr>
                    <w:adjustRightInd w:val="0"/>
                    <w:snapToGrid w:val="0"/>
                    <w:jc w:val="center"/>
                    <w:rPr>
                      <w:color w:val="auto"/>
                      <w:szCs w:val="21"/>
                      <w:highlight w:val="none"/>
                    </w:rPr>
                  </w:pPr>
                  <w:r>
                    <w:rPr>
                      <w:color w:val="auto"/>
                      <w:szCs w:val="22"/>
                      <w:highlight w:val="none"/>
                    </w:rPr>
                    <w:t>pH、COD、BOD</w:t>
                  </w:r>
                  <w:r>
                    <w:rPr>
                      <w:color w:val="auto"/>
                      <w:szCs w:val="22"/>
                      <w:highlight w:val="none"/>
                      <w:vertAlign w:val="subscript"/>
                    </w:rPr>
                    <w:t>5</w:t>
                  </w:r>
                  <w:r>
                    <w:rPr>
                      <w:color w:val="auto"/>
                      <w:szCs w:val="22"/>
                      <w:highlight w:val="none"/>
                    </w:rPr>
                    <w:t>、SS、NH</w:t>
                  </w:r>
                  <w:r>
                    <w:rPr>
                      <w:color w:val="auto"/>
                      <w:szCs w:val="22"/>
                      <w:highlight w:val="none"/>
                      <w:vertAlign w:val="subscript"/>
                    </w:rPr>
                    <w:t>3</w:t>
                  </w:r>
                  <w:r>
                    <w:rPr>
                      <w:color w:val="auto"/>
                      <w:szCs w:val="22"/>
                      <w:highlight w:val="none"/>
                    </w:rPr>
                    <w:t>-N</w:t>
                  </w:r>
                  <w:r>
                    <w:rPr>
                      <w:rFonts w:hint="eastAsia"/>
                      <w:color w:val="auto"/>
                      <w:szCs w:val="22"/>
                      <w:highlight w:val="none"/>
                    </w:rPr>
                    <w:t>、TP</w:t>
                  </w:r>
                </w:p>
              </w:tc>
              <w:tc>
                <w:tcPr>
                  <w:tcW w:w="2949" w:type="dxa"/>
                  <w:vMerge w:val="continue"/>
                  <w:vAlign w:val="center"/>
                </w:tcPr>
                <w:p w14:paraId="0BE230AA">
                  <w:pPr>
                    <w:adjustRightInd w:val="0"/>
                    <w:snapToGrid w:val="0"/>
                    <w:jc w:val="center"/>
                    <w:rPr>
                      <w:color w:val="auto"/>
                      <w:szCs w:val="21"/>
                      <w:highlight w:val="none"/>
                    </w:rPr>
                  </w:pPr>
                </w:p>
              </w:tc>
            </w:tr>
            <w:tr w14:paraId="3435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restart"/>
                  <w:vAlign w:val="center"/>
                </w:tcPr>
                <w:p w14:paraId="70E21AC9">
                  <w:pPr>
                    <w:adjustRightInd w:val="0"/>
                    <w:snapToGrid w:val="0"/>
                    <w:jc w:val="center"/>
                    <w:rPr>
                      <w:color w:val="auto"/>
                      <w:szCs w:val="21"/>
                      <w:highlight w:val="none"/>
                    </w:rPr>
                  </w:pPr>
                  <w:r>
                    <w:rPr>
                      <w:color w:val="auto"/>
                      <w:szCs w:val="21"/>
                      <w:highlight w:val="none"/>
                    </w:rPr>
                    <w:t>废气</w:t>
                  </w:r>
                </w:p>
              </w:tc>
              <w:tc>
                <w:tcPr>
                  <w:tcW w:w="1635" w:type="dxa"/>
                  <w:vAlign w:val="center"/>
                </w:tcPr>
                <w:p w14:paraId="5A5DE83A">
                  <w:pPr>
                    <w:adjustRightInd w:val="0"/>
                    <w:snapToGrid w:val="0"/>
                    <w:jc w:val="center"/>
                    <w:rPr>
                      <w:color w:val="auto"/>
                      <w:szCs w:val="21"/>
                      <w:highlight w:val="none"/>
                    </w:rPr>
                  </w:pPr>
                  <w:r>
                    <w:rPr>
                      <w:rFonts w:hint="eastAsia"/>
                      <w:color w:val="auto"/>
                      <w:szCs w:val="21"/>
                      <w:highlight w:val="none"/>
                    </w:rPr>
                    <w:t>切割粉尘</w:t>
                  </w:r>
                  <w:r>
                    <w:rPr>
                      <w:rFonts w:hint="eastAsia"/>
                      <w:color w:val="auto"/>
                      <w:sz w:val="22"/>
                      <w:szCs w:val="22"/>
                      <w:highlight w:val="none"/>
                    </w:rPr>
                    <w:t>G</w:t>
                  </w:r>
                  <w:r>
                    <w:rPr>
                      <w:color w:val="auto"/>
                      <w:szCs w:val="21"/>
                      <w:highlight w:val="none"/>
                    </w:rPr>
                    <w:t>1</w:t>
                  </w:r>
                </w:p>
              </w:tc>
              <w:tc>
                <w:tcPr>
                  <w:tcW w:w="1080" w:type="dxa"/>
                  <w:vAlign w:val="center"/>
                </w:tcPr>
                <w:p w14:paraId="2BB91C35">
                  <w:pPr>
                    <w:adjustRightInd w:val="0"/>
                    <w:snapToGrid w:val="0"/>
                    <w:jc w:val="center"/>
                    <w:rPr>
                      <w:color w:val="auto"/>
                      <w:szCs w:val="21"/>
                      <w:highlight w:val="none"/>
                    </w:rPr>
                  </w:pPr>
                  <w:r>
                    <w:rPr>
                      <w:rFonts w:hint="eastAsia"/>
                      <w:color w:val="auto"/>
                      <w:szCs w:val="21"/>
                      <w:highlight w:val="none"/>
                    </w:rPr>
                    <w:t>激光切割</w:t>
                  </w:r>
                </w:p>
              </w:tc>
              <w:tc>
                <w:tcPr>
                  <w:tcW w:w="2160" w:type="dxa"/>
                  <w:vAlign w:val="center"/>
                </w:tcPr>
                <w:p w14:paraId="77187213">
                  <w:pPr>
                    <w:adjustRightInd w:val="0"/>
                    <w:snapToGrid w:val="0"/>
                    <w:jc w:val="center"/>
                    <w:rPr>
                      <w:color w:val="auto"/>
                      <w:szCs w:val="21"/>
                      <w:highlight w:val="none"/>
                    </w:rPr>
                  </w:pPr>
                  <w:r>
                    <w:rPr>
                      <w:rFonts w:hint="eastAsia"/>
                      <w:color w:val="auto"/>
                      <w:szCs w:val="21"/>
                      <w:highlight w:val="none"/>
                    </w:rPr>
                    <w:t>颗粒物</w:t>
                  </w:r>
                </w:p>
              </w:tc>
              <w:tc>
                <w:tcPr>
                  <w:tcW w:w="2949" w:type="dxa"/>
                  <w:vAlign w:val="center"/>
                </w:tcPr>
                <w:p w14:paraId="4F50384C">
                  <w:pPr>
                    <w:adjustRightInd w:val="0"/>
                    <w:snapToGrid w:val="0"/>
                    <w:jc w:val="center"/>
                    <w:rPr>
                      <w:color w:val="auto"/>
                      <w:szCs w:val="21"/>
                      <w:highlight w:val="none"/>
                    </w:rPr>
                  </w:pPr>
                  <w:r>
                    <w:rPr>
                      <w:rFonts w:hint="eastAsia"/>
                      <w:color w:val="auto"/>
                      <w:szCs w:val="21"/>
                      <w:highlight w:val="none"/>
                    </w:rPr>
                    <w:t>激光切割机工作时全密闭，设备自带滤芯式除尘设备，收集处理后厂房内无组织排放。</w:t>
                  </w:r>
                </w:p>
              </w:tc>
            </w:tr>
            <w:tr w14:paraId="7C637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vAlign w:val="center"/>
                </w:tcPr>
                <w:p w14:paraId="4322C750">
                  <w:pPr>
                    <w:adjustRightInd w:val="0"/>
                    <w:snapToGrid w:val="0"/>
                    <w:jc w:val="center"/>
                    <w:rPr>
                      <w:color w:val="auto"/>
                      <w:szCs w:val="21"/>
                      <w:highlight w:val="none"/>
                    </w:rPr>
                  </w:pPr>
                </w:p>
              </w:tc>
              <w:tc>
                <w:tcPr>
                  <w:tcW w:w="1635" w:type="dxa"/>
                  <w:vAlign w:val="center"/>
                </w:tcPr>
                <w:p w14:paraId="6765E5E1">
                  <w:pPr>
                    <w:adjustRightInd w:val="0"/>
                    <w:snapToGrid w:val="0"/>
                    <w:jc w:val="center"/>
                    <w:rPr>
                      <w:color w:val="auto"/>
                      <w:szCs w:val="21"/>
                      <w:highlight w:val="none"/>
                    </w:rPr>
                  </w:pPr>
                  <w:r>
                    <w:rPr>
                      <w:rFonts w:hint="eastAsia"/>
                      <w:color w:val="auto"/>
                      <w:szCs w:val="21"/>
                      <w:highlight w:val="none"/>
                    </w:rPr>
                    <w:t>打磨粉尘G</w:t>
                  </w:r>
                  <w:r>
                    <w:rPr>
                      <w:color w:val="auto"/>
                      <w:szCs w:val="21"/>
                      <w:highlight w:val="none"/>
                    </w:rPr>
                    <w:t>2</w:t>
                  </w:r>
                  <w:r>
                    <w:rPr>
                      <w:rFonts w:hint="eastAsia"/>
                      <w:color w:val="auto"/>
                      <w:szCs w:val="21"/>
                      <w:highlight w:val="none"/>
                    </w:rPr>
                    <w:t>、补焊烟尘G5</w:t>
                  </w:r>
                </w:p>
              </w:tc>
              <w:tc>
                <w:tcPr>
                  <w:tcW w:w="1080" w:type="dxa"/>
                  <w:vAlign w:val="center"/>
                </w:tcPr>
                <w:p w14:paraId="710714A5">
                  <w:pPr>
                    <w:adjustRightInd w:val="0"/>
                    <w:snapToGrid w:val="0"/>
                    <w:jc w:val="center"/>
                    <w:rPr>
                      <w:color w:val="auto"/>
                      <w:szCs w:val="21"/>
                      <w:highlight w:val="none"/>
                    </w:rPr>
                  </w:pPr>
                  <w:r>
                    <w:rPr>
                      <w:rFonts w:hint="eastAsia"/>
                      <w:color w:val="auto"/>
                      <w:szCs w:val="21"/>
                      <w:highlight w:val="none"/>
                    </w:rPr>
                    <w:t>不合格品打磨</w:t>
                  </w:r>
                </w:p>
              </w:tc>
              <w:tc>
                <w:tcPr>
                  <w:tcW w:w="2160" w:type="dxa"/>
                  <w:vAlign w:val="center"/>
                </w:tcPr>
                <w:p w14:paraId="78B75C78">
                  <w:pPr>
                    <w:adjustRightInd w:val="0"/>
                    <w:snapToGrid w:val="0"/>
                    <w:jc w:val="center"/>
                    <w:rPr>
                      <w:color w:val="auto"/>
                      <w:szCs w:val="21"/>
                      <w:highlight w:val="none"/>
                    </w:rPr>
                  </w:pPr>
                  <w:r>
                    <w:rPr>
                      <w:rFonts w:hint="eastAsia"/>
                      <w:color w:val="auto"/>
                      <w:szCs w:val="21"/>
                      <w:highlight w:val="none"/>
                    </w:rPr>
                    <w:t>颗粒物</w:t>
                  </w:r>
                </w:p>
              </w:tc>
              <w:tc>
                <w:tcPr>
                  <w:tcW w:w="2949" w:type="dxa"/>
                  <w:vAlign w:val="center"/>
                </w:tcPr>
                <w:p w14:paraId="7445E991">
                  <w:pPr>
                    <w:adjustRightInd w:val="0"/>
                    <w:snapToGrid w:val="0"/>
                    <w:jc w:val="center"/>
                    <w:rPr>
                      <w:color w:val="auto"/>
                      <w:szCs w:val="21"/>
                      <w:highlight w:val="none"/>
                    </w:rPr>
                  </w:pPr>
                  <w:r>
                    <w:rPr>
                      <w:rFonts w:hint="eastAsia"/>
                      <w:color w:val="auto"/>
                      <w:szCs w:val="21"/>
                      <w:highlight w:val="none"/>
                    </w:rPr>
                    <w:t>每个工位配套1个移动式</w:t>
                  </w:r>
                  <w:r>
                    <w:rPr>
                      <w:rFonts w:hint="eastAsia"/>
                      <w:color w:val="auto"/>
                      <w:szCs w:val="21"/>
                      <w:highlight w:val="none"/>
                      <w:lang w:eastAsia="zh-CN"/>
                    </w:rPr>
                    <w:t>滤芯除尘器</w:t>
                  </w:r>
                  <w:r>
                    <w:rPr>
                      <w:rFonts w:hint="eastAsia"/>
                      <w:color w:val="auto"/>
                      <w:szCs w:val="21"/>
                      <w:highlight w:val="none"/>
                    </w:rPr>
                    <w:t>（含集气设备），打磨粉尘、补焊烟尘经收集处理后厂房内无组织排放。</w:t>
                  </w:r>
                </w:p>
              </w:tc>
            </w:tr>
            <w:tr w14:paraId="5638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vAlign w:val="center"/>
                </w:tcPr>
                <w:p w14:paraId="69D0DC9F">
                  <w:pPr>
                    <w:adjustRightInd w:val="0"/>
                    <w:snapToGrid w:val="0"/>
                    <w:jc w:val="center"/>
                    <w:rPr>
                      <w:color w:val="auto"/>
                      <w:szCs w:val="21"/>
                      <w:highlight w:val="none"/>
                    </w:rPr>
                  </w:pPr>
                </w:p>
              </w:tc>
              <w:tc>
                <w:tcPr>
                  <w:tcW w:w="1635" w:type="dxa"/>
                  <w:vAlign w:val="center"/>
                </w:tcPr>
                <w:p w14:paraId="1B0E8EAF">
                  <w:pPr>
                    <w:adjustRightInd w:val="0"/>
                    <w:snapToGrid w:val="0"/>
                    <w:jc w:val="center"/>
                    <w:rPr>
                      <w:color w:val="auto"/>
                      <w:szCs w:val="21"/>
                      <w:highlight w:val="none"/>
                    </w:rPr>
                  </w:pPr>
                  <w:r>
                    <w:rPr>
                      <w:rFonts w:hint="eastAsia"/>
                      <w:color w:val="auto"/>
                      <w:szCs w:val="21"/>
                      <w:highlight w:val="none"/>
                    </w:rPr>
                    <w:t>焊接烟尘G3</w:t>
                  </w:r>
                </w:p>
              </w:tc>
              <w:tc>
                <w:tcPr>
                  <w:tcW w:w="1080" w:type="dxa"/>
                  <w:vAlign w:val="center"/>
                </w:tcPr>
                <w:p w14:paraId="53F29571">
                  <w:pPr>
                    <w:adjustRightInd w:val="0"/>
                    <w:snapToGrid w:val="0"/>
                    <w:jc w:val="center"/>
                    <w:rPr>
                      <w:color w:val="auto"/>
                      <w:szCs w:val="21"/>
                      <w:highlight w:val="none"/>
                    </w:rPr>
                  </w:pPr>
                  <w:r>
                    <w:rPr>
                      <w:rFonts w:hint="eastAsia"/>
                      <w:color w:val="auto"/>
                      <w:szCs w:val="21"/>
                      <w:highlight w:val="none"/>
                    </w:rPr>
                    <w:t>弧焊</w:t>
                  </w:r>
                </w:p>
              </w:tc>
              <w:tc>
                <w:tcPr>
                  <w:tcW w:w="2160" w:type="dxa"/>
                  <w:vAlign w:val="center"/>
                </w:tcPr>
                <w:p w14:paraId="06BACA7B">
                  <w:pPr>
                    <w:adjustRightInd w:val="0"/>
                    <w:snapToGrid w:val="0"/>
                    <w:jc w:val="center"/>
                    <w:rPr>
                      <w:color w:val="auto"/>
                      <w:szCs w:val="21"/>
                      <w:highlight w:val="none"/>
                    </w:rPr>
                  </w:pPr>
                  <w:r>
                    <w:rPr>
                      <w:rFonts w:hint="eastAsia"/>
                      <w:color w:val="auto"/>
                      <w:szCs w:val="21"/>
                      <w:highlight w:val="none"/>
                    </w:rPr>
                    <w:t>颗粒物</w:t>
                  </w:r>
                </w:p>
              </w:tc>
              <w:tc>
                <w:tcPr>
                  <w:tcW w:w="2949" w:type="dxa"/>
                  <w:vAlign w:val="center"/>
                </w:tcPr>
                <w:p w14:paraId="6D46A656">
                  <w:pPr>
                    <w:adjustRightInd w:val="0"/>
                    <w:snapToGrid w:val="0"/>
                    <w:jc w:val="center"/>
                    <w:rPr>
                      <w:color w:val="auto"/>
                      <w:szCs w:val="21"/>
                      <w:highlight w:val="none"/>
                    </w:rPr>
                  </w:pPr>
                  <w:r>
                    <w:rPr>
                      <w:rFonts w:hint="eastAsia"/>
                      <w:color w:val="auto"/>
                      <w:szCs w:val="21"/>
                      <w:highlight w:val="none"/>
                    </w:rPr>
                    <w:t>固定式弧焊位于封闭式弧焊间内，顶部设置废气收集口，废气收集后接入滤芯除尘器处理后由15m高排气筒排放。</w:t>
                  </w:r>
                </w:p>
              </w:tc>
            </w:tr>
            <w:tr w14:paraId="12D6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vAlign w:val="center"/>
                </w:tcPr>
                <w:p w14:paraId="7759BF6C">
                  <w:pPr>
                    <w:adjustRightInd w:val="0"/>
                    <w:snapToGrid w:val="0"/>
                    <w:jc w:val="center"/>
                    <w:rPr>
                      <w:color w:val="auto"/>
                      <w:szCs w:val="21"/>
                      <w:highlight w:val="none"/>
                    </w:rPr>
                  </w:pPr>
                </w:p>
              </w:tc>
              <w:tc>
                <w:tcPr>
                  <w:tcW w:w="1635" w:type="dxa"/>
                  <w:vAlign w:val="center"/>
                </w:tcPr>
                <w:p w14:paraId="233D8BE6">
                  <w:pPr>
                    <w:adjustRightInd w:val="0"/>
                    <w:snapToGrid w:val="0"/>
                    <w:jc w:val="center"/>
                    <w:rPr>
                      <w:color w:val="auto"/>
                      <w:szCs w:val="21"/>
                      <w:highlight w:val="none"/>
                    </w:rPr>
                  </w:pPr>
                  <w:r>
                    <w:rPr>
                      <w:rFonts w:hint="eastAsia"/>
                      <w:color w:val="auto"/>
                      <w:szCs w:val="21"/>
                      <w:highlight w:val="none"/>
                    </w:rPr>
                    <w:t>打胶废气G4</w:t>
                  </w:r>
                </w:p>
              </w:tc>
              <w:tc>
                <w:tcPr>
                  <w:tcW w:w="1080" w:type="dxa"/>
                  <w:vAlign w:val="center"/>
                </w:tcPr>
                <w:p w14:paraId="596BFFAA">
                  <w:pPr>
                    <w:adjustRightInd w:val="0"/>
                    <w:snapToGrid w:val="0"/>
                    <w:jc w:val="center"/>
                    <w:rPr>
                      <w:color w:val="auto"/>
                      <w:szCs w:val="21"/>
                      <w:highlight w:val="none"/>
                    </w:rPr>
                  </w:pPr>
                  <w:r>
                    <w:rPr>
                      <w:rFonts w:hint="eastAsia"/>
                      <w:color w:val="auto"/>
                      <w:szCs w:val="21"/>
                      <w:highlight w:val="none"/>
                    </w:rPr>
                    <w:t>打胶</w:t>
                  </w:r>
                </w:p>
              </w:tc>
              <w:tc>
                <w:tcPr>
                  <w:tcW w:w="2160" w:type="dxa"/>
                  <w:vAlign w:val="center"/>
                </w:tcPr>
                <w:p w14:paraId="41713BFB">
                  <w:pPr>
                    <w:adjustRightInd w:val="0"/>
                    <w:snapToGrid w:val="0"/>
                    <w:jc w:val="center"/>
                    <w:rPr>
                      <w:color w:val="auto"/>
                      <w:szCs w:val="21"/>
                      <w:highlight w:val="none"/>
                    </w:rPr>
                  </w:pPr>
                  <w:r>
                    <w:rPr>
                      <w:rFonts w:hint="eastAsia"/>
                      <w:color w:val="auto"/>
                      <w:szCs w:val="21"/>
                      <w:highlight w:val="none"/>
                    </w:rPr>
                    <w:t>VOCs</w:t>
                  </w:r>
                </w:p>
                <w:p w14:paraId="4C1FDA6E">
                  <w:pPr>
                    <w:adjustRightInd w:val="0"/>
                    <w:snapToGrid w:val="0"/>
                    <w:jc w:val="center"/>
                    <w:rPr>
                      <w:color w:val="auto"/>
                      <w:szCs w:val="21"/>
                      <w:highlight w:val="none"/>
                    </w:rPr>
                  </w:pPr>
                  <w:r>
                    <w:rPr>
                      <w:rFonts w:hint="eastAsia"/>
                      <w:color w:val="auto"/>
                      <w:szCs w:val="21"/>
                      <w:highlight w:val="none"/>
                    </w:rPr>
                    <w:t>（以非甲烷总烃计）</w:t>
                  </w:r>
                </w:p>
              </w:tc>
              <w:tc>
                <w:tcPr>
                  <w:tcW w:w="2949" w:type="dxa"/>
                  <w:vAlign w:val="center"/>
                </w:tcPr>
                <w:p w14:paraId="697E24BD">
                  <w:pPr>
                    <w:adjustRightInd w:val="0"/>
                    <w:snapToGrid w:val="0"/>
                    <w:jc w:val="center"/>
                    <w:rPr>
                      <w:color w:val="auto"/>
                      <w:szCs w:val="21"/>
                      <w:highlight w:val="none"/>
                    </w:rPr>
                  </w:pPr>
                  <w:r>
                    <w:rPr>
                      <w:rFonts w:hint="eastAsia"/>
                      <w:color w:val="auto"/>
                      <w:szCs w:val="21"/>
                      <w:highlight w:val="none"/>
                    </w:rPr>
                    <w:t>采用低挥发性</w:t>
                  </w:r>
                  <w:bookmarkStart w:id="57" w:name="hmcheck_661cc59aa8a645dfbf266f548a7fa0d5"/>
                  <w:r>
                    <w:rPr>
                      <w:rFonts w:hint="eastAsia"/>
                      <w:color w:val="auto"/>
                      <w:szCs w:val="21"/>
                      <w:highlight w:val="none"/>
                      <w:shd w:val="clear" w:fill="B2E9BC"/>
                      <w:lang w:eastAsia="zh-CN"/>
                    </w:rPr>
                    <w:t>胶黏剂</w:t>
                  </w:r>
                  <w:bookmarkEnd w:id="57"/>
                </w:p>
              </w:tc>
            </w:tr>
            <w:tr w14:paraId="24FCB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Align w:val="center"/>
                </w:tcPr>
                <w:p w14:paraId="44B5C3BA">
                  <w:pPr>
                    <w:adjustRightInd w:val="0"/>
                    <w:snapToGrid w:val="0"/>
                    <w:jc w:val="center"/>
                    <w:rPr>
                      <w:color w:val="auto"/>
                      <w:szCs w:val="21"/>
                      <w:highlight w:val="none"/>
                    </w:rPr>
                  </w:pPr>
                  <w:r>
                    <w:rPr>
                      <w:color w:val="auto"/>
                      <w:szCs w:val="21"/>
                      <w:highlight w:val="none"/>
                    </w:rPr>
                    <w:t>噪声</w:t>
                  </w:r>
                </w:p>
              </w:tc>
              <w:tc>
                <w:tcPr>
                  <w:tcW w:w="1635" w:type="dxa"/>
                  <w:vAlign w:val="center"/>
                </w:tcPr>
                <w:p w14:paraId="40C49996">
                  <w:pPr>
                    <w:adjustRightInd w:val="0"/>
                    <w:snapToGrid w:val="0"/>
                    <w:jc w:val="center"/>
                    <w:rPr>
                      <w:color w:val="auto"/>
                      <w:szCs w:val="21"/>
                      <w:highlight w:val="none"/>
                    </w:rPr>
                  </w:pPr>
                  <w:r>
                    <w:rPr>
                      <w:color w:val="auto"/>
                      <w:szCs w:val="21"/>
                      <w:highlight w:val="none"/>
                    </w:rPr>
                    <w:t>设备噪声</w:t>
                  </w:r>
                  <w:r>
                    <w:rPr>
                      <w:rFonts w:hint="eastAsia"/>
                      <w:color w:val="auto"/>
                      <w:szCs w:val="21"/>
                      <w:highlight w:val="none"/>
                    </w:rPr>
                    <w:t>N</w:t>
                  </w:r>
                </w:p>
              </w:tc>
              <w:tc>
                <w:tcPr>
                  <w:tcW w:w="1080" w:type="dxa"/>
                  <w:vAlign w:val="center"/>
                </w:tcPr>
                <w:p w14:paraId="2E689D38">
                  <w:pPr>
                    <w:adjustRightInd w:val="0"/>
                    <w:snapToGrid w:val="0"/>
                    <w:jc w:val="center"/>
                    <w:rPr>
                      <w:color w:val="auto"/>
                      <w:szCs w:val="21"/>
                      <w:highlight w:val="none"/>
                    </w:rPr>
                  </w:pPr>
                  <w:r>
                    <w:rPr>
                      <w:color w:val="auto"/>
                      <w:szCs w:val="21"/>
                      <w:highlight w:val="none"/>
                    </w:rPr>
                    <w:t>设备运行</w:t>
                  </w:r>
                </w:p>
              </w:tc>
              <w:tc>
                <w:tcPr>
                  <w:tcW w:w="2160" w:type="dxa"/>
                  <w:vAlign w:val="center"/>
                </w:tcPr>
                <w:p w14:paraId="01E2970E">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噪声</w:t>
                  </w:r>
                </w:p>
              </w:tc>
              <w:tc>
                <w:tcPr>
                  <w:tcW w:w="2949" w:type="dxa"/>
                  <w:vAlign w:val="center"/>
                </w:tcPr>
                <w:p w14:paraId="72D1FEA2">
                  <w:pPr>
                    <w:adjustRightInd w:val="0"/>
                    <w:snapToGrid w:val="0"/>
                    <w:jc w:val="center"/>
                    <w:rPr>
                      <w:color w:val="auto"/>
                      <w:szCs w:val="21"/>
                      <w:highlight w:val="none"/>
                    </w:rPr>
                  </w:pPr>
                  <w:r>
                    <w:rPr>
                      <w:rFonts w:hint="eastAsia"/>
                      <w:color w:val="auto"/>
                      <w:szCs w:val="21"/>
                      <w:highlight w:val="none"/>
                    </w:rPr>
                    <w:t>合理布局，选购低噪声设备、基础减振、厂房建筑隔声</w:t>
                  </w:r>
                </w:p>
              </w:tc>
            </w:tr>
            <w:tr w14:paraId="30361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restart"/>
                  <w:vAlign w:val="center"/>
                </w:tcPr>
                <w:p w14:paraId="181F74BF">
                  <w:pPr>
                    <w:adjustRightInd w:val="0"/>
                    <w:snapToGrid w:val="0"/>
                    <w:jc w:val="center"/>
                    <w:rPr>
                      <w:color w:val="auto"/>
                      <w:szCs w:val="21"/>
                      <w:highlight w:val="none"/>
                    </w:rPr>
                  </w:pPr>
                  <w:r>
                    <w:rPr>
                      <w:color w:val="auto"/>
                      <w:szCs w:val="21"/>
                      <w:highlight w:val="none"/>
                    </w:rPr>
                    <w:t>固废</w:t>
                  </w:r>
                </w:p>
              </w:tc>
              <w:tc>
                <w:tcPr>
                  <w:tcW w:w="1635" w:type="dxa"/>
                  <w:vAlign w:val="center"/>
                </w:tcPr>
                <w:p w14:paraId="66D02B9D">
                  <w:pPr>
                    <w:adjustRightInd w:val="0"/>
                    <w:snapToGrid w:val="0"/>
                    <w:jc w:val="center"/>
                    <w:rPr>
                      <w:color w:val="auto"/>
                      <w:szCs w:val="21"/>
                      <w:highlight w:val="none"/>
                    </w:rPr>
                  </w:pPr>
                  <w:r>
                    <w:rPr>
                      <w:rFonts w:hint="eastAsia"/>
                      <w:color w:val="auto"/>
                      <w:szCs w:val="21"/>
                      <w:highlight w:val="none"/>
                    </w:rPr>
                    <w:t>一般废包装材料S1</w:t>
                  </w:r>
                </w:p>
              </w:tc>
              <w:tc>
                <w:tcPr>
                  <w:tcW w:w="1080" w:type="dxa"/>
                  <w:vAlign w:val="center"/>
                </w:tcPr>
                <w:p w14:paraId="268F4F7B">
                  <w:pPr>
                    <w:adjustRightInd w:val="0"/>
                    <w:snapToGrid w:val="0"/>
                    <w:jc w:val="center"/>
                    <w:rPr>
                      <w:color w:val="auto"/>
                      <w:szCs w:val="21"/>
                      <w:highlight w:val="none"/>
                    </w:rPr>
                  </w:pPr>
                  <w:r>
                    <w:rPr>
                      <w:rFonts w:hint="eastAsia"/>
                      <w:color w:val="auto"/>
                      <w:szCs w:val="21"/>
                      <w:highlight w:val="none"/>
                    </w:rPr>
                    <w:t>原辅材料包装</w:t>
                  </w:r>
                </w:p>
              </w:tc>
              <w:tc>
                <w:tcPr>
                  <w:tcW w:w="2160" w:type="dxa"/>
                  <w:vAlign w:val="center"/>
                </w:tcPr>
                <w:p w14:paraId="6E163D28">
                  <w:pPr>
                    <w:adjustRightInd w:val="0"/>
                    <w:snapToGrid w:val="0"/>
                    <w:jc w:val="center"/>
                    <w:rPr>
                      <w:color w:val="auto"/>
                      <w:szCs w:val="21"/>
                      <w:highlight w:val="none"/>
                    </w:rPr>
                  </w:pPr>
                  <w:r>
                    <w:rPr>
                      <w:rFonts w:hint="eastAsia"/>
                      <w:color w:val="auto"/>
                      <w:szCs w:val="21"/>
                      <w:highlight w:val="none"/>
                    </w:rPr>
                    <w:t>废纸盒、塑料</w:t>
                  </w:r>
                </w:p>
              </w:tc>
              <w:tc>
                <w:tcPr>
                  <w:tcW w:w="2949" w:type="dxa"/>
                  <w:vAlign w:val="center"/>
                </w:tcPr>
                <w:p w14:paraId="5E6AA9E3">
                  <w:pPr>
                    <w:adjustRightInd w:val="0"/>
                    <w:snapToGrid w:val="0"/>
                    <w:jc w:val="center"/>
                    <w:rPr>
                      <w:color w:val="auto"/>
                      <w:szCs w:val="21"/>
                      <w:highlight w:val="none"/>
                    </w:rPr>
                  </w:pPr>
                  <w:r>
                    <w:rPr>
                      <w:rFonts w:hint="eastAsia"/>
                      <w:color w:val="auto"/>
                      <w:szCs w:val="21"/>
                      <w:highlight w:val="none"/>
                    </w:rPr>
                    <w:t>一般固废，定期交由物资回收单位回收处置</w:t>
                  </w:r>
                </w:p>
              </w:tc>
            </w:tr>
            <w:tr w14:paraId="0E73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vAlign w:val="center"/>
                </w:tcPr>
                <w:p w14:paraId="153422B0">
                  <w:pPr>
                    <w:adjustRightInd w:val="0"/>
                    <w:snapToGrid w:val="0"/>
                    <w:jc w:val="center"/>
                    <w:rPr>
                      <w:color w:val="auto"/>
                      <w:szCs w:val="21"/>
                      <w:highlight w:val="none"/>
                    </w:rPr>
                  </w:pPr>
                </w:p>
              </w:tc>
              <w:tc>
                <w:tcPr>
                  <w:tcW w:w="1635" w:type="dxa"/>
                  <w:vAlign w:val="center"/>
                </w:tcPr>
                <w:p w14:paraId="1A10305A">
                  <w:pPr>
                    <w:adjustRightInd w:val="0"/>
                    <w:snapToGrid w:val="0"/>
                    <w:jc w:val="center"/>
                    <w:rPr>
                      <w:color w:val="auto"/>
                      <w:szCs w:val="21"/>
                      <w:highlight w:val="none"/>
                    </w:rPr>
                  </w:pPr>
                  <w:r>
                    <w:rPr>
                      <w:rFonts w:hint="eastAsia"/>
                      <w:color w:val="auto"/>
                      <w:szCs w:val="21"/>
                      <w:highlight w:val="none"/>
                    </w:rPr>
                    <w:t>废金属边角料S2</w:t>
                  </w:r>
                </w:p>
              </w:tc>
              <w:tc>
                <w:tcPr>
                  <w:tcW w:w="1080" w:type="dxa"/>
                  <w:vAlign w:val="center"/>
                </w:tcPr>
                <w:p w14:paraId="3EC8EC56">
                  <w:pPr>
                    <w:adjustRightInd w:val="0"/>
                    <w:snapToGrid w:val="0"/>
                    <w:jc w:val="center"/>
                    <w:rPr>
                      <w:color w:val="auto"/>
                      <w:szCs w:val="21"/>
                      <w:highlight w:val="none"/>
                    </w:rPr>
                  </w:pPr>
                  <w:r>
                    <w:rPr>
                      <w:rFonts w:hint="eastAsia"/>
                      <w:color w:val="auto"/>
                      <w:szCs w:val="21"/>
                      <w:highlight w:val="none"/>
                    </w:rPr>
                    <w:t>切割、冲液压、不合格产品打磨</w:t>
                  </w:r>
                </w:p>
              </w:tc>
              <w:tc>
                <w:tcPr>
                  <w:tcW w:w="2160" w:type="dxa"/>
                  <w:vAlign w:val="center"/>
                </w:tcPr>
                <w:p w14:paraId="18BF8A8C">
                  <w:pPr>
                    <w:adjustRightInd w:val="0"/>
                    <w:snapToGrid w:val="0"/>
                    <w:jc w:val="center"/>
                    <w:rPr>
                      <w:color w:val="auto"/>
                      <w:szCs w:val="21"/>
                      <w:highlight w:val="none"/>
                    </w:rPr>
                  </w:pPr>
                  <w:r>
                    <w:rPr>
                      <w:rFonts w:hint="eastAsia"/>
                      <w:color w:val="auto"/>
                      <w:szCs w:val="21"/>
                      <w:highlight w:val="none"/>
                    </w:rPr>
                    <w:t>废金属</w:t>
                  </w:r>
                </w:p>
              </w:tc>
              <w:tc>
                <w:tcPr>
                  <w:tcW w:w="2949" w:type="dxa"/>
                  <w:vAlign w:val="center"/>
                </w:tcPr>
                <w:p w14:paraId="62293650">
                  <w:pPr>
                    <w:adjustRightInd w:val="0"/>
                    <w:snapToGrid w:val="0"/>
                    <w:jc w:val="center"/>
                    <w:rPr>
                      <w:color w:val="auto"/>
                      <w:szCs w:val="21"/>
                      <w:highlight w:val="none"/>
                    </w:rPr>
                  </w:pPr>
                  <w:r>
                    <w:rPr>
                      <w:rFonts w:hint="eastAsia"/>
                      <w:color w:val="auto"/>
                      <w:szCs w:val="21"/>
                      <w:highlight w:val="none"/>
                    </w:rPr>
                    <w:t>一般固废，压块打包后定期交由物资回收单位回收处置</w:t>
                  </w:r>
                </w:p>
              </w:tc>
            </w:tr>
            <w:tr w14:paraId="57EB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vAlign w:val="center"/>
                </w:tcPr>
                <w:p w14:paraId="7C0A9BAC">
                  <w:pPr>
                    <w:adjustRightInd w:val="0"/>
                    <w:snapToGrid w:val="0"/>
                    <w:jc w:val="center"/>
                    <w:rPr>
                      <w:color w:val="auto"/>
                      <w:szCs w:val="21"/>
                      <w:highlight w:val="none"/>
                    </w:rPr>
                  </w:pPr>
                </w:p>
              </w:tc>
              <w:tc>
                <w:tcPr>
                  <w:tcW w:w="1635" w:type="dxa"/>
                  <w:vAlign w:val="center"/>
                </w:tcPr>
                <w:p w14:paraId="5DDCB326">
                  <w:pPr>
                    <w:adjustRightInd w:val="0"/>
                    <w:snapToGrid w:val="0"/>
                    <w:jc w:val="center"/>
                    <w:rPr>
                      <w:color w:val="auto"/>
                      <w:szCs w:val="21"/>
                      <w:highlight w:val="none"/>
                    </w:rPr>
                  </w:pPr>
                  <w:r>
                    <w:rPr>
                      <w:rFonts w:hint="eastAsia"/>
                      <w:color w:val="auto"/>
                      <w:szCs w:val="21"/>
                      <w:highlight w:val="none"/>
                    </w:rPr>
                    <w:t>不合格品S3</w:t>
                  </w:r>
                </w:p>
              </w:tc>
              <w:tc>
                <w:tcPr>
                  <w:tcW w:w="1080" w:type="dxa"/>
                  <w:vAlign w:val="center"/>
                </w:tcPr>
                <w:p w14:paraId="2F3F7D0C">
                  <w:pPr>
                    <w:adjustRightInd w:val="0"/>
                    <w:snapToGrid w:val="0"/>
                    <w:jc w:val="center"/>
                    <w:rPr>
                      <w:color w:val="auto"/>
                      <w:szCs w:val="21"/>
                      <w:highlight w:val="none"/>
                    </w:rPr>
                  </w:pPr>
                  <w:r>
                    <w:rPr>
                      <w:rFonts w:hint="eastAsia"/>
                      <w:color w:val="auto"/>
                      <w:szCs w:val="21"/>
                      <w:highlight w:val="none"/>
                    </w:rPr>
                    <w:t>生产</w:t>
                  </w:r>
                </w:p>
              </w:tc>
              <w:tc>
                <w:tcPr>
                  <w:tcW w:w="2160" w:type="dxa"/>
                  <w:vAlign w:val="center"/>
                </w:tcPr>
                <w:p w14:paraId="11F6C775">
                  <w:pPr>
                    <w:adjustRightInd w:val="0"/>
                    <w:snapToGrid w:val="0"/>
                    <w:jc w:val="center"/>
                    <w:rPr>
                      <w:color w:val="auto"/>
                      <w:szCs w:val="21"/>
                      <w:highlight w:val="none"/>
                    </w:rPr>
                  </w:pPr>
                  <w:r>
                    <w:rPr>
                      <w:rFonts w:hint="eastAsia"/>
                      <w:color w:val="auto"/>
                      <w:szCs w:val="21"/>
                      <w:highlight w:val="none"/>
                    </w:rPr>
                    <w:t>废钢</w:t>
                  </w:r>
                </w:p>
              </w:tc>
              <w:tc>
                <w:tcPr>
                  <w:tcW w:w="2949" w:type="dxa"/>
                  <w:vAlign w:val="center"/>
                </w:tcPr>
                <w:p w14:paraId="1105A4ED">
                  <w:pPr>
                    <w:adjustRightInd w:val="0"/>
                    <w:snapToGrid w:val="0"/>
                    <w:jc w:val="center"/>
                    <w:rPr>
                      <w:color w:val="auto"/>
                      <w:szCs w:val="21"/>
                      <w:highlight w:val="none"/>
                    </w:rPr>
                  </w:pPr>
                  <w:r>
                    <w:rPr>
                      <w:rFonts w:hint="eastAsia"/>
                      <w:color w:val="auto"/>
                      <w:szCs w:val="21"/>
                      <w:highlight w:val="none"/>
                    </w:rPr>
                    <w:t>一般固废，压块打包后定期交由物资回收单位回收处置</w:t>
                  </w:r>
                </w:p>
              </w:tc>
            </w:tr>
            <w:tr w14:paraId="1C89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vAlign w:val="center"/>
                </w:tcPr>
                <w:p w14:paraId="445B60DA">
                  <w:pPr>
                    <w:adjustRightInd w:val="0"/>
                    <w:snapToGrid w:val="0"/>
                    <w:jc w:val="center"/>
                    <w:rPr>
                      <w:color w:val="auto"/>
                      <w:szCs w:val="21"/>
                      <w:highlight w:val="none"/>
                    </w:rPr>
                  </w:pPr>
                </w:p>
              </w:tc>
              <w:tc>
                <w:tcPr>
                  <w:tcW w:w="1635" w:type="dxa"/>
                  <w:vAlign w:val="center"/>
                </w:tcPr>
                <w:p w14:paraId="7E950980">
                  <w:pPr>
                    <w:adjustRightInd w:val="0"/>
                    <w:snapToGrid w:val="0"/>
                    <w:jc w:val="center"/>
                    <w:rPr>
                      <w:color w:val="auto"/>
                      <w:szCs w:val="21"/>
                      <w:highlight w:val="none"/>
                    </w:rPr>
                  </w:pPr>
                  <w:r>
                    <w:rPr>
                      <w:rFonts w:hint="eastAsia"/>
                      <w:color w:val="auto"/>
                      <w:szCs w:val="21"/>
                      <w:highlight w:val="none"/>
                    </w:rPr>
                    <w:t>废焊丝S4</w:t>
                  </w:r>
                </w:p>
              </w:tc>
              <w:tc>
                <w:tcPr>
                  <w:tcW w:w="1080" w:type="dxa"/>
                  <w:vAlign w:val="center"/>
                </w:tcPr>
                <w:p w14:paraId="18E8D362">
                  <w:pPr>
                    <w:adjustRightInd w:val="0"/>
                    <w:snapToGrid w:val="0"/>
                    <w:jc w:val="center"/>
                    <w:rPr>
                      <w:color w:val="auto"/>
                      <w:szCs w:val="21"/>
                      <w:highlight w:val="none"/>
                    </w:rPr>
                  </w:pPr>
                  <w:r>
                    <w:rPr>
                      <w:rFonts w:hint="eastAsia"/>
                      <w:color w:val="auto"/>
                      <w:szCs w:val="21"/>
                      <w:highlight w:val="none"/>
                    </w:rPr>
                    <w:t>焊接</w:t>
                  </w:r>
                </w:p>
              </w:tc>
              <w:tc>
                <w:tcPr>
                  <w:tcW w:w="2160" w:type="dxa"/>
                  <w:vAlign w:val="center"/>
                </w:tcPr>
                <w:p w14:paraId="515B6CA1">
                  <w:pPr>
                    <w:adjustRightInd w:val="0"/>
                    <w:snapToGrid w:val="0"/>
                    <w:jc w:val="center"/>
                    <w:rPr>
                      <w:color w:val="auto"/>
                      <w:szCs w:val="21"/>
                      <w:highlight w:val="none"/>
                    </w:rPr>
                  </w:pPr>
                  <w:r>
                    <w:rPr>
                      <w:rFonts w:hint="eastAsia"/>
                      <w:color w:val="auto"/>
                      <w:szCs w:val="21"/>
                      <w:highlight w:val="none"/>
                    </w:rPr>
                    <w:t>焊丝</w:t>
                  </w:r>
                </w:p>
              </w:tc>
              <w:tc>
                <w:tcPr>
                  <w:tcW w:w="2949" w:type="dxa"/>
                  <w:vAlign w:val="center"/>
                </w:tcPr>
                <w:p w14:paraId="6764F203">
                  <w:pPr>
                    <w:adjustRightInd w:val="0"/>
                    <w:snapToGrid w:val="0"/>
                    <w:jc w:val="center"/>
                    <w:rPr>
                      <w:color w:val="auto"/>
                      <w:szCs w:val="21"/>
                      <w:highlight w:val="none"/>
                    </w:rPr>
                  </w:pPr>
                  <w:r>
                    <w:rPr>
                      <w:rFonts w:hint="eastAsia"/>
                      <w:color w:val="auto"/>
                      <w:szCs w:val="21"/>
                      <w:highlight w:val="none"/>
                    </w:rPr>
                    <w:t>一般固废，定期交由物资回收单位回收处置</w:t>
                  </w:r>
                </w:p>
              </w:tc>
            </w:tr>
            <w:tr w14:paraId="2EBA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vAlign w:val="center"/>
                </w:tcPr>
                <w:p w14:paraId="528B063C">
                  <w:pPr>
                    <w:adjustRightInd w:val="0"/>
                    <w:snapToGrid w:val="0"/>
                    <w:jc w:val="center"/>
                    <w:rPr>
                      <w:color w:val="auto"/>
                      <w:szCs w:val="21"/>
                      <w:highlight w:val="none"/>
                    </w:rPr>
                  </w:pPr>
                </w:p>
              </w:tc>
              <w:tc>
                <w:tcPr>
                  <w:tcW w:w="1635" w:type="dxa"/>
                  <w:vAlign w:val="center"/>
                </w:tcPr>
                <w:p w14:paraId="72F48AA0">
                  <w:pPr>
                    <w:adjustRightInd w:val="0"/>
                    <w:snapToGrid w:val="0"/>
                    <w:jc w:val="center"/>
                    <w:rPr>
                      <w:color w:val="auto"/>
                      <w:szCs w:val="21"/>
                      <w:highlight w:val="none"/>
                    </w:rPr>
                  </w:pPr>
                  <w:r>
                    <w:rPr>
                      <w:rFonts w:hint="eastAsia"/>
                      <w:color w:val="auto"/>
                      <w:szCs w:val="21"/>
                      <w:highlight w:val="none"/>
                    </w:rPr>
                    <w:t>废胶瓶S5</w:t>
                  </w:r>
                </w:p>
              </w:tc>
              <w:tc>
                <w:tcPr>
                  <w:tcW w:w="1080" w:type="dxa"/>
                  <w:vAlign w:val="center"/>
                </w:tcPr>
                <w:p w14:paraId="7C95BC3E">
                  <w:pPr>
                    <w:adjustRightInd w:val="0"/>
                    <w:snapToGrid w:val="0"/>
                    <w:jc w:val="center"/>
                    <w:rPr>
                      <w:color w:val="auto"/>
                      <w:szCs w:val="21"/>
                      <w:highlight w:val="none"/>
                    </w:rPr>
                  </w:pPr>
                  <w:r>
                    <w:rPr>
                      <w:rFonts w:hint="eastAsia"/>
                      <w:color w:val="auto"/>
                      <w:szCs w:val="21"/>
                      <w:highlight w:val="none"/>
                    </w:rPr>
                    <w:t>打胶</w:t>
                  </w:r>
                </w:p>
              </w:tc>
              <w:tc>
                <w:tcPr>
                  <w:tcW w:w="2160" w:type="dxa"/>
                  <w:vAlign w:val="center"/>
                </w:tcPr>
                <w:p w14:paraId="6A96BEB0">
                  <w:pPr>
                    <w:adjustRightInd w:val="0"/>
                    <w:snapToGrid w:val="0"/>
                    <w:jc w:val="center"/>
                    <w:rPr>
                      <w:color w:val="auto"/>
                      <w:szCs w:val="21"/>
                      <w:highlight w:val="none"/>
                    </w:rPr>
                  </w:pPr>
                  <w:r>
                    <w:rPr>
                      <w:rFonts w:hint="eastAsia"/>
                      <w:color w:val="auto"/>
                      <w:szCs w:val="21"/>
                      <w:highlight w:val="none"/>
                    </w:rPr>
                    <w:t>废胶瓶</w:t>
                  </w:r>
                </w:p>
              </w:tc>
              <w:tc>
                <w:tcPr>
                  <w:tcW w:w="2949" w:type="dxa"/>
                  <w:vAlign w:val="center"/>
                </w:tcPr>
                <w:p w14:paraId="55D0AD79">
                  <w:pPr>
                    <w:adjustRightInd w:val="0"/>
                    <w:snapToGrid w:val="0"/>
                    <w:jc w:val="center"/>
                    <w:rPr>
                      <w:color w:val="auto"/>
                      <w:szCs w:val="21"/>
                      <w:highlight w:val="none"/>
                    </w:rPr>
                  </w:pPr>
                  <w:r>
                    <w:rPr>
                      <w:rFonts w:hint="eastAsia"/>
                      <w:color w:val="auto"/>
                      <w:szCs w:val="21"/>
                      <w:highlight w:val="none"/>
                    </w:rPr>
                    <w:t>危废，定期交有资质单位处置</w:t>
                  </w:r>
                </w:p>
              </w:tc>
            </w:tr>
            <w:tr w14:paraId="4129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vAlign w:val="center"/>
                </w:tcPr>
                <w:p w14:paraId="62E75315">
                  <w:pPr>
                    <w:adjustRightInd w:val="0"/>
                    <w:snapToGrid w:val="0"/>
                    <w:jc w:val="center"/>
                    <w:rPr>
                      <w:color w:val="auto"/>
                      <w:szCs w:val="21"/>
                      <w:highlight w:val="none"/>
                    </w:rPr>
                  </w:pPr>
                </w:p>
              </w:tc>
              <w:tc>
                <w:tcPr>
                  <w:tcW w:w="1635" w:type="dxa"/>
                  <w:vAlign w:val="center"/>
                </w:tcPr>
                <w:p w14:paraId="673DB265">
                  <w:pPr>
                    <w:adjustRightInd w:val="0"/>
                    <w:snapToGrid w:val="0"/>
                    <w:jc w:val="center"/>
                    <w:rPr>
                      <w:color w:val="auto"/>
                      <w:szCs w:val="21"/>
                      <w:highlight w:val="none"/>
                    </w:rPr>
                  </w:pPr>
                  <w:r>
                    <w:rPr>
                      <w:rFonts w:hint="eastAsia"/>
                      <w:color w:val="auto"/>
                      <w:szCs w:val="21"/>
                      <w:highlight w:val="none"/>
                    </w:rPr>
                    <w:t>废模具维护耗材S6</w:t>
                  </w:r>
                </w:p>
              </w:tc>
              <w:tc>
                <w:tcPr>
                  <w:tcW w:w="1080" w:type="dxa"/>
                  <w:vAlign w:val="center"/>
                </w:tcPr>
                <w:p w14:paraId="0E9805FA">
                  <w:pPr>
                    <w:adjustRightInd w:val="0"/>
                    <w:snapToGrid w:val="0"/>
                    <w:jc w:val="center"/>
                    <w:rPr>
                      <w:color w:val="auto"/>
                      <w:szCs w:val="21"/>
                      <w:highlight w:val="none"/>
                    </w:rPr>
                  </w:pPr>
                  <w:r>
                    <w:rPr>
                      <w:rFonts w:hint="eastAsia"/>
                      <w:color w:val="auto"/>
                      <w:szCs w:val="21"/>
                      <w:highlight w:val="none"/>
                    </w:rPr>
                    <w:t>模具维修</w:t>
                  </w:r>
                </w:p>
              </w:tc>
              <w:tc>
                <w:tcPr>
                  <w:tcW w:w="2160" w:type="dxa"/>
                  <w:vAlign w:val="center"/>
                </w:tcPr>
                <w:p w14:paraId="07AA1E76">
                  <w:pPr>
                    <w:adjustRightInd w:val="0"/>
                    <w:snapToGrid w:val="0"/>
                    <w:jc w:val="center"/>
                    <w:rPr>
                      <w:color w:val="auto"/>
                      <w:szCs w:val="21"/>
                      <w:highlight w:val="none"/>
                    </w:rPr>
                  </w:pPr>
                  <w:r>
                    <w:rPr>
                      <w:rFonts w:hint="eastAsia"/>
                      <w:color w:val="auto"/>
                      <w:szCs w:val="21"/>
                      <w:highlight w:val="none"/>
                    </w:rPr>
                    <w:t>丝锥、弹簧、冲针等</w:t>
                  </w:r>
                </w:p>
              </w:tc>
              <w:tc>
                <w:tcPr>
                  <w:tcW w:w="2949" w:type="dxa"/>
                  <w:vAlign w:val="center"/>
                </w:tcPr>
                <w:p w14:paraId="0A797E4C">
                  <w:pPr>
                    <w:adjustRightInd w:val="0"/>
                    <w:snapToGrid w:val="0"/>
                    <w:jc w:val="center"/>
                    <w:rPr>
                      <w:color w:val="auto"/>
                      <w:szCs w:val="21"/>
                      <w:highlight w:val="none"/>
                    </w:rPr>
                  </w:pPr>
                  <w:r>
                    <w:rPr>
                      <w:rFonts w:hint="eastAsia"/>
                      <w:color w:val="auto"/>
                      <w:szCs w:val="21"/>
                      <w:highlight w:val="none"/>
                    </w:rPr>
                    <w:t>一般固废，定期交由物资回收单位回收处置</w:t>
                  </w:r>
                </w:p>
              </w:tc>
            </w:tr>
            <w:tr w14:paraId="453A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vAlign w:val="center"/>
                </w:tcPr>
                <w:p w14:paraId="31EAC616">
                  <w:pPr>
                    <w:adjustRightInd w:val="0"/>
                    <w:snapToGrid w:val="0"/>
                    <w:jc w:val="center"/>
                    <w:rPr>
                      <w:color w:val="auto"/>
                      <w:szCs w:val="21"/>
                      <w:highlight w:val="none"/>
                    </w:rPr>
                  </w:pPr>
                </w:p>
              </w:tc>
              <w:tc>
                <w:tcPr>
                  <w:tcW w:w="1635" w:type="dxa"/>
                  <w:vAlign w:val="center"/>
                </w:tcPr>
                <w:p w14:paraId="2F2123D5">
                  <w:pPr>
                    <w:adjustRightInd w:val="0"/>
                    <w:snapToGrid w:val="0"/>
                    <w:jc w:val="center"/>
                    <w:rPr>
                      <w:color w:val="auto"/>
                      <w:szCs w:val="21"/>
                      <w:highlight w:val="none"/>
                    </w:rPr>
                  </w:pPr>
                  <w:r>
                    <w:rPr>
                      <w:rFonts w:hint="eastAsia"/>
                      <w:color w:val="auto"/>
                      <w:szCs w:val="21"/>
                      <w:highlight w:val="none"/>
                    </w:rPr>
                    <w:t>废含油抹布S7</w:t>
                  </w:r>
                </w:p>
              </w:tc>
              <w:tc>
                <w:tcPr>
                  <w:tcW w:w="1080" w:type="dxa"/>
                  <w:vAlign w:val="center"/>
                </w:tcPr>
                <w:p w14:paraId="2C39532B">
                  <w:pPr>
                    <w:adjustRightInd w:val="0"/>
                    <w:snapToGrid w:val="0"/>
                    <w:jc w:val="center"/>
                    <w:rPr>
                      <w:color w:val="auto"/>
                      <w:szCs w:val="21"/>
                      <w:highlight w:val="none"/>
                    </w:rPr>
                  </w:pPr>
                  <w:r>
                    <w:rPr>
                      <w:rFonts w:hint="eastAsia"/>
                      <w:color w:val="auto"/>
                      <w:szCs w:val="21"/>
                      <w:highlight w:val="none"/>
                    </w:rPr>
                    <w:t>模具维修</w:t>
                  </w:r>
                </w:p>
              </w:tc>
              <w:tc>
                <w:tcPr>
                  <w:tcW w:w="2160" w:type="dxa"/>
                  <w:vAlign w:val="center"/>
                </w:tcPr>
                <w:p w14:paraId="7568B516">
                  <w:pPr>
                    <w:adjustRightInd w:val="0"/>
                    <w:snapToGrid w:val="0"/>
                    <w:jc w:val="center"/>
                    <w:rPr>
                      <w:color w:val="auto"/>
                      <w:szCs w:val="21"/>
                      <w:highlight w:val="none"/>
                    </w:rPr>
                  </w:pPr>
                  <w:r>
                    <w:rPr>
                      <w:color w:val="auto"/>
                      <w:szCs w:val="21"/>
                      <w:highlight w:val="none"/>
                    </w:rPr>
                    <w:t>含油抹布</w:t>
                  </w:r>
                </w:p>
              </w:tc>
              <w:tc>
                <w:tcPr>
                  <w:tcW w:w="2949" w:type="dxa"/>
                  <w:vAlign w:val="center"/>
                </w:tcPr>
                <w:p w14:paraId="31506514">
                  <w:pPr>
                    <w:adjustRightInd w:val="0"/>
                    <w:snapToGrid w:val="0"/>
                    <w:jc w:val="center"/>
                    <w:rPr>
                      <w:color w:val="auto"/>
                      <w:szCs w:val="21"/>
                      <w:highlight w:val="none"/>
                    </w:rPr>
                  </w:pPr>
                  <w:r>
                    <w:rPr>
                      <w:color w:val="auto"/>
                      <w:szCs w:val="21"/>
                      <w:highlight w:val="none"/>
                    </w:rPr>
                    <w:t>危废，定期交有资质单位处置</w:t>
                  </w:r>
                </w:p>
              </w:tc>
            </w:tr>
            <w:tr w14:paraId="5E1C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vAlign w:val="center"/>
                </w:tcPr>
                <w:p w14:paraId="14BBF12B">
                  <w:pPr>
                    <w:adjustRightInd w:val="0"/>
                    <w:snapToGrid w:val="0"/>
                    <w:jc w:val="center"/>
                    <w:rPr>
                      <w:color w:val="auto"/>
                      <w:szCs w:val="21"/>
                      <w:highlight w:val="none"/>
                    </w:rPr>
                  </w:pPr>
                </w:p>
              </w:tc>
              <w:tc>
                <w:tcPr>
                  <w:tcW w:w="1635" w:type="dxa"/>
                  <w:vAlign w:val="center"/>
                </w:tcPr>
                <w:p w14:paraId="02CFAA7B">
                  <w:pPr>
                    <w:adjustRightInd w:val="0"/>
                    <w:snapToGrid w:val="0"/>
                    <w:jc w:val="center"/>
                    <w:rPr>
                      <w:color w:val="auto"/>
                      <w:kern w:val="0"/>
                      <w:szCs w:val="21"/>
                      <w:highlight w:val="none"/>
                    </w:rPr>
                  </w:pPr>
                  <w:r>
                    <w:rPr>
                      <w:rFonts w:hint="eastAsia"/>
                      <w:color w:val="auto"/>
                      <w:kern w:val="0"/>
                      <w:szCs w:val="21"/>
                      <w:highlight w:val="none"/>
                    </w:rPr>
                    <w:t>废液压油S8</w:t>
                  </w:r>
                </w:p>
              </w:tc>
              <w:tc>
                <w:tcPr>
                  <w:tcW w:w="1080" w:type="dxa"/>
                  <w:vMerge w:val="restart"/>
                  <w:vAlign w:val="center"/>
                </w:tcPr>
                <w:p w14:paraId="3E2D8812">
                  <w:pPr>
                    <w:adjustRightInd w:val="0"/>
                    <w:snapToGrid w:val="0"/>
                    <w:jc w:val="center"/>
                    <w:rPr>
                      <w:color w:val="auto"/>
                      <w:szCs w:val="21"/>
                      <w:highlight w:val="none"/>
                    </w:rPr>
                  </w:pPr>
                  <w:r>
                    <w:rPr>
                      <w:rFonts w:hint="eastAsia"/>
                      <w:color w:val="auto"/>
                      <w:szCs w:val="21"/>
                      <w:highlight w:val="none"/>
                    </w:rPr>
                    <w:t>设备维护保养</w:t>
                  </w:r>
                </w:p>
              </w:tc>
              <w:tc>
                <w:tcPr>
                  <w:tcW w:w="2160" w:type="dxa"/>
                  <w:vAlign w:val="center"/>
                </w:tcPr>
                <w:p w14:paraId="7EF80016">
                  <w:pPr>
                    <w:adjustRightInd w:val="0"/>
                    <w:snapToGrid w:val="0"/>
                    <w:jc w:val="center"/>
                    <w:rPr>
                      <w:color w:val="auto"/>
                      <w:szCs w:val="21"/>
                      <w:highlight w:val="none"/>
                    </w:rPr>
                  </w:pPr>
                  <w:r>
                    <w:rPr>
                      <w:rFonts w:hint="eastAsia"/>
                      <w:color w:val="auto"/>
                      <w:szCs w:val="21"/>
                      <w:highlight w:val="none"/>
                    </w:rPr>
                    <w:t>废油</w:t>
                  </w:r>
                </w:p>
              </w:tc>
              <w:tc>
                <w:tcPr>
                  <w:tcW w:w="2949" w:type="dxa"/>
                  <w:vAlign w:val="center"/>
                </w:tcPr>
                <w:p w14:paraId="2BCE0CE9">
                  <w:pPr>
                    <w:adjustRightInd w:val="0"/>
                    <w:snapToGrid w:val="0"/>
                    <w:jc w:val="center"/>
                    <w:rPr>
                      <w:color w:val="auto"/>
                      <w:szCs w:val="21"/>
                      <w:highlight w:val="none"/>
                    </w:rPr>
                  </w:pPr>
                  <w:r>
                    <w:rPr>
                      <w:color w:val="auto"/>
                      <w:szCs w:val="21"/>
                      <w:highlight w:val="none"/>
                    </w:rPr>
                    <w:t>危废，定期交有资质单位处置</w:t>
                  </w:r>
                </w:p>
              </w:tc>
            </w:tr>
            <w:tr w14:paraId="4532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vAlign w:val="center"/>
                </w:tcPr>
                <w:p w14:paraId="79D124C4">
                  <w:pPr>
                    <w:adjustRightInd w:val="0"/>
                    <w:snapToGrid w:val="0"/>
                    <w:jc w:val="center"/>
                    <w:rPr>
                      <w:color w:val="auto"/>
                      <w:szCs w:val="21"/>
                      <w:highlight w:val="none"/>
                    </w:rPr>
                  </w:pPr>
                </w:p>
              </w:tc>
              <w:tc>
                <w:tcPr>
                  <w:tcW w:w="1635" w:type="dxa"/>
                  <w:vAlign w:val="center"/>
                </w:tcPr>
                <w:p w14:paraId="1C450862">
                  <w:pPr>
                    <w:adjustRightInd w:val="0"/>
                    <w:snapToGrid w:val="0"/>
                    <w:jc w:val="center"/>
                    <w:rPr>
                      <w:color w:val="auto"/>
                      <w:kern w:val="0"/>
                      <w:szCs w:val="21"/>
                      <w:highlight w:val="none"/>
                    </w:rPr>
                  </w:pPr>
                  <w:r>
                    <w:rPr>
                      <w:rFonts w:hint="eastAsia"/>
                      <w:color w:val="auto"/>
                      <w:kern w:val="0"/>
                      <w:szCs w:val="21"/>
                      <w:highlight w:val="none"/>
                    </w:rPr>
                    <w:t>废润滑油S9</w:t>
                  </w:r>
                </w:p>
              </w:tc>
              <w:tc>
                <w:tcPr>
                  <w:tcW w:w="1080" w:type="dxa"/>
                  <w:vMerge w:val="continue"/>
                  <w:vAlign w:val="center"/>
                </w:tcPr>
                <w:p w14:paraId="1F5E3067">
                  <w:pPr>
                    <w:adjustRightInd w:val="0"/>
                    <w:snapToGrid w:val="0"/>
                    <w:jc w:val="center"/>
                    <w:rPr>
                      <w:color w:val="auto"/>
                      <w:szCs w:val="21"/>
                      <w:highlight w:val="none"/>
                    </w:rPr>
                  </w:pPr>
                </w:p>
              </w:tc>
              <w:tc>
                <w:tcPr>
                  <w:tcW w:w="2160" w:type="dxa"/>
                  <w:vAlign w:val="center"/>
                </w:tcPr>
                <w:p w14:paraId="2E0F36FF">
                  <w:pPr>
                    <w:adjustRightInd w:val="0"/>
                    <w:snapToGrid w:val="0"/>
                    <w:jc w:val="center"/>
                    <w:rPr>
                      <w:color w:val="auto"/>
                      <w:szCs w:val="21"/>
                      <w:highlight w:val="none"/>
                    </w:rPr>
                  </w:pPr>
                  <w:r>
                    <w:rPr>
                      <w:color w:val="auto"/>
                      <w:szCs w:val="21"/>
                      <w:highlight w:val="none"/>
                    </w:rPr>
                    <w:t>废油</w:t>
                  </w:r>
                </w:p>
              </w:tc>
              <w:tc>
                <w:tcPr>
                  <w:tcW w:w="2949" w:type="dxa"/>
                  <w:vAlign w:val="center"/>
                </w:tcPr>
                <w:p w14:paraId="6F6DEDB0">
                  <w:pPr>
                    <w:adjustRightInd w:val="0"/>
                    <w:snapToGrid w:val="0"/>
                    <w:jc w:val="center"/>
                    <w:rPr>
                      <w:color w:val="auto"/>
                      <w:szCs w:val="21"/>
                      <w:highlight w:val="none"/>
                    </w:rPr>
                  </w:pPr>
                  <w:r>
                    <w:rPr>
                      <w:color w:val="auto"/>
                      <w:szCs w:val="21"/>
                      <w:highlight w:val="none"/>
                    </w:rPr>
                    <w:t>危废，定期交有资质单位处置</w:t>
                  </w:r>
                </w:p>
              </w:tc>
            </w:tr>
            <w:tr w14:paraId="2C778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vAlign w:val="center"/>
                </w:tcPr>
                <w:p w14:paraId="0793C36A">
                  <w:pPr>
                    <w:adjustRightInd w:val="0"/>
                    <w:snapToGrid w:val="0"/>
                    <w:jc w:val="center"/>
                    <w:rPr>
                      <w:color w:val="auto"/>
                      <w:szCs w:val="21"/>
                      <w:highlight w:val="none"/>
                    </w:rPr>
                  </w:pPr>
                </w:p>
              </w:tc>
              <w:tc>
                <w:tcPr>
                  <w:tcW w:w="1635" w:type="dxa"/>
                  <w:vAlign w:val="center"/>
                </w:tcPr>
                <w:p w14:paraId="3DC31784">
                  <w:pPr>
                    <w:adjustRightInd w:val="0"/>
                    <w:snapToGrid w:val="0"/>
                    <w:jc w:val="center"/>
                    <w:rPr>
                      <w:color w:val="auto"/>
                      <w:kern w:val="0"/>
                      <w:szCs w:val="21"/>
                      <w:highlight w:val="none"/>
                    </w:rPr>
                  </w:pPr>
                  <w:r>
                    <w:rPr>
                      <w:rFonts w:hint="eastAsia"/>
                      <w:color w:val="auto"/>
                      <w:kern w:val="0"/>
                      <w:szCs w:val="21"/>
                      <w:highlight w:val="none"/>
                    </w:rPr>
                    <w:t>废含油棉纱、手套S10</w:t>
                  </w:r>
                </w:p>
              </w:tc>
              <w:tc>
                <w:tcPr>
                  <w:tcW w:w="1080" w:type="dxa"/>
                  <w:vMerge w:val="continue"/>
                  <w:vAlign w:val="center"/>
                </w:tcPr>
                <w:p w14:paraId="0B18762B">
                  <w:pPr>
                    <w:adjustRightInd w:val="0"/>
                    <w:snapToGrid w:val="0"/>
                    <w:jc w:val="center"/>
                    <w:rPr>
                      <w:color w:val="auto"/>
                      <w:szCs w:val="21"/>
                      <w:highlight w:val="none"/>
                    </w:rPr>
                  </w:pPr>
                </w:p>
              </w:tc>
              <w:tc>
                <w:tcPr>
                  <w:tcW w:w="2160" w:type="dxa"/>
                  <w:vAlign w:val="center"/>
                </w:tcPr>
                <w:p w14:paraId="1D99E46C">
                  <w:pPr>
                    <w:adjustRightInd w:val="0"/>
                    <w:snapToGrid w:val="0"/>
                    <w:jc w:val="center"/>
                    <w:rPr>
                      <w:color w:val="auto"/>
                      <w:szCs w:val="21"/>
                      <w:highlight w:val="none"/>
                    </w:rPr>
                  </w:pPr>
                  <w:r>
                    <w:rPr>
                      <w:rFonts w:hint="eastAsia"/>
                      <w:color w:val="auto"/>
                      <w:szCs w:val="21"/>
                      <w:highlight w:val="none"/>
                    </w:rPr>
                    <w:t>含油劳保用品</w:t>
                  </w:r>
                </w:p>
              </w:tc>
              <w:tc>
                <w:tcPr>
                  <w:tcW w:w="2949" w:type="dxa"/>
                  <w:vAlign w:val="center"/>
                </w:tcPr>
                <w:p w14:paraId="0B27C9C2">
                  <w:pPr>
                    <w:adjustRightInd w:val="0"/>
                    <w:snapToGrid w:val="0"/>
                    <w:jc w:val="center"/>
                    <w:rPr>
                      <w:color w:val="auto"/>
                      <w:szCs w:val="21"/>
                      <w:highlight w:val="none"/>
                    </w:rPr>
                  </w:pPr>
                  <w:r>
                    <w:rPr>
                      <w:color w:val="auto"/>
                      <w:szCs w:val="21"/>
                      <w:highlight w:val="none"/>
                    </w:rPr>
                    <w:t>危废，定期交有资质单位处置</w:t>
                  </w:r>
                </w:p>
              </w:tc>
            </w:tr>
            <w:tr w14:paraId="483AE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vAlign w:val="center"/>
                </w:tcPr>
                <w:p w14:paraId="5BE36468">
                  <w:pPr>
                    <w:adjustRightInd w:val="0"/>
                    <w:snapToGrid w:val="0"/>
                    <w:jc w:val="center"/>
                    <w:rPr>
                      <w:color w:val="auto"/>
                      <w:szCs w:val="21"/>
                      <w:highlight w:val="none"/>
                    </w:rPr>
                  </w:pPr>
                </w:p>
              </w:tc>
              <w:tc>
                <w:tcPr>
                  <w:tcW w:w="1635" w:type="dxa"/>
                  <w:vAlign w:val="center"/>
                </w:tcPr>
                <w:p w14:paraId="079619B6">
                  <w:pPr>
                    <w:adjustRightInd w:val="0"/>
                    <w:snapToGrid w:val="0"/>
                    <w:jc w:val="center"/>
                    <w:rPr>
                      <w:color w:val="auto"/>
                      <w:kern w:val="0"/>
                      <w:szCs w:val="21"/>
                      <w:highlight w:val="none"/>
                    </w:rPr>
                  </w:pPr>
                  <w:r>
                    <w:rPr>
                      <w:rFonts w:hint="eastAsia"/>
                      <w:color w:val="auto"/>
                      <w:kern w:val="0"/>
                      <w:szCs w:val="21"/>
                      <w:highlight w:val="none"/>
                    </w:rPr>
                    <w:t>废油桶S11</w:t>
                  </w:r>
                </w:p>
              </w:tc>
              <w:tc>
                <w:tcPr>
                  <w:tcW w:w="1080" w:type="dxa"/>
                  <w:vAlign w:val="center"/>
                </w:tcPr>
                <w:p w14:paraId="56D551DD">
                  <w:pPr>
                    <w:adjustRightInd w:val="0"/>
                    <w:snapToGrid w:val="0"/>
                    <w:jc w:val="center"/>
                    <w:rPr>
                      <w:color w:val="auto"/>
                      <w:szCs w:val="21"/>
                      <w:highlight w:val="none"/>
                    </w:rPr>
                  </w:pPr>
                  <w:r>
                    <w:rPr>
                      <w:rFonts w:hint="eastAsia"/>
                      <w:color w:val="auto"/>
                      <w:szCs w:val="21"/>
                      <w:highlight w:val="none"/>
                    </w:rPr>
                    <w:t>润滑油、液压油等包装</w:t>
                  </w:r>
                </w:p>
              </w:tc>
              <w:tc>
                <w:tcPr>
                  <w:tcW w:w="2160" w:type="dxa"/>
                  <w:vAlign w:val="center"/>
                </w:tcPr>
                <w:p w14:paraId="6D557FDA">
                  <w:pPr>
                    <w:adjustRightInd w:val="0"/>
                    <w:snapToGrid w:val="0"/>
                    <w:jc w:val="center"/>
                    <w:rPr>
                      <w:color w:val="auto"/>
                      <w:szCs w:val="21"/>
                      <w:highlight w:val="none"/>
                    </w:rPr>
                  </w:pPr>
                  <w:r>
                    <w:rPr>
                      <w:rFonts w:hint="eastAsia"/>
                      <w:color w:val="auto"/>
                      <w:szCs w:val="21"/>
                      <w:highlight w:val="none"/>
                    </w:rPr>
                    <w:t>含油废包装容器</w:t>
                  </w:r>
                </w:p>
              </w:tc>
              <w:tc>
                <w:tcPr>
                  <w:tcW w:w="2949" w:type="dxa"/>
                  <w:vAlign w:val="center"/>
                </w:tcPr>
                <w:p w14:paraId="7AB04BEE">
                  <w:pPr>
                    <w:adjustRightInd w:val="0"/>
                    <w:snapToGrid w:val="0"/>
                    <w:jc w:val="center"/>
                    <w:rPr>
                      <w:color w:val="auto"/>
                      <w:szCs w:val="21"/>
                      <w:highlight w:val="none"/>
                    </w:rPr>
                  </w:pPr>
                  <w:r>
                    <w:rPr>
                      <w:color w:val="auto"/>
                      <w:szCs w:val="21"/>
                      <w:highlight w:val="none"/>
                    </w:rPr>
                    <w:t>危废，定期交有资质单位处置</w:t>
                  </w:r>
                </w:p>
              </w:tc>
            </w:tr>
            <w:tr w14:paraId="2410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vAlign w:val="center"/>
                </w:tcPr>
                <w:p w14:paraId="2A6BDD69">
                  <w:pPr>
                    <w:adjustRightInd w:val="0"/>
                    <w:snapToGrid w:val="0"/>
                    <w:jc w:val="center"/>
                    <w:rPr>
                      <w:color w:val="auto"/>
                      <w:szCs w:val="21"/>
                      <w:highlight w:val="none"/>
                    </w:rPr>
                  </w:pPr>
                </w:p>
              </w:tc>
              <w:tc>
                <w:tcPr>
                  <w:tcW w:w="1635" w:type="dxa"/>
                  <w:vAlign w:val="center"/>
                </w:tcPr>
                <w:p w14:paraId="6BD17921">
                  <w:pPr>
                    <w:adjustRightInd w:val="0"/>
                    <w:snapToGrid w:val="0"/>
                    <w:jc w:val="center"/>
                    <w:rPr>
                      <w:color w:val="auto"/>
                      <w:kern w:val="0"/>
                      <w:szCs w:val="21"/>
                      <w:highlight w:val="none"/>
                    </w:rPr>
                  </w:pPr>
                  <w:r>
                    <w:rPr>
                      <w:rFonts w:hint="eastAsia"/>
                      <w:color w:val="auto"/>
                      <w:kern w:val="0"/>
                      <w:szCs w:val="21"/>
                      <w:highlight w:val="none"/>
                    </w:rPr>
                    <w:t>废滤芯S12</w:t>
                  </w:r>
                </w:p>
              </w:tc>
              <w:tc>
                <w:tcPr>
                  <w:tcW w:w="1080" w:type="dxa"/>
                  <w:vMerge w:val="restart"/>
                  <w:vAlign w:val="center"/>
                </w:tcPr>
                <w:p w14:paraId="4D7A0472">
                  <w:pPr>
                    <w:adjustRightInd w:val="0"/>
                    <w:snapToGrid w:val="0"/>
                    <w:jc w:val="center"/>
                    <w:rPr>
                      <w:color w:val="auto"/>
                      <w:szCs w:val="21"/>
                      <w:highlight w:val="none"/>
                    </w:rPr>
                  </w:pPr>
                  <w:r>
                    <w:rPr>
                      <w:rFonts w:hint="eastAsia"/>
                      <w:color w:val="auto"/>
                      <w:szCs w:val="21"/>
                      <w:highlight w:val="none"/>
                    </w:rPr>
                    <w:t>废气处理</w:t>
                  </w:r>
                </w:p>
              </w:tc>
              <w:tc>
                <w:tcPr>
                  <w:tcW w:w="2160" w:type="dxa"/>
                  <w:vAlign w:val="center"/>
                </w:tcPr>
                <w:p w14:paraId="0E4050B6">
                  <w:pPr>
                    <w:adjustRightInd w:val="0"/>
                    <w:snapToGrid w:val="0"/>
                    <w:jc w:val="center"/>
                    <w:rPr>
                      <w:color w:val="auto"/>
                      <w:szCs w:val="21"/>
                      <w:highlight w:val="none"/>
                    </w:rPr>
                  </w:pPr>
                  <w:r>
                    <w:rPr>
                      <w:rFonts w:hint="eastAsia"/>
                      <w:color w:val="auto"/>
                      <w:szCs w:val="21"/>
                      <w:highlight w:val="none"/>
                    </w:rPr>
                    <w:t>废滤芯</w:t>
                  </w:r>
                </w:p>
              </w:tc>
              <w:tc>
                <w:tcPr>
                  <w:tcW w:w="2949" w:type="dxa"/>
                  <w:vAlign w:val="center"/>
                </w:tcPr>
                <w:p w14:paraId="516C5023">
                  <w:pPr>
                    <w:adjustRightInd w:val="0"/>
                    <w:snapToGrid w:val="0"/>
                    <w:jc w:val="center"/>
                    <w:rPr>
                      <w:color w:val="auto"/>
                      <w:szCs w:val="21"/>
                      <w:highlight w:val="none"/>
                    </w:rPr>
                  </w:pPr>
                  <w:r>
                    <w:rPr>
                      <w:color w:val="auto"/>
                      <w:szCs w:val="21"/>
                      <w:highlight w:val="none"/>
                    </w:rPr>
                    <w:t>一般固废，定期交由物资回收单位回收处置</w:t>
                  </w:r>
                </w:p>
              </w:tc>
            </w:tr>
            <w:tr w14:paraId="7EF5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vAlign w:val="center"/>
                </w:tcPr>
                <w:p w14:paraId="4C9C0C9E">
                  <w:pPr>
                    <w:adjustRightInd w:val="0"/>
                    <w:snapToGrid w:val="0"/>
                    <w:jc w:val="center"/>
                    <w:rPr>
                      <w:color w:val="auto"/>
                      <w:szCs w:val="21"/>
                      <w:highlight w:val="none"/>
                    </w:rPr>
                  </w:pPr>
                </w:p>
              </w:tc>
              <w:tc>
                <w:tcPr>
                  <w:tcW w:w="1635" w:type="dxa"/>
                  <w:vAlign w:val="center"/>
                </w:tcPr>
                <w:p w14:paraId="7CE55CFF">
                  <w:pPr>
                    <w:adjustRightInd w:val="0"/>
                    <w:snapToGrid w:val="0"/>
                    <w:jc w:val="center"/>
                    <w:rPr>
                      <w:color w:val="auto"/>
                      <w:kern w:val="0"/>
                      <w:szCs w:val="21"/>
                      <w:highlight w:val="none"/>
                    </w:rPr>
                  </w:pPr>
                  <w:r>
                    <w:rPr>
                      <w:rFonts w:hint="eastAsia"/>
                      <w:color w:val="auto"/>
                      <w:kern w:val="0"/>
                      <w:szCs w:val="21"/>
                      <w:highlight w:val="none"/>
                    </w:rPr>
                    <w:t>除尘灰S13</w:t>
                  </w:r>
                </w:p>
              </w:tc>
              <w:tc>
                <w:tcPr>
                  <w:tcW w:w="1080" w:type="dxa"/>
                  <w:vMerge w:val="continue"/>
                  <w:vAlign w:val="center"/>
                </w:tcPr>
                <w:p w14:paraId="5B669B3F">
                  <w:pPr>
                    <w:adjustRightInd w:val="0"/>
                    <w:snapToGrid w:val="0"/>
                    <w:jc w:val="center"/>
                    <w:rPr>
                      <w:color w:val="auto"/>
                      <w:szCs w:val="21"/>
                      <w:highlight w:val="none"/>
                    </w:rPr>
                  </w:pPr>
                </w:p>
              </w:tc>
              <w:tc>
                <w:tcPr>
                  <w:tcW w:w="2160" w:type="dxa"/>
                  <w:vAlign w:val="center"/>
                </w:tcPr>
                <w:p w14:paraId="4B409F25">
                  <w:pPr>
                    <w:adjustRightInd w:val="0"/>
                    <w:snapToGrid w:val="0"/>
                    <w:jc w:val="center"/>
                    <w:rPr>
                      <w:color w:val="auto"/>
                      <w:szCs w:val="21"/>
                      <w:highlight w:val="none"/>
                    </w:rPr>
                  </w:pPr>
                  <w:r>
                    <w:rPr>
                      <w:rFonts w:hint="eastAsia"/>
                      <w:color w:val="auto"/>
                      <w:szCs w:val="21"/>
                      <w:highlight w:val="none"/>
                    </w:rPr>
                    <w:t>金属粉尘</w:t>
                  </w:r>
                </w:p>
              </w:tc>
              <w:tc>
                <w:tcPr>
                  <w:tcW w:w="2949" w:type="dxa"/>
                  <w:vAlign w:val="center"/>
                </w:tcPr>
                <w:p w14:paraId="5C66167C">
                  <w:pPr>
                    <w:adjustRightInd w:val="0"/>
                    <w:snapToGrid w:val="0"/>
                    <w:jc w:val="center"/>
                    <w:rPr>
                      <w:color w:val="auto"/>
                      <w:szCs w:val="21"/>
                      <w:highlight w:val="none"/>
                    </w:rPr>
                  </w:pPr>
                  <w:r>
                    <w:rPr>
                      <w:color w:val="auto"/>
                      <w:szCs w:val="21"/>
                      <w:highlight w:val="none"/>
                    </w:rPr>
                    <w:t>一般固废，定期交由物资回收单位回收处置</w:t>
                  </w:r>
                </w:p>
              </w:tc>
            </w:tr>
            <w:tr w14:paraId="3D72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vAlign w:val="center"/>
                </w:tcPr>
                <w:p w14:paraId="04362938">
                  <w:pPr>
                    <w:adjustRightInd w:val="0"/>
                    <w:snapToGrid w:val="0"/>
                    <w:jc w:val="center"/>
                    <w:rPr>
                      <w:color w:val="auto"/>
                      <w:szCs w:val="21"/>
                      <w:highlight w:val="none"/>
                    </w:rPr>
                  </w:pPr>
                </w:p>
              </w:tc>
              <w:tc>
                <w:tcPr>
                  <w:tcW w:w="1635" w:type="dxa"/>
                  <w:vAlign w:val="center"/>
                </w:tcPr>
                <w:p w14:paraId="7E30B178">
                  <w:pPr>
                    <w:adjustRightInd w:val="0"/>
                    <w:snapToGrid w:val="0"/>
                    <w:jc w:val="center"/>
                    <w:rPr>
                      <w:color w:val="auto"/>
                      <w:kern w:val="0"/>
                      <w:szCs w:val="21"/>
                      <w:highlight w:val="none"/>
                    </w:rPr>
                  </w:pPr>
                  <w:r>
                    <w:rPr>
                      <w:rFonts w:hint="eastAsia"/>
                      <w:color w:val="auto"/>
                      <w:kern w:val="0"/>
                      <w:szCs w:val="21"/>
                      <w:highlight w:val="none"/>
                    </w:rPr>
                    <w:t>生化污泥S14</w:t>
                  </w:r>
                </w:p>
              </w:tc>
              <w:tc>
                <w:tcPr>
                  <w:tcW w:w="1080" w:type="dxa"/>
                  <w:vAlign w:val="center"/>
                </w:tcPr>
                <w:p w14:paraId="4908F659">
                  <w:pPr>
                    <w:adjustRightInd w:val="0"/>
                    <w:snapToGrid w:val="0"/>
                    <w:jc w:val="center"/>
                    <w:rPr>
                      <w:color w:val="auto"/>
                      <w:szCs w:val="21"/>
                      <w:highlight w:val="none"/>
                    </w:rPr>
                  </w:pPr>
                  <w:r>
                    <w:rPr>
                      <w:rFonts w:hint="eastAsia"/>
                      <w:color w:val="auto"/>
                      <w:szCs w:val="21"/>
                      <w:highlight w:val="none"/>
                    </w:rPr>
                    <w:t>废水处理</w:t>
                  </w:r>
                </w:p>
              </w:tc>
              <w:tc>
                <w:tcPr>
                  <w:tcW w:w="2160" w:type="dxa"/>
                  <w:vAlign w:val="center"/>
                </w:tcPr>
                <w:p w14:paraId="6A5885F6">
                  <w:pPr>
                    <w:adjustRightInd w:val="0"/>
                    <w:snapToGrid w:val="0"/>
                    <w:jc w:val="center"/>
                    <w:rPr>
                      <w:color w:val="auto"/>
                      <w:szCs w:val="21"/>
                      <w:highlight w:val="none"/>
                    </w:rPr>
                  </w:pPr>
                  <w:r>
                    <w:rPr>
                      <w:rFonts w:hint="eastAsia"/>
                      <w:color w:val="auto"/>
                      <w:szCs w:val="21"/>
                      <w:highlight w:val="none"/>
                    </w:rPr>
                    <w:t>污泥</w:t>
                  </w:r>
                </w:p>
              </w:tc>
              <w:tc>
                <w:tcPr>
                  <w:tcW w:w="2949" w:type="dxa"/>
                  <w:vAlign w:val="center"/>
                </w:tcPr>
                <w:p w14:paraId="7601BA56">
                  <w:pPr>
                    <w:adjustRightInd w:val="0"/>
                    <w:snapToGrid w:val="0"/>
                    <w:jc w:val="center"/>
                    <w:rPr>
                      <w:color w:val="auto"/>
                      <w:szCs w:val="21"/>
                      <w:highlight w:val="none"/>
                    </w:rPr>
                  </w:pPr>
                  <w:r>
                    <w:rPr>
                      <w:rFonts w:hint="eastAsia"/>
                      <w:color w:val="auto"/>
                      <w:szCs w:val="21"/>
                      <w:highlight w:val="none"/>
                    </w:rPr>
                    <w:t>定期清掏，</w:t>
                  </w:r>
                  <w:r>
                    <w:rPr>
                      <w:color w:val="auto"/>
                      <w:szCs w:val="21"/>
                      <w:highlight w:val="none"/>
                    </w:rPr>
                    <w:t>交环卫部门处置</w:t>
                  </w:r>
                </w:p>
              </w:tc>
            </w:tr>
            <w:tr w14:paraId="49BA1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vAlign w:val="center"/>
                </w:tcPr>
                <w:p w14:paraId="71633FD6">
                  <w:pPr>
                    <w:adjustRightInd w:val="0"/>
                    <w:snapToGrid w:val="0"/>
                    <w:jc w:val="center"/>
                    <w:rPr>
                      <w:color w:val="auto"/>
                      <w:szCs w:val="21"/>
                      <w:highlight w:val="none"/>
                    </w:rPr>
                  </w:pPr>
                </w:p>
              </w:tc>
              <w:tc>
                <w:tcPr>
                  <w:tcW w:w="1635" w:type="dxa"/>
                  <w:vAlign w:val="center"/>
                </w:tcPr>
                <w:p w14:paraId="6F714A94">
                  <w:pPr>
                    <w:adjustRightInd w:val="0"/>
                    <w:snapToGrid w:val="0"/>
                    <w:jc w:val="center"/>
                    <w:rPr>
                      <w:color w:val="auto"/>
                      <w:szCs w:val="21"/>
                      <w:highlight w:val="none"/>
                    </w:rPr>
                  </w:pPr>
                  <w:r>
                    <w:rPr>
                      <w:color w:val="auto"/>
                      <w:szCs w:val="21"/>
                      <w:highlight w:val="none"/>
                    </w:rPr>
                    <w:t>生活垃圾</w:t>
                  </w:r>
                  <w:r>
                    <w:rPr>
                      <w:rFonts w:hint="eastAsia"/>
                      <w:color w:val="auto"/>
                      <w:szCs w:val="21"/>
                      <w:highlight w:val="none"/>
                    </w:rPr>
                    <w:t>S15</w:t>
                  </w:r>
                </w:p>
              </w:tc>
              <w:tc>
                <w:tcPr>
                  <w:tcW w:w="1080" w:type="dxa"/>
                  <w:vAlign w:val="center"/>
                </w:tcPr>
                <w:p w14:paraId="290C09CE">
                  <w:pPr>
                    <w:adjustRightInd w:val="0"/>
                    <w:snapToGrid w:val="0"/>
                    <w:jc w:val="center"/>
                    <w:rPr>
                      <w:color w:val="auto"/>
                      <w:szCs w:val="21"/>
                      <w:highlight w:val="none"/>
                    </w:rPr>
                  </w:pPr>
                  <w:r>
                    <w:rPr>
                      <w:color w:val="auto"/>
                      <w:szCs w:val="21"/>
                      <w:highlight w:val="none"/>
                    </w:rPr>
                    <w:t>员工生活</w:t>
                  </w:r>
                </w:p>
              </w:tc>
              <w:tc>
                <w:tcPr>
                  <w:tcW w:w="2160" w:type="dxa"/>
                  <w:vAlign w:val="center"/>
                </w:tcPr>
                <w:p w14:paraId="155E28EA">
                  <w:pPr>
                    <w:adjustRightInd w:val="0"/>
                    <w:snapToGrid w:val="0"/>
                    <w:jc w:val="center"/>
                    <w:rPr>
                      <w:color w:val="auto"/>
                      <w:szCs w:val="21"/>
                      <w:highlight w:val="none"/>
                    </w:rPr>
                  </w:pPr>
                  <w:r>
                    <w:rPr>
                      <w:color w:val="auto"/>
                      <w:szCs w:val="21"/>
                      <w:highlight w:val="none"/>
                    </w:rPr>
                    <w:t>纸张、塑料袋等</w:t>
                  </w:r>
                </w:p>
              </w:tc>
              <w:tc>
                <w:tcPr>
                  <w:tcW w:w="2949" w:type="dxa"/>
                  <w:vAlign w:val="center"/>
                </w:tcPr>
                <w:p w14:paraId="1E3945D8">
                  <w:pPr>
                    <w:pStyle w:val="90"/>
                    <w:autoSpaceDE w:val="0"/>
                    <w:autoSpaceDN w:val="0"/>
                    <w:jc w:val="center"/>
                    <w:textAlignment w:val="bottom"/>
                    <w:rPr>
                      <w:rFonts w:eastAsia="宋体"/>
                      <w:color w:val="auto"/>
                      <w:sz w:val="21"/>
                      <w:szCs w:val="21"/>
                      <w:highlight w:val="none"/>
                    </w:rPr>
                  </w:pPr>
                  <w:r>
                    <w:rPr>
                      <w:rFonts w:eastAsia="宋体"/>
                      <w:color w:val="auto"/>
                      <w:sz w:val="21"/>
                      <w:szCs w:val="21"/>
                      <w:highlight w:val="none"/>
                    </w:rPr>
                    <w:t>厂区内设垃圾桶，收集后</w:t>
                  </w:r>
                  <w:r>
                    <w:rPr>
                      <w:rFonts w:hint="eastAsia" w:eastAsia="宋体"/>
                      <w:color w:val="auto"/>
                      <w:sz w:val="21"/>
                      <w:szCs w:val="21"/>
                      <w:highlight w:val="none"/>
                    </w:rPr>
                    <w:t>统一</w:t>
                  </w:r>
                  <w:r>
                    <w:rPr>
                      <w:rFonts w:eastAsia="宋体"/>
                      <w:color w:val="auto"/>
                      <w:sz w:val="21"/>
                      <w:szCs w:val="21"/>
                      <w:highlight w:val="none"/>
                    </w:rPr>
                    <w:t>交环卫部门处置</w:t>
                  </w:r>
                </w:p>
              </w:tc>
            </w:tr>
            <w:tr w14:paraId="752B7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vAlign w:val="center"/>
                </w:tcPr>
                <w:p w14:paraId="3F5B89A2">
                  <w:pPr>
                    <w:adjustRightInd w:val="0"/>
                    <w:snapToGrid w:val="0"/>
                    <w:jc w:val="center"/>
                    <w:rPr>
                      <w:color w:val="auto"/>
                      <w:szCs w:val="21"/>
                      <w:highlight w:val="none"/>
                    </w:rPr>
                  </w:pPr>
                </w:p>
              </w:tc>
              <w:tc>
                <w:tcPr>
                  <w:tcW w:w="1635" w:type="dxa"/>
                  <w:vAlign w:val="center"/>
                </w:tcPr>
                <w:p w14:paraId="1439A154">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含油废液</w:t>
                  </w:r>
                </w:p>
              </w:tc>
              <w:tc>
                <w:tcPr>
                  <w:tcW w:w="1080" w:type="dxa"/>
                  <w:vAlign w:val="center"/>
                </w:tcPr>
                <w:p w14:paraId="1AA56E4D">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空压机</w:t>
                  </w:r>
                </w:p>
              </w:tc>
              <w:tc>
                <w:tcPr>
                  <w:tcW w:w="2160" w:type="dxa"/>
                  <w:vAlign w:val="center"/>
                </w:tcPr>
                <w:p w14:paraId="605D4D53">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废油</w:t>
                  </w:r>
                </w:p>
              </w:tc>
              <w:tc>
                <w:tcPr>
                  <w:tcW w:w="2949" w:type="dxa"/>
                  <w:vAlign w:val="center"/>
                </w:tcPr>
                <w:p w14:paraId="06510150">
                  <w:pPr>
                    <w:pStyle w:val="90"/>
                    <w:autoSpaceDE w:val="0"/>
                    <w:autoSpaceDN w:val="0"/>
                    <w:jc w:val="center"/>
                    <w:textAlignment w:val="bottom"/>
                    <w:rPr>
                      <w:rFonts w:eastAsia="宋体"/>
                      <w:color w:val="auto"/>
                      <w:sz w:val="21"/>
                      <w:szCs w:val="21"/>
                      <w:highlight w:val="none"/>
                    </w:rPr>
                  </w:pPr>
                  <w:r>
                    <w:rPr>
                      <w:rFonts w:hint="eastAsia" w:eastAsia="宋体"/>
                      <w:color w:val="auto"/>
                      <w:sz w:val="21"/>
                      <w:szCs w:val="21"/>
                      <w:highlight w:val="none"/>
                    </w:rPr>
                    <w:t>危废，定期交有资质单位处置</w:t>
                  </w:r>
                </w:p>
              </w:tc>
            </w:tr>
          </w:tbl>
          <w:p w14:paraId="14796004">
            <w:pPr>
              <w:keepNext/>
              <w:keepLines/>
              <w:autoSpaceDE w:val="0"/>
              <w:autoSpaceDN w:val="0"/>
              <w:adjustRightInd w:val="0"/>
              <w:ind w:firstLine="522"/>
              <w:textAlignment w:val="baseline"/>
              <w:rPr>
                <w:color w:val="auto"/>
                <w:kern w:val="0"/>
                <w:sz w:val="26"/>
                <w:szCs w:val="26"/>
                <w:highlight w:val="none"/>
              </w:rPr>
            </w:pPr>
          </w:p>
        </w:tc>
      </w:tr>
      <w:tr w14:paraId="2B3A72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48" w:hRule="atLeast"/>
          <w:jc w:val="center"/>
        </w:trPr>
        <w:tc>
          <w:tcPr>
            <w:tcW w:w="1384" w:type="dxa"/>
            <w:gridSpan w:val="2"/>
            <w:vAlign w:val="center"/>
          </w:tcPr>
          <w:p w14:paraId="440E22D6">
            <w:pPr>
              <w:pStyle w:val="15"/>
              <w:adjustRightInd w:val="0"/>
              <w:snapToGrid w:val="0"/>
              <w:spacing w:before="0" w:beforeAutospacing="0" w:after="0" w:afterAutospacing="0"/>
              <w:jc w:val="center"/>
              <w:rPr>
                <w:rFonts w:cs="宋体"/>
                <w:color w:val="auto"/>
                <w:sz w:val="26"/>
                <w:szCs w:val="26"/>
                <w:highlight w:val="none"/>
              </w:rPr>
            </w:pPr>
            <w:r>
              <w:rPr>
                <w:rFonts w:hint="eastAsia" w:cs="宋体"/>
                <w:bCs/>
                <w:color w:val="auto"/>
                <w:kern w:val="2"/>
                <w:sz w:val="26"/>
                <w:szCs w:val="26"/>
                <w:highlight w:val="none"/>
              </w:rPr>
              <w:t>与项目有关的原有环境污染问题</w:t>
            </w:r>
          </w:p>
        </w:tc>
        <w:tc>
          <w:tcPr>
            <w:tcW w:w="7676" w:type="dxa"/>
          </w:tcPr>
          <w:p w14:paraId="119F7A6F">
            <w:pPr>
              <w:widowControl/>
              <w:spacing w:line="460" w:lineRule="exact"/>
              <w:ind w:firstLine="522" w:firstLineChars="200"/>
              <w:rPr>
                <w:rFonts w:cs="宋体"/>
                <w:b/>
                <w:color w:val="auto"/>
                <w:sz w:val="26"/>
                <w:szCs w:val="26"/>
                <w:highlight w:val="none"/>
              </w:rPr>
            </w:pPr>
            <w:r>
              <w:rPr>
                <w:rFonts w:hint="eastAsia" w:cs="宋体"/>
                <w:b/>
                <w:color w:val="auto"/>
                <w:sz w:val="26"/>
                <w:szCs w:val="26"/>
                <w:highlight w:val="none"/>
              </w:rPr>
              <w:t>2</w:t>
            </w:r>
            <w:r>
              <w:rPr>
                <w:rFonts w:cs="宋体"/>
                <w:b/>
                <w:color w:val="auto"/>
                <w:sz w:val="26"/>
                <w:szCs w:val="26"/>
                <w:highlight w:val="none"/>
              </w:rPr>
              <w:t>.</w:t>
            </w:r>
            <w:r>
              <w:rPr>
                <w:rFonts w:hint="eastAsia" w:cs="宋体"/>
                <w:b/>
                <w:color w:val="auto"/>
                <w:sz w:val="26"/>
                <w:szCs w:val="26"/>
                <w:highlight w:val="none"/>
              </w:rPr>
              <w:t>11与项目有关的原有环境污染问题</w:t>
            </w:r>
          </w:p>
          <w:p w14:paraId="5278B9D1">
            <w:pPr>
              <w:widowControl/>
              <w:spacing w:line="460" w:lineRule="exact"/>
              <w:ind w:firstLine="522" w:firstLineChars="200"/>
              <w:rPr>
                <w:rFonts w:cs="宋体"/>
                <w:b/>
                <w:color w:val="auto"/>
                <w:sz w:val="26"/>
                <w:szCs w:val="26"/>
                <w:highlight w:val="none"/>
              </w:rPr>
            </w:pPr>
            <w:r>
              <w:rPr>
                <w:rFonts w:hint="eastAsia" w:cs="宋体"/>
                <w:b/>
                <w:color w:val="auto"/>
                <w:sz w:val="26"/>
                <w:szCs w:val="26"/>
                <w:highlight w:val="none"/>
              </w:rPr>
              <w:t>2.11.1现有项目环保手续履行情况</w:t>
            </w:r>
          </w:p>
          <w:p w14:paraId="62505762">
            <w:pPr>
              <w:widowControl/>
              <w:spacing w:line="460" w:lineRule="exact"/>
              <w:ind w:firstLine="520" w:firstLineChars="200"/>
              <w:rPr>
                <w:rFonts w:cs="宋体"/>
                <w:bCs/>
                <w:color w:val="auto"/>
                <w:sz w:val="26"/>
                <w:szCs w:val="26"/>
                <w:highlight w:val="none"/>
              </w:rPr>
            </w:pPr>
            <w:r>
              <w:rPr>
                <w:rFonts w:hint="eastAsia" w:cs="宋体"/>
                <w:bCs/>
                <w:color w:val="auto"/>
                <w:sz w:val="26"/>
                <w:szCs w:val="26"/>
                <w:highlight w:val="none"/>
              </w:rPr>
              <w:t>重庆友拓汽车零部件有限公司于2013年组织编制了《重庆友拓汽车零部件有限公司合川厂区工程建设项目环境影响报告表》并取得合川区生态环境局批准书渝（合）环准</w:t>
            </w:r>
            <w:bookmarkStart w:id="58" w:name="hmcheck_1303c68f22594a439884108b3b8ec6af"/>
            <w:r>
              <w:rPr>
                <w:rFonts w:hint="eastAsia" w:cs="宋体"/>
                <w:bCs/>
                <w:color w:val="auto"/>
                <w:sz w:val="26"/>
                <w:szCs w:val="26"/>
                <w:highlight w:val="none"/>
                <w:shd w:val="clear" w:fill="FFAFAA"/>
              </w:rPr>
              <w:t>〔2014〕021号</w:t>
            </w:r>
            <w:bookmarkEnd w:id="58"/>
            <w:r>
              <w:rPr>
                <w:rFonts w:hint="eastAsia" w:cs="宋体"/>
                <w:bCs/>
                <w:color w:val="auto"/>
                <w:sz w:val="26"/>
                <w:szCs w:val="26"/>
                <w:highlight w:val="none"/>
              </w:rPr>
              <w:t>，于2015年完成竣工环保验收（合川环发〔2015〕274号），已办理排污许可证登记（登记编号91500117072333920K002Z），有效期至2027年10月19日，现有项目具有完备的环保手续。</w:t>
            </w:r>
          </w:p>
          <w:p w14:paraId="0BE97D85">
            <w:pPr>
              <w:widowControl/>
              <w:spacing w:line="460" w:lineRule="exact"/>
              <w:ind w:firstLine="522" w:firstLineChars="200"/>
              <w:rPr>
                <w:rFonts w:cs="宋体"/>
                <w:b/>
                <w:color w:val="auto"/>
                <w:sz w:val="26"/>
                <w:szCs w:val="26"/>
                <w:highlight w:val="none"/>
              </w:rPr>
            </w:pPr>
            <w:r>
              <w:rPr>
                <w:rFonts w:hint="eastAsia" w:cs="宋体"/>
                <w:b/>
                <w:color w:val="auto"/>
                <w:sz w:val="26"/>
                <w:szCs w:val="26"/>
                <w:highlight w:val="none"/>
              </w:rPr>
              <w:t>2.11.2现有项目建设情况</w:t>
            </w:r>
          </w:p>
          <w:p w14:paraId="3CCA9D76">
            <w:pPr>
              <w:keepNext/>
              <w:keepLines/>
              <w:autoSpaceDE w:val="0"/>
              <w:autoSpaceDN w:val="0"/>
              <w:adjustRightInd w:val="0"/>
              <w:spacing w:line="480" w:lineRule="exact"/>
              <w:ind w:firstLine="520" w:firstLineChars="200"/>
              <w:jc w:val="left"/>
              <w:textAlignment w:val="baseline"/>
              <w:outlineLvl w:val="0"/>
              <w:rPr>
                <w:rFonts w:hAnsi="宋体"/>
                <w:color w:val="auto"/>
                <w:kern w:val="0"/>
                <w:sz w:val="26"/>
                <w:szCs w:val="26"/>
                <w:highlight w:val="none"/>
              </w:rPr>
            </w:pPr>
            <w:r>
              <w:rPr>
                <w:rFonts w:hint="eastAsia" w:hAnsi="宋体"/>
                <w:color w:val="auto"/>
                <w:kern w:val="0"/>
                <w:sz w:val="26"/>
                <w:szCs w:val="26"/>
                <w:highlight w:val="none"/>
              </w:rPr>
              <w:t>现有项目建设一条冲压件生产线，年产冲压件300万件（约1500吨），包括汽车减震器冲压件弹簧托盘、弹簧座、底盖、叶轮等。员工人数400人，实行两班制，8h/班，年工作300d。</w:t>
            </w:r>
          </w:p>
          <w:p w14:paraId="1E2A9F01">
            <w:pPr>
              <w:keepNext/>
              <w:keepLines/>
              <w:autoSpaceDE w:val="0"/>
              <w:autoSpaceDN w:val="0"/>
              <w:adjustRightInd w:val="0"/>
              <w:spacing w:line="480" w:lineRule="exact"/>
              <w:ind w:firstLine="520" w:firstLineChars="200"/>
              <w:jc w:val="left"/>
              <w:textAlignment w:val="baseline"/>
              <w:outlineLvl w:val="0"/>
              <w:rPr>
                <w:rFonts w:hAnsi="宋体"/>
                <w:color w:val="auto"/>
                <w:kern w:val="0"/>
                <w:sz w:val="26"/>
                <w:szCs w:val="26"/>
                <w:highlight w:val="none"/>
              </w:rPr>
            </w:pPr>
            <w:r>
              <w:rPr>
                <w:rFonts w:hint="eastAsia" w:hAnsi="宋体"/>
                <w:color w:val="auto"/>
                <w:kern w:val="0"/>
                <w:sz w:val="26"/>
                <w:szCs w:val="26"/>
                <w:highlight w:val="none"/>
              </w:rPr>
              <w:t>现有项目组成情况见表2.11-1，主要设备见表2.11-2。</w:t>
            </w:r>
          </w:p>
          <w:p w14:paraId="0E9CD34E">
            <w:pPr>
              <w:autoSpaceDE w:val="0"/>
              <w:autoSpaceDN w:val="0"/>
              <w:adjustRightInd w:val="0"/>
              <w:jc w:val="center"/>
              <w:textAlignment w:val="baseline"/>
              <w:rPr>
                <w:bCs/>
                <w:color w:val="auto"/>
                <w:kern w:val="0"/>
                <w:sz w:val="26"/>
                <w:szCs w:val="26"/>
                <w:highlight w:val="none"/>
              </w:rPr>
            </w:pPr>
          </w:p>
          <w:p w14:paraId="6795D83B">
            <w:pPr>
              <w:autoSpaceDE w:val="0"/>
              <w:autoSpaceDN w:val="0"/>
              <w:adjustRightInd w:val="0"/>
              <w:jc w:val="center"/>
              <w:textAlignment w:val="baseline"/>
              <w:rPr>
                <w:bCs/>
                <w:color w:val="auto"/>
                <w:kern w:val="0"/>
                <w:sz w:val="26"/>
                <w:szCs w:val="26"/>
                <w:highlight w:val="none"/>
              </w:rPr>
            </w:pPr>
            <w:r>
              <w:rPr>
                <w:rFonts w:hint="eastAsia"/>
                <w:bCs/>
                <w:color w:val="auto"/>
                <w:kern w:val="0"/>
                <w:sz w:val="26"/>
                <w:szCs w:val="26"/>
                <w:highlight w:val="none"/>
              </w:rPr>
              <w:t>表2.11</w:t>
            </w:r>
            <w:r>
              <w:rPr>
                <w:bCs/>
                <w:color w:val="auto"/>
                <w:kern w:val="0"/>
                <w:sz w:val="26"/>
                <w:szCs w:val="26"/>
                <w:highlight w:val="none"/>
              </w:rPr>
              <w:t>-1</w:t>
            </w:r>
            <w:r>
              <w:rPr>
                <w:rFonts w:hint="eastAsia"/>
                <w:bCs/>
                <w:color w:val="auto"/>
                <w:kern w:val="0"/>
                <w:sz w:val="26"/>
                <w:szCs w:val="26"/>
                <w:highlight w:val="none"/>
              </w:rPr>
              <w:t xml:space="preserve"> </w:t>
            </w:r>
            <w:r>
              <w:rPr>
                <w:bCs/>
                <w:color w:val="auto"/>
                <w:kern w:val="0"/>
                <w:sz w:val="26"/>
                <w:szCs w:val="26"/>
                <w:highlight w:val="none"/>
              </w:rPr>
              <w:t xml:space="preserve"> </w:t>
            </w:r>
            <w:r>
              <w:rPr>
                <w:rFonts w:hint="eastAsia"/>
                <w:bCs/>
                <w:color w:val="auto"/>
                <w:kern w:val="0"/>
                <w:sz w:val="26"/>
                <w:szCs w:val="26"/>
                <w:highlight w:val="none"/>
              </w:rPr>
              <w:t>现有项目</w:t>
            </w:r>
            <w:r>
              <w:rPr>
                <w:bCs/>
                <w:color w:val="auto"/>
                <w:kern w:val="0"/>
                <w:sz w:val="26"/>
                <w:szCs w:val="26"/>
                <w:highlight w:val="none"/>
              </w:rPr>
              <w:t>组成</w:t>
            </w:r>
            <w:r>
              <w:rPr>
                <w:rFonts w:hint="eastAsia"/>
                <w:bCs/>
                <w:color w:val="auto"/>
                <w:kern w:val="0"/>
                <w:sz w:val="26"/>
                <w:szCs w:val="26"/>
                <w:highlight w:val="none"/>
              </w:rPr>
              <w:t>一览</w:t>
            </w:r>
            <w:r>
              <w:rPr>
                <w:bCs/>
                <w:color w:val="auto"/>
                <w:kern w:val="0"/>
                <w:sz w:val="26"/>
                <w:szCs w:val="26"/>
                <w:highlight w:val="none"/>
              </w:rPr>
              <w:t>表</w:t>
            </w:r>
          </w:p>
          <w:tbl>
            <w:tblPr>
              <w:tblStyle w:val="16"/>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547"/>
              <w:gridCol w:w="670"/>
              <w:gridCol w:w="4418"/>
              <w:gridCol w:w="1062"/>
            </w:tblGrid>
            <w:tr w14:paraId="1D8D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14:paraId="3C20618F">
                  <w:pPr>
                    <w:jc w:val="center"/>
                    <w:rPr>
                      <w:rFonts w:eastAsiaTheme="minorEastAsia"/>
                      <w:color w:val="auto"/>
                      <w:sz w:val="22"/>
                      <w:szCs w:val="22"/>
                      <w:highlight w:val="none"/>
                    </w:rPr>
                  </w:pPr>
                  <w:r>
                    <w:rPr>
                      <w:rFonts w:eastAsiaTheme="minorEastAsia"/>
                      <w:color w:val="auto"/>
                      <w:sz w:val="22"/>
                      <w:szCs w:val="22"/>
                      <w:highlight w:val="none"/>
                    </w:rPr>
                    <w:t>类别</w:t>
                  </w:r>
                </w:p>
              </w:tc>
              <w:tc>
                <w:tcPr>
                  <w:tcW w:w="1217" w:type="dxa"/>
                  <w:gridSpan w:val="2"/>
                  <w:vAlign w:val="center"/>
                </w:tcPr>
                <w:p w14:paraId="27CD7882">
                  <w:pPr>
                    <w:jc w:val="center"/>
                    <w:rPr>
                      <w:rFonts w:eastAsiaTheme="minorEastAsia"/>
                      <w:color w:val="auto"/>
                      <w:sz w:val="22"/>
                      <w:szCs w:val="22"/>
                      <w:highlight w:val="none"/>
                    </w:rPr>
                  </w:pPr>
                  <w:r>
                    <w:rPr>
                      <w:rFonts w:eastAsiaTheme="minorEastAsia"/>
                      <w:color w:val="auto"/>
                      <w:sz w:val="22"/>
                      <w:szCs w:val="22"/>
                      <w:highlight w:val="none"/>
                    </w:rPr>
                    <w:t>工程组成</w:t>
                  </w:r>
                </w:p>
              </w:tc>
              <w:tc>
                <w:tcPr>
                  <w:tcW w:w="4418" w:type="dxa"/>
                  <w:vAlign w:val="center"/>
                </w:tcPr>
                <w:p w14:paraId="0D173193">
                  <w:pPr>
                    <w:jc w:val="center"/>
                    <w:rPr>
                      <w:rFonts w:eastAsiaTheme="minorEastAsia"/>
                      <w:color w:val="auto"/>
                      <w:sz w:val="22"/>
                      <w:szCs w:val="22"/>
                      <w:highlight w:val="none"/>
                    </w:rPr>
                  </w:pPr>
                  <w:r>
                    <w:rPr>
                      <w:rFonts w:eastAsiaTheme="minorEastAsia"/>
                      <w:color w:val="auto"/>
                      <w:sz w:val="22"/>
                      <w:szCs w:val="22"/>
                      <w:highlight w:val="none"/>
                    </w:rPr>
                    <w:t>主要建设内容</w:t>
                  </w:r>
                </w:p>
              </w:tc>
              <w:tc>
                <w:tcPr>
                  <w:tcW w:w="1062" w:type="dxa"/>
                  <w:vAlign w:val="center"/>
                </w:tcPr>
                <w:p w14:paraId="03751D68">
                  <w:pPr>
                    <w:jc w:val="center"/>
                    <w:rPr>
                      <w:rFonts w:eastAsiaTheme="minorEastAsia"/>
                      <w:color w:val="auto"/>
                      <w:sz w:val="22"/>
                      <w:szCs w:val="22"/>
                      <w:highlight w:val="none"/>
                    </w:rPr>
                  </w:pPr>
                  <w:r>
                    <w:rPr>
                      <w:rFonts w:hint="eastAsia" w:eastAsiaTheme="minorEastAsia"/>
                      <w:color w:val="auto"/>
                      <w:sz w:val="22"/>
                      <w:szCs w:val="22"/>
                      <w:highlight w:val="none"/>
                    </w:rPr>
                    <w:t>本项目与现有项目的关联</w:t>
                  </w:r>
                </w:p>
              </w:tc>
            </w:tr>
            <w:tr w14:paraId="3559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restart"/>
                  <w:vAlign w:val="center"/>
                </w:tcPr>
                <w:p w14:paraId="70D014C6">
                  <w:pPr>
                    <w:jc w:val="center"/>
                    <w:rPr>
                      <w:rFonts w:eastAsiaTheme="minorEastAsia"/>
                      <w:color w:val="auto"/>
                      <w:sz w:val="22"/>
                      <w:szCs w:val="22"/>
                      <w:highlight w:val="none"/>
                    </w:rPr>
                  </w:pPr>
                  <w:r>
                    <w:rPr>
                      <w:rFonts w:eastAsiaTheme="minorEastAsia"/>
                      <w:color w:val="auto"/>
                      <w:sz w:val="22"/>
                      <w:szCs w:val="22"/>
                      <w:highlight w:val="none"/>
                    </w:rPr>
                    <w:t>主体工程</w:t>
                  </w:r>
                </w:p>
              </w:tc>
              <w:tc>
                <w:tcPr>
                  <w:tcW w:w="547" w:type="dxa"/>
                  <w:vMerge w:val="restart"/>
                  <w:vAlign w:val="center"/>
                </w:tcPr>
                <w:p w14:paraId="1B07F1A1">
                  <w:pPr>
                    <w:pStyle w:val="71"/>
                    <w:jc w:val="center"/>
                    <w:textAlignment w:val="center"/>
                    <w:rPr>
                      <w:rFonts w:eastAsiaTheme="minorEastAsia"/>
                      <w:color w:val="auto"/>
                      <w:sz w:val="22"/>
                      <w:szCs w:val="22"/>
                      <w:highlight w:val="none"/>
                    </w:rPr>
                  </w:pPr>
                  <w:r>
                    <w:rPr>
                      <w:rFonts w:eastAsiaTheme="minorEastAsia"/>
                      <w:color w:val="auto"/>
                      <w:sz w:val="22"/>
                      <w:szCs w:val="22"/>
                      <w:highlight w:val="none"/>
                    </w:rPr>
                    <w:t>生产厂房</w:t>
                  </w:r>
                </w:p>
              </w:tc>
              <w:tc>
                <w:tcPr>
                  <w:tcW w:w="670" w:type="dxa"/>
                  <w:vAlign w:val="center"/>
                </w:tcPr>
                <w:p w14:paraId="7EBDA38A">
                  <w:pPr>
                    <w:pStyle w:val="71"/>
                    <w:jc w:val="center"/>
                    <w:textAlignment w:val="center"/>
                    <w:rPr>
                      <w:rFonts w:eastAsiaTheme="minorEastAsia"/>
                      <w:color w:val="auto"/>
                      <w:sz w:val="22"/>
                      <w:szCs w:val="22"/>
                      <w:highlight w:val="none"/>
                    </w:rPr>
                  </w:pPr>
                  <w:r>
                    <w:rPr>
                      <w:rFonts w:hint="eastAsia" w:eastAsiaTheme="minorEastAsia"/>
                      <w:color w:val="auto"/>
                      <w:sz w:val="22"/>
                      <w:szCs w:val="22"/>
                      <w:highlight w:val="none"/>
                    </w:rPr>
                    <w:t>冲压车间</w:t>
                  </w:r>
                </w:p>
              </w:tc>
              <w:tc>
                <w:tcPr>
                  <w:tcW w:w="4418" w:type="dxa"/>
                  <w:vAlign w:val="center"/>
                </w:tcPr>
                <w:p w14:paraId="0CA3564F">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单层钢结构，层高为9m，冲压车间位于厂房西边，厂房内采用区域划分，车间主要采用油压机对材料进行冲压。</w:t>
                  </w:r>
                </w:p>
              </w:tc>
              <w:tc>
                <w:tcPr>
                  <w:tcW w:w="1062" w:type="dxa"/>
                  <w:vMerge w:val="restart"/>
                  <w:vAlign w:val="center"/>
                </w:tcPr>
                <w:p w14:paraId="261BD3D3">
                  <w:pPr>
                    <w:adjustRightInd w:val="0"/>
                    <w:snapToGrid w:val="0"/>
                    <w:jc w:val="center"/>
                    <w:rPr>
                      <w:rFonts w:eastAsiaTheme="minorEastAsia"/>
                      <w:color w:val="auto"/>
                      <w:sz w:val="22"/>
                      <w:szCs w:val="22"/>
                      <w:highlight w:val="none"/>
                    </w:rPr>
                  </w:pPr>
                  <w:r>
                    <w:rPr>
                      <w:rFonts w:eastAsiaTheme="minorEastAsia"/>
                      <w:color w:val="auto"/>
                      <w:sz w:val="22"/>
                      <w:szCs w:val="22"/>
                      <w:highlight w:val="none"/>
                    </w:rPr>
                    <w:t>本次利旧</w:t>
                  </w:r>
                  <w:r>
                    <w:rPr>
                      <w:rFonts w:hint="eastAsia" w:eastAsiaTheme="minorEastAsia"/>
                      <w:color w:val="auto"/>
                      <w:sz w:val="22"/>
                      <w:szCs w:val="22"/>
                      <w:highlight w:val="none"/>
                    </w:rPr>
                    <w:t>+改造</w:t>
                  </w:r>
                </w:p>
              </w:tc>
            </w:tr>
            <w:tr w14:paraId="7542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continue"/>
                  <w:vAlign w:val="center"/>
                </w:tcPr>
                <w:p w14:paraId="6B90E8EF">
                  <w:pPr>
                    <w:jc w:val="center"/>
                    <w:rPr>
                      <w:rFonts w:eastAsiaTheme="minorEastAsia"/>
                      <w:color w:val="auto"/>
                      <w:sz w:val="22"/>
                      <w:szCs w:val="22"/>
                      <w:highlight w:val="none"/>
                    </w:rPr>
                  </w:pPr>
                </w:p>
              </w:tc>
              <w:tc>
                <w:tcPr>
                  <w:tcW w:w="547" w:type="dxa"/>
                  <w:vMerge w:val="continue"/>
                  <w:vAlign w:val="center"/>
                </w:tcPr>
                <w:p w14:paraId="6908F82F">
                  <w:pPr>
                    <w:pStyle w:val="71"/>
                    <w:jc w:val="center"/>
                    <w:textAlignment w:val="center"/>
                    <w:rPr>
                      <w:rFonts w:eastAsiaTheme="minorEastAsia"/>
                      <w:color w:val="auto"/>
                      <w:sz w:val="22"/>
                      <w:szCs w:val="22"/>
                      <w:highlight w:val="none"/>
                    </w:rPr>
                  </w:pPr>
                </w:p>
              </w:tc>
              <w:tc>
                <w:tcPr>
                  <w:tcW w:w="670" w:type="dxa"/>
                  <w:vAlign w:val="center"/>
                </w:tcPr>
                <w:p w14:paraId="24270CDB">
                  <w:pPr>
                    <w:pStyle w:val="71"/>
                    <w:jc w:val="center"/>
                    <w:textAlignment w:val="center"/>
                    <w:rPr>
                      <w:rFonts w:eastAsiaTheme="minorEastAsia"/>
                      <w:color w:val="auto"/>
                      <w:sz w:val="22"/>
                      <w:szCs w:val="22"/>
                      <w:highlight w:val="none"/>
                    </w:rPr>
                  </w:pPr>
                  <w:r>
                    <w:rPr>
                      <w:rFonts w:hint="eastAsia" w:eastAsiaTheme="minorEastAsia"/>
                      <w:color w:val="auto"/>
                      <w:sz w:val="22"/>
                      <w:szCs w:val="22"/>
                      <w:highlight w:val="none"/>
                    </w:rPr>
                    <w:t>焊接车间</w:t>
                  </w:r>
                </w:p>
              </w:tc>
              <w:tc>
                <w:tcPr>
                  <w:tcW w:w="4418" w:type="dxa"/>
                  <w:vAlign w:val="center"/>
                </w:tcPr>
                <w:p w14:paraId="4001DD5A">
                  <w:pPr>
                    <w:adjustRightInd w:val="0"/>
                    <w:snapToGrid w:val="0"/>
                    <w:jc w:val="center"/>
                    <w:rPr>
                      <w:rFonts w:eastAsiaTheme="minorEastAsia"/>
                      <w:color w:val="auto"/>
                      <w:sz w:val="22"/>
                      <w:szCs w:val="22"/>
                      <w:highlight w:val="none"/>
                    </w:rPr>
                  </w:pPr>
                  <w:r>
                    <w:rPr>
                      <w:rFonts w:eastAsiaTheme="minorEastAsia"/>
                      <w:color w:val="auto"/>
                      <w:sz w:val="22"/>
                      <w:szCs w:val="22"/>
                      <w:highlight w:val="none"/>
                    </w:rPr>
                    <w:t>单层钢架结构，高9m</w:t>
                  </w:r>
                  <w:r>
                    <w:rPr>
                      <w:rFonts w:hint="eastAsia" w:eastAsiaTheme="minorEastAsia"/>
                      <w:color w:val="auto"/>
                      <w:sz w:val="22"/>
                      <w:szCs w:val="22"/>
                      <w:highlight w:val="none"/>
                    </w:rPr>
                    <w:t>，</w:t>
                  </w:r>
                  <w:r>
                    <w:rPr>
                      <w:rFonts w:eastAsiaTheme="minorEastAsia"/>
                      <w:color w:val="auto"/>
                      <w:sz w:val="22"/>
                      <w:szCs w:val="22"/>
                      <w:highlight w:val="none"/>
                    </w:rPr>
                    <w:t>焊接车间位于厂房东边，主要生产工艺为将零部件固定后进行焊接牢固</w:t>
                  </w:r>
                  <w:r>
                    <w:rPr>
                      <w:rFonts w:hint="eastAsia" w:eastAsiaTheme="minorEastAsia"/>
                      <w:color w:val="auto"/>
                      <w:sz w:val="22"/>
                      <w:szCs w:val="22"/>
                      <w:highlight w:val="none"/>
                    </w:rPr>
                    <w:t>。</w:t>
                  </w:r>
                </w:p>
              </w:tc>
              <w:tc>
                <w:tcPr>
                  <w:tcW w:w="1062" w:type="dxa"/>
                  <w:vMerge w:val="continue"/>
                  <w:vAlign w:val="center"/>
                </w:tcPr>
                <w:p w14:paraId="7C1877DB">
                  <w:pPr>
                    <w:adjustRightInd w:val="0"/>
                    <w:snapToGrid w:val="0"/>
                    <w:jc w:val="center"/>
                    <w:rPr>
                      <w:rFonts w:eastAsiaTheme="minorEastAsia"/>
                      <w:color w:val="auto"/>
                      <w:sz w:val="22"/>
                      <w:szCs w:val="22"/>
                      <w:highlight w:val="none"/>
                    </w:rPr>
                  </w:pPr>
                </w:p>
              </w:tc>
            </w:tr>
            <w:tr w14:paraId="547C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continue"/>
                  <w:vAlign w:val="center"/>
                </w:tcPr>
                <w:p w14:paraId="190E080D">
                  <w:pPr>
                    <w:jc w:val="center"/>
                    <w:rPr>
                      <w:rFonts w:eastAsiaTheme="minorEastAsia"/>
                      <w:color w:val="auto"/>
                      <w:sz w:val="22"/>
                      <w:szCs w:val="22"/>
                      <w:highlight w:val="none"/>
                    </w:rPr>
                  </w:pPr>
                </w:p>
              </w:tc>
              <w:tc>
                <w:tcPr>
                  <w:tcW w:w="1217" w:type="dxa"/>
                  <w:gridSpan w:val="2"/>
                  <w:vAlign w:val="center"/>
                </w:tcPr>
                <w:p w14:paraId="5059CC16">
                  <w:pPr>
                    <w:pStyle w:val="71"/>
                    <w:jc w:val="center"/>
                    <w:textAlignment w:val="center"/>
                    <w:rPr>
                      <w:rFonts w:eastAsiaTheme="minorEastAsia"/>
                      <w:color w:val="auto"/>
                      <w:sz w:val="22"/>
                      <w:szCs w:val="22"/>
                      <w:highlight w:val="none"/>
                    </w:rPr>
                  </w:pPr>
                  <w:r>
                    <w:rPr>
                      <w:rFonts w:hint="eastAsia" w:eastAsiaTheme="minorEastAsia"/>
                      <w:color w:val="auto"/>
                      <w:sz w:val="22"/>
                      <w:szCs w:val="22"/>
                      <w:highlight w:val="none"/>
                    </w:rPr>
                    <w:t>辅助用房</w:t>
                  </w:r>
                </w:p>
              </w:tc>
              <w:tc>
                <w:tcPr>
                  <w:tcW w:w="4418" w:type="dxa"/>
                  <w:vAlign w:val="center"/>
                </w:tcPr>
                <w:p w14:paraId="040FBC9E">
                  <w:pPr>
                    <w:adjustRightInd w:val="0"/>
                    <w:snapToGrid w:val="0"/>
                    <w:jc w:val="center"/>
                    <w:rPr>
                      <w:rFonts w:eastAsiaTheme="minorEastAsia"/>
                      <w:color w:val="auto"/>
                      <w:sz w:val="22"/>
                      <w:szCs w:val="22"/>
                      <w:highlight w:val="none"/>
                    </w:rPr>
                  </w:pPr>
                  <w:r>
                    <w:rPr>
                      <w:rFonts w:eastAsiaTheme="minorEastAsia"/>
                      <w:color w:val="auto"/>
                      <w:sz w:val="22"/>
                      <w:szCs w:val="22"/>
                      <w:highlight w:val="none"/>
                    </w:rPr>
                    <w:t>建筑面积</w:t>
                  </w:r>
                  <w:r>
                    <w:rPr>
                      <w:rFonts w:hint="eastAsia" w:eastAsiaTheme="minorEastAsia"/>
                      <w:color w:val="auto"/>
                      <w:sz w:val="22"/>
                      <w:szCs w:val="22"/>
                      <w:highlight w:val="none"/>
                    </w:rPr>
                    <w:t>3604.43</w:t>
                  </w:r>
                  <w:r>
                    <w:rPr>
                      <w:rFonts w:eastAsiaTheme="minorEastAsia"/>
                      <w:color w:val="auto"/>
                      <w:sz w:val="22"/>
                      <w:szCs w:val="22"/>
                      <w:highlight w:val="none"/>
                    </w:rPr>
                    <w:t>m</w:t>
                  </w:r>
                  <w:r>
                    <w:rPr>
                      <w:rFonts w:eastAsiaTheme="minorEastAsia"/>
                      <w:color w:val="auto"/>
                      <w:sz w:val="22"/>
                      <w:szCs w:val="22"/>
                      <w:highlight w:val="none"/>
                      <w:vertAlign w:val="superscript"/>
                    </w:rPr>
                    <w:t>2</w:t>
                  </w:r>
                  <w:r>
                    <w:rPr>
                      <w:rFonts w:eastAsiaTheme="minorEastAsia"/>
                      <w:color w:val="auto"/>
                      <w:sz w:val="22"/>
                      <w:szCs w:val="22"/>
                      <w:highlight w:val="none"/>
                    </w:rPr>
                    <w:t>，三层框架，其中一层层高为4.5m，二、三层层高为3.3m</w:t>
                  </w:r>
                  <w:r>
                    <w:rPr>
                      <w:rFonts w:hint="eastAsia" w:eastAsiaTheme="minorEastAsia"/>
                      <w:color w:val="auto"/>
                      <w:sz w:val="22"/>
                      <w:szCs w:val="22"/>
                      <w:highlight w:val="none"/>
                    </w:rPr>
                    <w:t>，</w:t>
                  </w:r>
                  <w:r>
                    <w:rPr>
                      <w:rFonts w:eastAsiaTheme="minorEastAsia"/>
                      <w:color w:val="auto"/>
                      <w:sz w:val="22"/>
                      <w:szCs w:val="22"/>
                      <w:highlight w:val="none"/>
                    </w:rPr>
                    <w:t>主要用于办公和管理用房，位于地块南边</w:t>
                  </w:r>
                  <w:r>
                    <w:rPr>
                      <w:rFonts w:hint="eastAsia" w:eastAsiaTheme="minorEastAsia"/>
                      <w:color w:val="auto"/>
                      <w:sz w:val="22"/>
                      <w:szCs w:val="22"/>
                      <w:highlight w:val="none"/>
                      <w:lang w:eastAsia="zh-CN"/>
                    </w:rPr>
                    <w:t>（</w:t>
                  </w:r>
                  <w:r>
                    <w:rPr>
                      <w:rFonts w:eastAsiaTheme="minorEastAsia"/>
                      <w:color w:val="auto"/>
                      <w:sz w:val="22"/>
                      <w:szCs w:val="22"/>
                      <w:highlight w:val="none"/>
                    </w:rPr>
                    <w:t>紧邻厂房南侧</w:t>
                  </w:r>
                  <w:r>
                    <w:rPr>
                      <w:rFonts w:hint="eastAsia" w:eastAsiaTheme="minorEastAsia"/>
                      <w:color w:val="auto"/>
                      <w:sz w:val="22"/>
                      <w:szCs w:val="22"/>
                      <w:highlight w:val="none"/>
                      <w:lang w:eastAsia="zh-CN"/>
                    </w:rPr>
                    <w:t>）</w:t>
                  </w:r>
                </w:p>
              </w:tc>
              <w:tc>
                <w:tcPr>
                  <w:tcW w:w="1062" w:type="dxa"/>
                  <w:vAlign w:val="center"/>
                </w:tcPr>
                <w:p w14:paraId="18A885DE">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本次利旧</w:t>
                  </w:r>
                </w:p>
              </w:tc>
            </w:tr>
            <w:tr w14:paraId="3665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restart"/>
                  <w:vAlign w:val="center"/>
                </w:tcPr>
                <w:p w14:paraId="45136AC4">
                  <w:pPr>
                    <w:jc w:val="center"/>
                    <w:rPr>
                      <w:rFonts w:eastAsiaTheme="minorEastAsia"/>
                      <w:color w:val="auto"/>
                      <w:sz w:val="22"/>
                      <w:szCs w:val="22"/>
                      <w:highlight w:val="none"/>
                    </w:rPr>
                  </w:pPr>
                  <w:r>
                    <w:rPr>
                      <w:rFonts w:hint="eastAsia" w:eastAsiaTheme="minorEastAsia"/>
                      <w:color w:val="auto"/>
                      <w:sz w:val="22"/>
                      <w:szCs w:val="22"/>
                      <w:highlight w:val="none"/>
                    </w:rPr>
                    <w:t>辅助工程</w:t>
                  </w:r>
                </w:p>
              </w:tc>
              <w:tc>
                <w:tcPr>
                  <w:tcW w:w="1217" w:type="dxa"/>
                  <w:gridSpan w:val="2"/>
                  <w:vAlign w:val="center"/>
                </w:tcPr>
                <w:p w14:paraId="23D4FFE5">
                  <w:pPr>
                    <w:pStyle w:val="71"/>
                    <w:jc w:val="center"/>
                    <w:textAlignment w:val="center"/>
                    <w:rPr>
                      <w:rFonts w:eastAsiaTheme="minorEastAsia"/>
                      <w:color w:val="auto"/>
                      <w:sz w:val="22"/>
                      <w:szCs w:val="22"/>
                      <w:highlight w:val="none"/>
                    </w:rPr>
                  </w:pPr>
                  <w:r>
                    <w:rPr>
                      <w:rFonts w:hint="eastAsia" w:eastAsiaTheme="minorEastAsia"/>
                      <w:color w:val="auto"/>
                      <w:sz w:val="22"/>
                      <w:szCs w:val="22"/>
                      <w:highlight w:val="none"/>
                    </w:rPr>
                    <w:t>门卫室</w:t>
                  </w:r>
                </w:p>
              </w:tc>
              <w:tc>
                <w:tcPr>
                  <w:tcW w:w="4418" w:type="dxa"/>
                  <w:vAlign w:val="center"/>
                </w:tcPr>
                <w:p w14:paraId="09BB01E6">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位于厂区东南边，占地面积32.4m</w:t>
                  </w:r>
                  <w:r>
                    <w:rPr>
                      <w:rFonts w:hint="eastAsia" w:eastAsiaTheme="minorEastAsia"/>
                      <w:color w:val="auto"/>
                      <w:sz w:val="22"/>
                      <w:szCs w:val="22"/>
                      <w:highlight w:val="none"/>
                      <w:vertAlign w:val="superscript"/>
                    </w:rPr>
                    <w:t>2</w:t>
                  </w:r>
                  <w:r>
                    <w:rPr>
                      <w:rFonts w:hint="eastAsia" w:eastAsiaTheme="minorEastAsia"/>
                      <w:color w:val="auto"/>
                      <w:sz w:val="22"/>
                      <w:szCs w:val="22"/>
                      <w:highlight w:val="none"/>
                    </w:rPr>
                    <w:t>。</w:t>
                  </w:r>
                </w:p>
              </w:tc>
              <w:tc>
                <w:tcPr>
                  <w:tcW w:w="1062" w:type="dxa"/>
                  <w:vMerge w:val="restart"/>
                  <w:vAlign w:val="center"/>
                </w:tcPr>
                <w:p w14:paraId="3A3EC9B9">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本次利旧</w:t>
                  </w:r>
                </w:p>
              </w:tc>
            </w:tr>
            <w:tr w14:paraId="2DA3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continue"/>
                  <w:vAlign w:val="center"/>
                </w:tcPr>
                <w:p w14:paraId="1FB0D500">
                  <w:pPr>
                    <w:jc w:val="center"/>
                    <w:rPr>
                      <w:rFonts w:eastAsiaTheme="minorEastAsia"/>
                      <w:color w:val="auto"/>
                      <w:sz w:val="22"/>
                      <w:szCs w:val="22"/>
                      <w:highlight w:val="none"/>
                    </w:rPr>
                  </w:pPr>
                </w:p>
              </w:tc>
              <w:tc>
                <w:tcPr>
                  <w:tcW w:w="1217" w:type="dxa"/>
                  <w:gridSpan w:val="2"/>
                  <w:vAlign w:val="center"/>
                </w:tcPr>
                <w:p w14:paraId="76DE2D98">
                  <w:pPr>
                    <w:pStyle w:val="71"/>
                    <w:jc w:val="center"/>
                    <w:textAlignment w:val="center"/>
                    <w:rPr>
                      <w:rFonts w:eastAsiaTheme="minorEastAsia"/>
                      <w:color w:val="auto"/>
                      <w:sz w:val="22"/>
                      <w:szCs w:val="22"/>
                      <w:highlight w:val="none"/>
                    </w:rPr>
                  </w:pPr>
                  <w:r>
                    <w:rPr>
                      <w:rFonts w:hint="eastAsia"/>
                      <w:color w:val="auto"/>
                      <w:sz w:val="22"/>
                      <w:szCs w:val="22"/>
                      <w:highlight w:val="none"/>
                    </w:rPr>
                    <w:t>道路、物流场地</w:t>
                  </w:r>
                </w:p>
              </w:tc>
              <w:tc>
                <w:tcPr>
                  <w:tcW w:w="4418" w:type="dxa"/>
                  <w:vAlign w:val="center"/>
                </w:tcPr>
                <w:p w14:paraId="2A9E4E48">
                  <w:pPr>
                    <w:pStyle w:val="55"/>
                    <w:spacing w:line="240" w:lineRule="auto"/>
                    <w:jc w:val="both"/>
                    <w:rPr>
                      <w:rFonts w:ascii="Times New Roman" w:hAnsi="Times New Roman" w:eastAsiaTheme="minorEastAsia"/>
                      <w:color w:val="auto"/>
                      <w:sz w:val="22"/>
                      <w:szCs w:val="22"/>
                      <w:highlight w:val="none"/>
                    </w:rPr>
                  </w:pPr>
                  <w:r>
                    <w:rPr>
                      <w:rFonts w:hint="eastAsia" w:ascii="Times New Roman" w:hAnsi="Times New Roman"/>
                      <w:color w:val="auto"/>
                      <w:sz w:val="22"/>
                      <w:szCs w:val="22"/>
                      <w:highlight w:val="none"/>
                    </w:rPr>
                    <w:t>位于生产厂房外四周，用于装卸和运输货物。</w:t>
                  </w:r>
                </w:p>
              </w:tc>
              <w:tc>
                <w:tcPr>
                  <w:tcW w:w="1062" w:type="dxa"/>
                  <w:vMerge w:val="continue"/>
                  <w:vAlign w:val="center"/>
                </w:tcPr>
                <w:p w14:paraId="436B43D4">
                  <w:pPr>
                    <w:adjustRightInd w:val="0"/>
                    <w:snapToGrid w:val="0"/>
                    <w:jc w:val="center"/>
                    <w:rPr>
                      <w:rFonts w:eastAsiaTheme="minorEastAsia"/>
                      <w:color w:val="auto"/>
                      <w:sz w:val="22"/>
                      <w:szCs w:val="22"/>
                      <w:highlight w:val="none"/>
                    </w:rPr>
                  </w:pPr>
                </w:p>
              </w:tc>
            </w:tr>
            <w:tr w14:paraId="43540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continue"/>
                  <w:vAlign w:val="center"/>
                </w:tcPr>
                <w:p w14:paraId="6CF56E22">
                  <w:pPr>
                    <w:jc w:val="center"/>
                    <w:rPr>
                      <w:rFonts w:eastAsiaTheme="minorEastAsia"/>
                      <w:color w:val="auto"/>
                      <w:sz w:val="22"/>
                      <w:szCs w:val="22"/>
                      <w:highlight w:val="none"/>
                    </w:rPr>
                  </w:pPr>
                </w:p>
              </w:tc>
              <w:tc>
                <w:tcPr>
                  <w:tcW w:w="1217" w:type="dxa"/>
                  <w:gridSpan w:val="2"/>
                  <w:vAlign w:val="center"/>
                </w:tcPr>
                <w:p w14:paraId="5C7A035C">
                  <w:pPr>
                    <w:pStyle w:val="71"/>
                    <w:jc w:val="center"/>
                    <w:textAlignment w:val="center"/>
                    <w:rPr>
                      <w:rFonts w:eastAsiaTheme="minorEastAsia"/>
                      <w:color w:val="auto"/>
                      <w:sz w:val="22"/>
                      <w:szCs w:val="22"/>
                      <w:highlight w:val="none"/>
                    </w:rPr>
                  </w:pPr>
                  <w:r>
                    <w:rPr>
                      <w:rFonts w:hint="eastAsia"/>
                      <w:color w:val="auto"/>
                      <w:sz w:val="22"/>
                      <w:szCs w:val="22"/>
                      <w:highlight w:val="none"/>
                    </w:rPr>
                    <w:t>配电房</w:t>
                  </w:r>
                </w:p>
              </w:tc>
              <w:tc>
                <w:tcPr>
                  <w:tcW w:w="4418" w:type="dxa"/>
                  <w:vAlign w:val="center"/>
                </w:tcPr>
                <w:p w14:paraId="65CE1652">
                  <w:pPr>
                    <w:pStyle w:val="71"/>
                    <w:textAlignment w:val="center"/>
                    <w:rPr>
                      <w:rFonts w:eastAsiaTheme="minorEastAsia"/>
                      <w:color w:val="auto"/>
                      <w:sz w:val="22"/>
                      <w:szCs w:val="22"/>
                      <w:highlight w:val="none"/>
                    </w:rPr>
                  </w:pPr>
                  <w:r>
                    <w:rPr>
                      <w:rFonts w:hint="eastAsia"/>
                      <w:color w:val="auto"/>
                      <w:sz w:val="22"/>
                      <w:szCs w:val="22"/>
                      <w:highlight w:val="none"/>
                    </w:rPr>
                    <w:t>位于生产厂房外西侧，为企业提供稳定电力，避免因电压不稳导致停产或设备损坏。</w:t>
                  </w:r>
                </w:p>
              </w:tc>
              <w:tc>
                <w:tcPr>
                  <w:tcW w:w="1062" w:type="dxa"/>
                  <w:vMerge w:val="continue"/>
                  <w:vAlign w:val="center"/>
                </w:tcPr>
                <w:p w14:paraId="3C375438">
                  <w:pPr>
                    <w:adjustRightInd w:val="0"/>
                    <w:snapToGrid w:val="0"/>
                    <w:jc w:val="center"/>
                    <w:rPr>
                      <w:rFonts w:eastAsiaTheme="minorEastAsia"/>
                      <w:color w:val="auto"/>
                      <w:sz w:val="22"/>
                      <w:szCs w:val="22"/>
                      <w:highlight w:val="none"/>
                    </w:rPr>
                  </w:pPr>
                </w:p>
              </w:tc>
            </w:tr>
            <w:tr w14:paraId="650B2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continue"/>
                  <w:vAlign w:val="center"/>
                </w:tcPr>
                <w:p w14:paraId="233A0108">
                  <w:pPr>
                    <w:jc w:val="center"/>
                    <w:rPr>
                      <w:rFonts w:eastAsiaTheme="minorEastAsia"/>
                      <w:color w:val="auto"/>
                      <w:sz w:val="22"/>
                      <w:szCs w:val="22"/>
                      <w:highlight w:val="none"/>
                    </w:rPr>
                  </w:pPr>
                </w:p>
              </w:tc>
              <w:tc>
                <w:tcPr>
                  <w:tcW w:w="1217" w:type="dxa"/>
                  <w:gridSpan w:val="2"/>
                  <w:vAlign w:val="center"/>
                </w:tcPr>
                <w:p w14:paraId="003A9DCF">
                  <w:pPr>
                    <w:pStyle w:val="71"/>
                    <w:jc w:val="center"/>
                    <w:textAlignment w:val="center"/>
                    <w:rPr>
                      <w:rFonts w:eastAsiaTheme="minorEastAsia"/>
                      <w:color w:val="auto"/>
                      <w:sz w:val="22"/>
                      <w:szCs w:val="22"/>
                      <w:highlight w:val="none"/>
                    </w:rPr>
                  </w:pPr>
                  <w:r>
                    <w:rPr>
                      <w:rFonts w:hint="eastAsia"/>
                      <w:color w:val="auto"/>
                      <w:sz w:val="22"/>
                      <w:szCs w:val="22"/>
                      <w:highlight w:val="none"/>
                    </w:rPr>
                    <w:t>空压机房</w:t>
                  </w:r>
                </w:p>
              </w:tc>
              <w:tc>
                <w:tcPr>
                  <w:tcW w:w="4418" w:type="dxa"/>
                  <w:vAlign w:val="center"/>
                </w:tcPr>
                <w:p w14:paraId="759DC9CE">
                  <w:pPr>
                    <w:pStyle w:val="71"/>
                    <w:textAlignment w:val="center"/>
                    <w:rPr>
                      <w:rFonts w:eastAsiaTheme="minorEastAsia"/>
                      <w:color w:val="auto"/>
                      <w:sz w:val="22"/>
                      <w:szCs w:val="22"/>
                      <w:highlight w:val="none"/>
                    </w:rPr>
                  </w:pPr>
                  <w:r>
                    <w:rPr>
                      <w:rFonts w:hint="eastAsia"/>
                      <w:color w:val="auto"/>
                      <w:sz w:val="22"/>
                      <w:szCs w:val="22"/>
                      <w:highlight w:val="none"/>
                    </w:rPr>
                    <w:t>位于生产厂房外北侧，建筑面积约14m</w:t>
                  </w:r>
                  <w:r>
                    <w:rPr>
                      <w:rFonts w:hint="eastAsia"/>
                      <w:color w:val="auto"/>
                      <w:sz w:val="22"/>
                      <w:szCs w:val="22"/>
                      <w:highlight w:val="none"/>
                      <w:vertAlign w:val="superscript"/>
                    </w:rPr>
                    <w:t>2</w:t>
                  </w:r>
                  <w:r>
                    <w:rPr>
                      <w:rFonts w:hint="eastAsia"/>
                      <w:color w:val="auto"/>
                      <w:sz w:val="22"/>
                      <w:szCs w:val="22"/>
                      <w:highlight w:val="none"/>
                    </w:rPr>
                    <w:t>，布置1台螺杆式空压机，用于提供仪表用气。</w:t>
                  </w:r>
                </w:p>
              </w:tc>
              <w:tc>
                <w:tcPr>
                  <w:tcW w:w="1062" w:type="dxa"/>
                  <w:vMerge w:val="continue"/>
                  <w:vAlign w:val="center"/>
                </w:tcPr>
                <w:p w14:paraId="2E06AA47">
                  <w:pPr>
                    <w:adjustRightInd w:val="0"/>
                    <w:snapToGrid w:val="0"/>
                    <w:jc w:val="center"/>
                    <w:rPr>
                      <w:rFonts w:eastAsiaTheme="minorEastAsia"/>
                      <w:color w:val="auto"/>
                      <w:sz w:val="22"/>
                      <w:szCs w:val="22"/>
                      <w:highlight w:val="none"/>
                    </w:rPr>
                  </w:pPr>
                </w:p>
              </w:tc>
            </w:tr>
            <w:tr w14:paraId="50AC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restart"/>
                  <w:vAlign w:val="center"/>
                </w:tcPr>
                <w:p w14:paraId="42585C5A">
                  <w:pPr>
                    <w:jc w:val="center"/>
                    <w:rPr>
                      <w:rFonts w:eastAsiaTheme="minorEastAsia"/>
                      <w:color w:val="auto"/>
                      <w:sz w:val="22"/>
                      <w:szCs w:val="22"/>
                      <w:highlight w:val="none"/>
                    </w:rPr>
                  </w:pPr>
                  <w:r>
                    <w:rPr>
                      <w:rFonts w:hint="eastAsia" w:eastAsiaTheme="minorEastAsia"/>
                      <w:color w:val="auto"/>
                      <w:sz w:val="22"/>
                      <w:szCs w:val="22"/>
                      <w:highlight w:val="none"/>
                    </w:rPr>
                    <w:t>公用工程</w:t>
                  </w:r>
                </w:p>
              </w:tc>
              <w:tc>
                <w:tcPr>
                  <w:tcW w:w="1217" w:type="dxa"/>
                  <w:gridSpan w:val="2"/>
                  <w:vAlign w:val="center"/>
                </w:tcPr>
                <w:p w14:paraId="116D81EF">
                  <w:pPr>
                    <w:jc w:val="center"/>
                    <w:rPr>
                      <w:rFonts w:eastAsiaTheme="minorEastAsia"/>
                      <w:color w:val="auto"/>
                      <w:sz w:val="22"/>
                      <w:szCs w:val="22"/>
                      <w:highlight w:val="none"/>
                    </w:rPr>
                  </w:pPr>
                  <w:r>
                    <w:rPr>
                      <w:rFonts w:hint="eastAsia"/>
                      <w:color w:val="auto"/>
                      <w:sz w:val="22"/>
                      <w:szCs w:val="22"/>
                      <w:highlight w:val="none"/>
                    </w:rPr>
                    <w:t>供水</w:t>
                  </w:r>
                </w:p>
              </w:tc>
              <w:tc>
                <w:tcPr>
                  <w:tcW w:w="4418" w:type="dxa"/>
                  <w:vAlign w:val="center"/>
                </w:tcPr>
                <w:p w14:paraId="62BA6BB8">
                  <w:pPr>
                    <w:jc w:val="left"/>
                    <w:rPr>
                      <w:rFonts w:eastAsiaTheme="minorEastAsia"/>
                      <w:color w:val="auto"/>
                      <w:sz w:val="22"/>
                      <w:szCs w:val="22"/>
                      <w:highlight w:val="none"/>
                    </w:rPr>
                  </w:pPr>
                  <w:r>
                    <w:rPr>
                      <w:rFonts w:hint="eastAsia"/>
                      <w:color w:val="auto"/>
                      <w:sz w:val="22"/>
                      <w:szCs w:val="22"/>
                      <w:highlight w:val="none"/>
                    </w:rPr>
                    <w:t>依托园区管网供水。</w:t>
                  </w:r>
                </w:p>
              </w:tc>
              <w:tc>
                <w:tcPr>
                  <w:tcW w:w="1062" w:type="dxa"/>
                  <w:vMerge w:val="restart"/>
                  <w:vAlign w:val="center"/>
                </w:tcPr>
                <w:p w14:paraId="3DD66940">
                  <w:pPr>
                    <w:adjustRightInd w:val="0"/>
                    <w:snapToGrid w:val="0"/>
                    <w:jc w:val="center"/>
                    <w:rPr>
                      <w:rFonts w:eastAsiaTheme="minorEastAsia"/>
                      <w:color w:val="auto"/>
                      <w:sz w:val="22"/>
                      <w:szCs w:val="22"/>
                      <w:highlight w:val="none"/>
                    </w:rPr>
                  </w:pPr>
                  <w:r>
                    <w:rPr>
                      <w:rFonts w:eastAsiaTheme="minorEastAsia"/>
                      <w:color w:val="auto"/>
                      <w:sz w:val="22"/>
                      <w:szCs w:val="22"/>
                      <w:highlight w:val="none"/>
                    </w:rPr>
                    <w:t>本次</w:t>
                  </w:r>
                  <w:r>
                    <w:rPr>
                      <w:rFonts w:hint="eastAsia" w:eastAsiaTheme="minorEastAsia"/>
                      <w:color w:val="auto"/>
                      <w:sz w:val="22"/>
                      <w:szCs w:val="22"/>
                      <w:highlight w:val="none"/>
                    </w:rPr>
                    <w:t>依托</w:t>
                  </w:r>
                </w:p>
              </w:tc>
            </w:tr>
            <w:tr w14:paraId="3326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continue"/>
                  <w:vAlign w:val="center"/>
                </w:tcPr>
                <w:p w14:paraId="50976537">
                  <w:pPr>
                    <w:jc w:val="center"/>
                    <w:rPr>
                      <w:rFonts w:eastAsiaTheme="minorEastAsia"/>
                      <w:color w:val="auto"/>
                      <w:sz w:val="22"/>
                      <w:szCs w:val="22"/>
                      <w:highlight w:val="none"/>
                    </w:rPr>
                  </w:pPr>
                </w:p>
              </w:tc>
              <w:tc>
                <w:tcPr>
                  <w:tcW w:w="1217" w:type="dxa"/>
                  <w:gridSpan w:val="2"/>
                  <w:vAlign w:val="center"/>
                </w:tcPr>
                <w:p w14:paraId="0DF54F84">
                  <w:pPr>
                    <w:jc w:val="center"/>
                    <w:rPr>
                      <w:rFonts w:eastAsiaTheme="minorEastAsia"/>
                      <w:color w:val="auto"/>
                      <w:sz w:val="22"/>
                      <w:szCs w:val="22"/>
                      <w:highlight w:val="none"/>
                    </w:rPr>
                  </w:pPr>
                  <w:r>
                    <w:rPr>
                      <w:rFonts w:hint="eastAsia"/>
                      <w:color w:val="auto"/>
                      <w:sz w:val="22"/>
                      <w:szCs w:val="22"/>
                      <w:highlight w:val="none"/>
                    </w:rPr>
                    <w:t>排水</w:t>
                  </w:r>
                </w:p>
              </w:tc>
              <w:tc>
                <w:tcPr>
                  <w:tcW w:w="4418" w:type="dxa"/>
                  <w:vAlign w:val="center"/>
                </w:tcPr>
                <w:p w14:paraId="42007D06">
                  <w:pPr>
                    <w:pStyle w:val="70"/>
                    <w:ind w:firstLine="0" w:firstLineChars="0"/>
                    <w:jc w:val="both"/>
                    <w:rPr>
                      <w:rFonts w:ascii="Times New Roman" w:hAnsi="Times New Roman" w:eastAsiaTheme="minorEastAsia"/>
                      <w:color w:val="auto"/>
                      <w:sz w:val="22"/>
                      <w:szCs w:val="22"/>
                      <w:highlight w:val="none"/>
                    </w:rPr>
                  </w:pPr>
                  <w:r>
                    <w:rPr>
                      <w:rFonts w:hint="eastAsia" w:ascii="Times New Roman" w:hAnsi="Times New Roman"/>
                      <w:color w:val="auto"/>
                      <w:sz w:val="22"/>
                      <w:szCs w:val="22"/>
                      <w:highlight w:val="none"/>
                    </w:rPr>
                    <w:t>项目厂区采用雨污分流排水制。雨水经雨水管道排入园区雨水管网；废水</w:t>
                  </w:r>
                  <w:r>
                    <w:rPr>
                      <w:rFonts w:hint="eastAsia" w:ascii="Times New Roman" w:hAnsi="Times New Roman"/>
                      <w:color w:val="auto"/>
                      <w:sz w:val="22"/>
                      <w:szCs w:val="22"/>
                      <w:highlight w:val="none"/>
                      <w:lang w:val="da-DK"/>
                    </w:rPr>
                    <w:t>经厂区生化池预处理</w:t>
                  </w:r>
                  <w:bookmarkStart w:id="59" w:name="hmcheck_8724d402b5ee4237aa4904a696f07ac7"/>
                  <w:r>
                    <w:rPr>
                      <w:rFonts w:hint="eastAsia" w:ascii="Times New Roman" w:hAnsi="Times New Roman"/>
                      <w:color w:val="auto"/>
                      <w:sz w:val="22"/>
                      <w:szCs w:val="22"/>
                      <w:highlight w:val="none"/>
                      <w:shd w:val="clear" w:fill="B2E9BC"/>
                      <w:lang w:val="da-DK" w:eastAsia="zh-CN"/>
                    </w:rPr>
                    <w:t>达到</w:t>
                  </w:r>
                  <w:bookmarkEnd w:id="59"/>
                  <w:r>
                    <w:rPr>
                      <w:rFonts w:hint="eastAsia" w:ascii="Times New Roman" w:hAnsi="Times New Roman"/>
                      <w:color w:val="auto"/>
                      <w:sz w:val="22"/>
                      <w:szCs w:val="22"/>
                      <w:highlight w:val="none"/>
                      <w:lang w:val="da-DK"/>
                    </w:rPr>
                    <w:t>《污水综合排放标准》（GB8978-1996）三级标准后经市政污水管网进入</w:t>
                  </w:r>
                  <w:r>
                    <w:rPr>
                      <w:rFonts w:hint="eastAsia" w:ascii="Times New Roman" w:hAnsi="Times New Roman"/>
                      <w:color w:val="auto"/>
                      <w:sz w:val="22"/>
                      <w:szCs w:val="22"/>
                      <w:highlight w:val="none"/>
                    </w:rPr>
                    <w:t>银翔新城</w:t>
                  </w:r>
                  <w:r>
                    <w:rPr>
                      <w:rFonts w:hint="eastAsia" w:ascii="Times New Roman" w:hAnsi="Times New Roman"/>
                      <w:color w:val="auto"/>
                      <w:sz w:val="22"/>
                      <w:szCs w:val="22"/>
                      <w:highlight w:val="none"/>
                      <w:lang w:val="da-DK"/>
                    </w:rPr>
                    <w:t>污水处理厂处理达标后排入</w:t>
                  </w:r>
                  <w:r>
                    <w:rPr>
                      <w:rFonts w:hint="eastAsia" w:ascii="Times New Roman" w:hAnsi="Times New Roman"/>
                      <w:color w:val="auto"/>
                      <w:sz w:val="22"/>
                      <w:szCs w:val="22"/>
                      <w:highlight w:val="none"/>
                    </w:rPr>
                    <w:t>柏水溪再汇入嘉陵江。</w:t>
                  </w:r>
                </w:p>
              </w:tc>
              <w:tc>
                <w:tcPr>
                  <w:tcW w:w="1062" w:type="dxa"/>
                  <w:vMerge w:val="continue"/>
                  <w:vAlign w:val="center"/>
                </w:tcPr>
                <w:p w14:paraId="5A60C58A">
                  <w:pPr>
                    <w:adjustRightInd w:val="0"/>
                    <w:snapToGrid w:val="0"/>
                    <w:jc w:val="center"/>
                    <w:rPr>
                      <w:rFonts w:eastAsiaTheme="minorEastAsia"/>
                      <w:color w:val="auto"/>
                      <w:sz w:val="22"/>
                      <w:szCs w:val="22"/>
                      <w:highlight w:val="none"/>
                    </w:rPr>
                  </w:pPr>
                </w:p>
              </w:tc>
            </w:tr>
            <w:tr w14:paraId="0F39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continue"/>
                  <w:vAlign w:val="center"/>
                </w:tcPr>
                <w:p w14:paraId="7C85F74E">
                  <w:pPr>
                    <w:jc w:val="center"/>
                    <w:rPr>
                      <w:rFonts w:eastAsiaTheme="minorEastAsia"/>
                      <w:color w:val="auto"/>
                      <w:sz w:val="22"/>
                      <w:szCs w:val="22"/>
                      <w:highlight w:val="none"/>
                    </w:rPr>
                  </w:pPr>
                </w:p>
              </w:tc>
              <w:tc>
                <w:tcPr>
                  <w:tcW w:w="1217" w:type="dxa"/>
                  <w:gridSpan w:val="2"/>
                  <w:vAlign w:val="center"/>
                </w:tcPr>
                <w:p w14:paraId="498B417A">
                  <w:pPr>
                    <w:jc w:val="center"/>
                    <w:rPr>
                      <w:rFonts w:eastAsiaTheme="minorEastAsia"/>
                      <w:color w:val="auto"/>
                      <w:sz w:val="22"/>
                      <w:szCs w:val="22"/>
                      <w:highlight w:val="none"/>
                    </w:rPr>
                  </w:pPr>
                  <w:r>
                    <w:rPr>
                      <w:rFonts w:hint="eastAsia"/>
                      <w:color w:val="auto"/>
                      <w:sz w:val="22"/>
                      <w:szCs w:val="22"/>
                      <w:highlight w:val="none"/>
                    </w:rPr>
                    <w:t>供电</w:t>
                  </w:r>
                </w:p>
              </w:tc>
              <w:tc>
                <w:tcPr>
                  <w:tcW w:w="4418" w:type="dxa"/>
                  <w:vAlign w:val="center"/>
                </w:tcPr>
                <w:p w14:paraId="6A07C8C3">
                  <w:pPr>
                    <w:pStyle w:val="71"/>
                    <w:jc w:val="both"/>
                    <w:textAlignment w:val="center"/>
                    <w:rPr>
                      <w:rFonts w:eastAsiaTheme="minorEastAsia"/>
                      <w:color w:val="auto"/>
                      <w:kern w:val="2"/>
                      <w:sz w:val="22"/>
                      <w:szCs w:val="22"/>
                      <w:highlight w:val="none"/>
                    </w:rPr>
                  </w:pPr>
                  <w:r>
                    <w:rPr>
                      <w:rFonts w:hint="eastAsia"/>
                      <w:color w:val="auto"/>
                      <w:sz w:val="22"/>
                      <w:szCs w:val="22"/>
                      <w:highlight w:val="none"/>
                    </w:rPr>
                    <w:t>依托园区电网供电。</w:t>
                  </w:r>
                </w:p>
              </w:tc>
              <w:tc>
                <w:tcPr>
                  <w:tcW w:w="1062" w:type="dxa"/>
                  <w:vMerge w:val="continue"/>
                  <w:vAlign w:val="center"/>
                </w:tcPr>
                <w:p w14:paraId="102C45BA">
                  <w:pPr>
                    <w:adjustRightInd w:val="0"/>
                    <w:snapToGrid w:val="0"/>
                    <w:jc w:val="center"/>
                    <w:rPr>
                      <w:rFonts w:eastAsiaTheme="minorEastAsia"/>
                      <w:color w:val="auto"/>
                      <w:sz w:val="22"/>
                      <w:szCs w:val="22"/>
                      <w:highlight w:val="none"/>
                    </w:rPr>
                  </w:pPr>
                </w:p>
              </w:tc>
            </w:tr>
            <w:tr w14:paraId="0E333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restart"/>
                  <w:vAlign w:val="center"/>
                </w:tcPr>
                <w:p w14:paraId="5B797B0A">
                  <w:pPr>
                    <w:jc w:val="center"/>
                    <w:rPr>
                      <w:rFonts w:eastAsiaTheme="minorEastAsia"/>
                      <w:color w:val="auto"/>
                      <w:sz w:val="22"/>
                      <w:szCs w:val="22"/>
                      <w:highlight w:val="none"/>
                    </w:rPr>
                  </w:pPr>
                  <w:r>
                    <w:rPr>
                      <w:rFonts w:hint="eastAsia" w:eastAsiaTheme="minorEastAsia"/>
                      <w:color w:val="auto"/>
                      <w:sz w:val="22"/>
                      <w:szCs w:val="22"/>
                      <w:highlight w:val="none"/>
                    </w:rPr>
                    <w:t>环保工程</w:t>
                  </w:r>
                </w:p>
              </w:tc>
              <w:tc>
                <w:tcPr>
                  <w:tcW w:w="1217" w:type="dxa"/>
                  <w:gridSpan w:val="2"/>
                  <w:vAlign w:val="center"/>
                </w:tcPr>
                <w:p w14:paraId="2B7360A8">
                  <w:pPr>
                    <w:pStyle w:val="71"/>
                    <w:jc w:val="center"/>
                    <w:textAlignment w:val="center"/>
                    <w:rPr>
                      <w:rFonts w:eastAsiaTheme="minorEastAsia"/>
                      <w:color w:val="auto"/>
                      <w:sz w:val="22"/>
                      <w:szCs w:val="22"/>
                      <w:highlight w:val="none"/>
                    </w:rPr>
                  </w:pPr>
                  <w:r>
                    <w:rPr>
                      <w:rFonts w:hint="eastAsia" w:eastAsiaTheme="minorEastAsia"/>
                      <w:color w:val="auto"/>
                      <w:sz w:val="22"/>
                      <w:szCs w:val="22"/>
                      <w:highlight w:val="none"/>
                    </w:rPr>
                    <w:t>废水处理工程</w:t>
                  </w:r>
                </w:p>
              </w:tc>
              <w:tc>
                <w:tcPr>
                  <w:tcW w:w="4418" w:type="dxa"/>
                  <w:vAlign w:val="center"/>
                </w:tcPr>
                <w:p w14:paraId="699D777F">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设置</w:t>
                  </w:r>
                  <w:r>
                    <w:rPr>
                      <w:rFonts w:eastAsiaTheme="minorEastAsia"/>
                      <w:color w:val="auto"/>
                      <w:sz w:val="22"/>
                      <w:szCs w:val="22"/>
                      <w:highlight w:val="none"/>
                    </w:rPr>
                    <w:t>综合生化池</w:t>
                  </w:r>
                  <w:r>
                    <w:rPr>
                      <w:rFonts w:hint="eastAsia" w:eastAsiaTheme="minorEastAsia"/>
                      <w:color w:val="auto"/>
                      <w:sz w:val="22"/>
                      <w:szCs w:val="22"/>
                      <w:highlight w:val="none"/>
                    </w:rPr>
                    <w:t>1座，</w:t>
                  </w:r>
                  <w:r>
                    <w:rPr>
                      <w:rFonts w:eastAsiaTheme="minorEastAsia"/>
                      <w:color w:val="auto"/>
                      <w:sz w:val="22"/>
                      <w:szCs w:val="22"/>
                      <w:highlight w:val="none"/>
                    </w:rPr>
                    <w:t>设计处理能力30</w:t>
                  </w:r>
                  <w:r>
                    <w:rPr>
                      <w:rFonts w:hint="eastAsia" w:eastAsiaTheme="minorEastAsia"/>
                      <w:color w:val="auto"/>
                      <w:sz w:val="22"/>
                      <w:szCs w:val="22"/>
                      <w:highlight w:val="none"/>
                    </w:rPr>
                    <w:t>m³</w:t>
                  </w:r>
                  <w:r>
                    <w:rPr>
                      <w:rFonts w:eastAsiaTheme="minorEastAsia"/>
                      <w:color w:val="auto"/>
                      <w:sz w:val="22"/>
                      <w:szCs w:val="22"/>
                      <w:highlight w:val="none"/>
                    </w:rPr>
                    <w:t>/d，采用“格栅+初沉+厌氧”的处理工艺，位于厂区西南侧。</w:t>
                  </w:r>
                  <w:r>
                    <w:rPr>
                      <w:rFonts w:hint="eastAsia" w:eastAsiaTheme="minorEastAsia"/>
                      <w:color w:val="auto"/>
                      <w:sz w:val="22"/>
                      <w:szCs w:val="22"/>
                      <w:highlight w:val="none"/>
                    </w:rPr>
                    <w:t>地面拖洗废水及生活污水进入综合生化池预处理</w:t>
                  </w:r>
                  <w:bookmarkStart w:id="60" w:name="hmcheck_7ff68495916a43c18a6803128de92930"/>
                  <w:r>
                    <w:rPr>
                      <w:rFonts w:hint="eastAsia" w:eastAsiaTheme="minorEastAsia"/>
                      <w:color w:val="auto"/>
                      <w:sz w:val="22"/>
                      <w:szCs w:val="22"/>
                      <w:highlight w:val="none"/>
                      <w:shd w:val="clear" w:fill="B2E9BC"/>
                      <w:lang w:eastAsia="zh-CN"/>
                    </w:rPr>
                    <w:t>达到</w:t>
                  </w:r>
                  <w:bookmarkEnd w:id="60"/>
                  <w:r>
                    <w:rPr>
                      <w:rFonts w:hint="eastAsia" w:eastAsiaTheme="minorEastAsia"/>
                      <w:color w:val="auto"/>
                      <w:sz w:val="22"/>
                      <w:szCs w:val="22"/>
                      <w:highlight w:val="none"/>
                    </w:rPr>
                    <w:t>《污水综合排放标准》（GB8978-1996）三级标准后经市政污水管网进入银翔新城污水处理厂处理达标后排入柏水溪再汇入嘉陵江。</w:t>
                  </w:r>
                </w:p>
              </w:tc>
              <w:tc>
                <w:tcPr>
                  <w:tcW w:w="1062" w:type="dxa"/>
                  <w:vAlign w:val="center"/>
                </w:tcPr>
                <w:p w14:paraId="4F463ABE">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本次利旧</w:t>
                  </w:r>
                </w:p>
              </w:tc>
            </w:tr>
            <w:tr w14:paraId="2998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continue"/>
                  <w:vAlign w:val="center"/>
                </w:tcPr>
                <w:p w14:paraId="57D40E5C">
                  <w:pPr>
                    <w:jc w:val="center"/>
                    <w:rPr>
                      <w:rFonts w:eastAsiaTheme="minorEastAsia"/>
                      <w:color w:val="auto"/>
                      <w:sz w:val="22"/>
                      <w:szCs w:val="22"/>
                      <w:highlight w:val="none"/>
                    </w:rPr>
                  </w:pPr>
                </w:p>
              </w:tc>
              <w:tc>
                <w:tcPr>
                  <w:tcW w:w="1217" w:type="dxa"/>
                  <w:gridSpan w:val="2"/>
                  <w:shd w:val="clear" w:color="auto" w:fill="auto"/>
                  <w:vAlign w:val="center"/>
                </w:tcPr>
                <w:p w14:paraId="24E4C4C0">
                  <w:pPr>
                    <w:pStyle w:val="71"/>
                    <w:jc w:val="center"/>
                    <w:textAlignment w:val="center"/>
                    <w:rPr>
                      <w:rFonts w:eastAsiaTheme="minorEastAsia"/>
                      <w:color w:val="auto"/>
                      <w:sz w:val="22"/>
                      <w:szCs w:val="22"/>
                      <w:highlight w:val="none"/>
                    </w:rPr>
                  </w:pPr>
                  <w:r>
                    <w:rPr>
                      <w:rFonts w:hint="eastAsia" w:eastAsiaTheme="minorEastAsia"/>
                      <w:color w:val="auto"/>
                      <w:sz w:val="22"/>
                      <w:szCs w:val="22"/>
                      <w:highlight w:val="none"/>
                    </w:rPr>
                    <w:t>废气处理工程</w:t>
                  </w:r>
                </w:p>
              </w:tc>
              <w:tc>
                <w:tcPr>
                  <w:tcW w:w="4418" w:type="dxa"/>
                  <w:shd w:val="clear" w:color="auto" w:fill="auto"/>
                  <w:vAlign w:val="center"/>
                </w:tcPr>
                <w:p w14:paraId="5ED9E1AA">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焊接烟尘经集气抽风罩</w:t>
                  </w:r>
                  <w:r>
                    <w:rPr>
                      <w:rFonts w:hint="eastAsia" w:eastAsiaTheme="minorEastAsia"/>
                      <w:color w:val="auto"/>
                      <w:sz w:val="22"/>
                      <w:szCs w:val="22"/>
                      <w:highlight w:val="none"/>
                      <w:lang w:eastAsia="zh-CN"/>
                    </w:rPr>
                    <w:t>（</w:t>
                  </w:r>
                  <w:r>
                    <w:rPr>
                      <w:rFonts w:hint="eastAsia" w:eastAsiaTheme="minorEastAsia"/>
                      <w:color w:val="auto"/>
                      <w:sz w:val="22"/>
                      <w:szCs w:val="22"/>
                      <w:highlight w:val="none"/>
                      <w:lang w:val="en-US" w:eastAsia="zh-CN"/>
                    </w:rPr>
                    <w:t>1000m³/h</w:t>
                  </w:r>
                  <w:r>
                    <w:rPr>
                      <w:rFonts w:hint="eastAsia" w:eastAsiaTheme="minorEastAsia"/>
                      <w:color w:val="auto"/>
                      <w:sz w:val="22"/>
                      <w:szCs w:val="22"/>
                      <w:highlight w:val="none"/>
                      <w:lang w:eastAsia="zh-CN"/>
                    </w:rPr>
                    <w:t>）</w:t>
                  </w:r>
                  <w:r>
                    <w:rPr>
                      <w:rFonts w:hint="eastAsia" w:eastAsiaTheme="minorEastAsia"/>
                      <w:color w:val="auto"/>
                      <w:sz w:val="22"/>
                      <w:szCs w:val="22"/>
                      <w:highlight w:val="none"/>
                    </w:rPr>
                    <w:t>收集后由15m高排气筒有组织排放。</w:t>
                  </w:r>
                </w:p>
              </w:tc>
              <w:tc>
                <w:tcPr>
                  <w:tcW w:w="1062" w:type="dxa"/>
                  <w:shd w:val="clear" w:color="auto" w:fill="auto"/>
                  <w:vAlign w:val="center"/>
                </w:tcPr>
                <w:p w14:paraId="136B7F9C">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w:t>
                  </w:r>
                </w:p>
              </w:tc>
            </w:tr>
            <w:tr w14:paraId="0175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continue"/>
                  <w:vAlign w:val="center"/>
                </w:tcPr>
                <w:p w14:paraId="0657DFC2">
                  <w:pPr>
                    <w:jc w:val="center"/>
                    <w:rPr>
                      <w:rFonts w:eastAsiaTheme="minorEastAsia"/>
                      <w:color w:val="auto"/>
                      <w:sz w:val="22"/>
                      <w:szCs w:val="22"/>
                      <w:highlight w:val="none"/>
                    </w:rPr>
                  </w:pPr>
                </w:p>
              </w:tc>
              <w:tc>
                <w:tcPr>
                  <w:tcW w:w="1217" w:type="dxa"/>
                  <w:gridSpan w:val="2"/>
                  <w:shd w:val="clear" w:color="auto" w:fill="auto"/>
                  <w:vAlign w:val="center"/>
                </w:tcPr>
                <w:p w14:paraId="3AD80E72">
                  <w:pPr>
                    <w:pStyle w:val="71"/>
                    <w:jc w:val="center"/>
                    <w:textAlignment w:val="center"/>
                    <w:rPr>
                      <w:rFonts w:eastAsiaTheme="minorEastAsia"/>
                      <w:color w:val="auto"/>
                      <w:sz w:val="22"/>
                      <w:szCs w:val="22"/>
                      <w:highlight w:val="none"/>
                    </w:rPr>
                  </w:pPr>
                  <w:r>
                    <w:rPr>
                      <w:rFonts w:hint="eastAsia" w:eastAsiaTheme="minorEastAsia"/>
                      <w:color w:val="auto"/>
                      <w:sz w:val="22"/>
                      <w:szCs w:val="22"/>
                      <w:highlight w:val="none"/>
                    </w:rPr>
                    <w:t>噪声污染防治</w:t>
                  </w:r>
                </w:p>
              </w:tc>
              <w:tc>
                <w:tcPr>
                  <w:tcW w:w="4418" w:type="dxa"/>
                  <w:shd w:val="clear" w:color="auto" w:fill="auto"/>
                  <w:vAlign w:val="center"/>
                </w:tcPr>
                <w:p w14:paraId="2B356AEE">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选购低噪声设备、基础减振等，设备置于厂房内、建筑隔声。</w:t>
                  </w:r>
                </w:p>
              </w:tc>
              <w:tc>
                <w:tcPr>
                  <w:tcW w:w="1062" w:type="dxa"/>
                  <w:shd w:val="clear" w:color="auto" w:fill="auto"/>
                  <w:vAlign w:val="center"/>
                </w:tcPr>
                <w:p w14:paraId="15D78848">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w:t>
                  </w:r>
                </w:p>
              </w:tc>
            </w:tr>
            <w:tr w14:paraId="7B4B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continue"/>
                  <w:vAlign w:val="center"/>
                </w:tcPr>
                <w:p w14:paraId="16B57AD5">
                  <w:pPr>
                    <w:jc w:val="center"/>
                    <w:rPr>
                      <w:rFonts w:eastAsiaTheme="minorEastAsia"/>
                      <w:color w:val="auto"/>
                      <w:sz w:val="22"/>
                      <w:szCs w:val="22"/>
                      <w:highlight w:val="none"/>
                    </w:rPr>
                  </w:pPr>
                </w:p>
              </w:tc>
              <w:tc>
                <w:tcPr>
                  <w:tcW w:w="1217" w:type="dxa"/>
                  <w:gridSpan w:val="2"/>
                  <w:vMerge w:val="restart"/>
                  <w:shd w:val="clear" w:color="auto" w:fill="auto"/>
                  <w:vAlign w:val="center"/>
                </w:tcPr>
                <w:p w14:paraId="3660CB71">
                  <w:pPr>
                    <w:pStyle w:val="71"/>
                    <w:jc w:val="center"/>
                    <w:textAlignment w:val="center"/>
                    <w:rPr>
                      <w:rFonts w:eastAsiaTheme="minorEastAsia"/>
                      <w:color w:val="auto"/>
                      <w:sz w:val="22"/>
                      <w:szCs w:val="22"/>
                      <w:highlight w:val="none"/>
                    </w:rPr>
                  </w:pPr>
                  <w:r>
                    <w:rPr>
                      <w:rFonts w:hint="eastAsia" w:eastAsiaTheme="minorEastAsia"/>
                      <w:color w:val="auto"/>
                      <w:sz w:val="22"/>
                      <w:szCs w:val="22"/>
                      <w:highlight w:val="none"/>
                    </w:rPr>
                    <w:t>固废处置工程</w:t>
                  </w:r>
                </w:p>
              </w:tc>
              <w:tc>
                <w:tcPr>
                  <w:tcW w:w="4418" w:type="dxa"/>
                  <w:shd w:val="clear" w:color="auto" w:fill="auto"/>
                  <w:vAlign w:val="center"/>
                </w:tcPr>
                <w:p w14:paraId="4D04532D">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在厂区北面设置危废临时贮存间一处，6.5m</w:t>
                  </w:r>
                  <w:r>
                    <w:rPr>
                      <w:rFonts w:hint="eastAsia" w:eastAsiaTheme="minorEastAsia"/>
                      <w:color w:val="auto"/>
                      <w:sz w:val="22"/>
                      <w:szCs w:val="22"/>
                      <w:highlight w:val="none"/>
                      <w:vertAlign w:val="superscript"/>
                    </w:rPr>
                    <w:t>2</w:t>
                  </w:r>
                  <w:r>
                    <w:rPr>
                      <w:rFonts w:hint="eastAsia" w:eastAsiaTheme="minorEastAsia"/>
                      <w:color w:val="auto"/>
                      <w:sz w:val="22"/>
                      <w:szCs w:val="22"/>
                      <w:highlight w:val="none"/>
                    </w:rPr>
                    <w:t>，危险废物定期交由有资质单位处置。</w:t>
                  </w:r>
                </w:p>
              </w:tc>
              <w:tc>
                <w:tcPr>
                  <w:tcW w:w="1062" w:type="dxa"/>
                  <w:shd w:val="clear" w:color="auto" w:fill="auto"/>
                  <w:vAlign w:val="center"/>
                </w:tcPr>
                <w:p w14:paraId="7DA31455">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本次改造</w:t>
                  </w:r>
                </w:p>
              </w:tc>
            </w:tr>
            <w:tr w14:paraId="2BB2F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continue"/>
                  <w:vAlign w:val="center"/>
                </w:tcPr>
                <w:p w14:paraId="4CE71BF3">
                  <w:pPr>
                    <w:jc w:val="center"/>
                    <w:rPr>
                      <w:rFonts w:eastAsiaTheme="minorEastAsia"/>
                      <w:color w:val="auto"/>
                      <w:sz w:val="22"/>
                      <w:szCs w:val="22"/>
                      <w:highlight w:val="none"/>
                    </w:rPr>
                  </w:pPr>
                </w:p>
              </w:tc>
              <w:tc>
                <w:tcPr>
                  <w:tcW w:w="1217" w:type="dxa"/>
                  <w:gridSpan w:val="2"/>
                  <w:vMerge w:val="continue"/>
                  <w:shd w:val="clear" w:color="auto" w:fill="auto"/>
                  <w:vAlign w:val="center"/>
                </w:tcPr>
                <w:p w14:paraId="0346B10B">
                  <w:pPr>
                    <w:pStyle w:val="71"/>
                    <w:jc w:val="center"/>
                    <w:textAlignment w:val="center"/>
                    <w:rPr>
                      <w:rFonts w:eastAsiaTheme="minorEastAsia"/>
                      <w:color w:val="auto"/>
                      <w:sz w:val="22"/>
                      <w:szCs w:val="22"/>
                      <w:highlight w:val="none"/>
                    </w:rPr>
                  </w:pPr>
                </w:p>
              </w:tc>
              <w:tc>
                <w:tcPr>
                  <w:tcW w:w="4418" w:type="dxa"/>
                  <w:shd w:val="clear" w:color="auto" w:fill="auto"/>
                  <w:vAlign w:val="center"/>
                </w:tcPr>
                <w:p w14:paraId="0FB46552">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在厂房北面设置一般固废堆放棚1处，一般固废分类回收后外</w:t>
                  </w:r>
                  <w:r>
                    <w:rPr>
                      <w:rFonts w:hint="eastAsia" w:eastAsiaTheme="minorEastAsia"/>
                      <w:color w:val="auto"/>
                      <w:sz w:val="22"/>
                      <w:szCs w:val="22"/>
                      <w:highlight w:val="none"/>
                      <w:lang w:eastAsia="zh-CN"/>
                    </w:rPr>
                    <w:t>售</w:t>
                  </w:r>
                  <w:r>
                    <w:rPr>
                      <w:rFonts w:hint="eastAsia" w:eastAsiaTheme="minorEastAsia"/>
                      <w:color w:val="auto"/>
                      <w:sz w:val="22"/>
                      <w:szCs w:val="22"/>
                      <w:highlight w:val="none"/>
                    </w:rPr>
                    <w:t>回收单位。</w:t>
                  </w:r>
                </w:p>
              </w:tc>
              <w:tc>
                <w:tcPr>
                  <w:tcW w:w="1062" w:type="dxa"/>
                  <w:shd w:val="clear" w:color="auto" w:fill="auto"/>
                  <w:vAlign w:val="center"/>
                </w:tcPr>
                <w:p w14:paraId="19E19154">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w:t>
                  </w:r>
                </w:p>
              </w:tc>
            </w:tr>
            <w:tr w14:paraId="4010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continue"/>
                  <w:vAlign w:val="center"/>
                </w:tcPr>
                <w:p w14:paraId="57E13B8D">
                  <w:pPr>
                    <w:jc w:val="center"/>
                    <w:rPr>
                      <w:rFonts w:eastAsiaTheme="minorEastAsia"/>
                      <w:color w:val="auto"/>
                      <w:sz w:val="22"/>
                      <w:szCs w:val="22"/>
                      <w:highlight w:val="none"/>
                    </w:rPr>
                  </w:pPr>
                </w:p>
              </w:tc>
              <w:tc>
                <w:tcPr>
                  <w:tcW w:w="1217" w:type="dxa"/>
                  <w:gridSpan w:val="2"/>
                  <w:vMerge w:val="continue"/>
                  <w:shd w:val="clear" w:color="auto" w:fill="auto"/>
                  <w:vAlign w:val="center"/>
                </w:tcPr>
                <w:p w14:paraId="26A77A3A">
                  <w:pPr>
                    <w:pStyle w:val="71"/>
                    <w:jc w:val="center"/>
                    <w:textAlignment w:val="center"/>
                    <w:rPr>
                      <w:rFonts w:eastAsiaTheme="minorEastAsia"/>
                      <w:color w:val="auto"/>
                      <w:sz w:val="22"/>
                      <w:szCs w:val="22"/>
                      <w:highlight w:val="none"/>
                    </w:rPr>
                  </w:pPr>
                </w:p>
              </w:tc>
              <w:tc>
                <w:tcPr>
                  <w:tcW w:w="4418" w:type="dxa"/>
                  <w:shd w:val="clear" w:color="auto" w:fill="auto"/>
                  <w:vAlign w:val="center"/>
                </w:tcPr>
                <w:p w14:paraId="5B29F3A9">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生化池污泥定期清掏、统一收集后交环卫部门处置。</w:t>
                  </w:r>
                </w:p>
              </w:tc>
              <w:tc>
                <w:tcPr>
                  <w:tcW w:w="1062" w:type="dxa"/>
                  <w:shd w:val="clear" w:color="auto" w:fill="auto"/>
                  <w:vAlign w:val="center"/>
                </w:tcPr>
                <w:p w14:paraId="721DC9E1">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w:t>
                  </w:r>
                </w:p>
              </w:tc>
            </w:tr>
            <w:tr w14:paraId="7D99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continue"/>
                  <w:vAlign w:val="center"/>
                </w:tcPr>
                <w:p w14:paraId="40A8A7CC">
                  <w:pPr>
                    <w:jc w:val="center"/>
                    <w:rPr>
                      <w:rFonts w:eastAsiaTheme="minorEastAsia"/>
                      <w:color w:val="auto"/>
                      <w:sz w:val="22"/>
                      <w:szCs w:val="22"/>
                      <w:highlight w:val="none"/>
                    </w:rPr>
                  </w:pPr>
                </w:p>
              </w:tc>
              <w:tc>
                <w:tcPr>
                  <w:tcW w:w="1217" w:type="dxa"/>
                  <w:gridSpan w:val="2"/>
                  <w:vMerge w:val="continue"/>
                  <w:shd w:val="clear" w:color="auto" w:fill="auto"/>
                  <w:vAlign w:val="center"/>
                </w:tcPr>
                <w:p w14:paraId="29A64D96">
                  <w:pPr>
                    <w:pStyle w:val="71"/>
                    <w:jc w:val="center"/>
                    <w:textAlignment w:val="center"/>
                    <w:rPr>
                      <w:rFonts w:eastAsiaTheme="minorEastAsia"/>
                      <w:color w:val="auto"/>
                      <w:sz w:val="22"/>
                      <w:szCs w:val="22"/>
                      <w:highlight w:val="none"/>
                    </w:rPr>
                  </w:pPr>
                </w:p>
              </w:tc>
              <w:tc>
                <w:tcPr>
                  <w:tcW w:w="4418" w:type="dxa"/>
                  <w:shd w:val="clear" w:color="auto" w:fill="auto"/>
                  <w:vAlign w:val="center"/>
                </w:tcPr>
                <w:p w14:paraId="5765586E">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设生活垃圾收集站1处，生活垃圾收集后统一交由环卫部门处置。</w:t>
                  </w:r>
                </w:p>
              </w:tc>
              <w:tc>
                <w:tcPr>
                  <w:tcW w:w="1062" w:type="dxa"/>
                  <w:shd w:val="clear" w:color="auto" w:fill="auto"/>
                  <w:vAlign w:val="center"/>
                </w:tcPr>
                <w:p w14:paraId="6D40822B">
                  <w:pPr>
                    <w:adjustRightInd w:val="0"/>
                    <w:snapToGrid w:val="0"/>
                    <w:jc w:val="center"/>
                    <w:rPr>
                      <w:rFonts w:eastAsiaTheme="minorEastAsia"/>
                      <w:color w:val="auto"/>
                      <w:sz w:val="22"/>
                      <w:szCs w:val="22"/>
                      <w:highlight w:val="none"/>
                    </w:rPr>
                  </w:pPr>
                  <w:r>
                    <w:rPr>
                      <w:rFonts w:hint="eastAsia" w:eastAsiaTheme="minorEastAsia"/>
                      <w:color w:val="auto"/>
                      <w:sz w:val="22"/>
                      <w:szCs w:val="22"/>
                      <w:highlight w:val="none"/>
                    </w:rPr>
                    <w:t>/</w:t>
                  </w:r>
                </w:p>
              </w:tc>
            </w:tr>
          </w:tbl>
          <w:p w14:paraId="4A65F72A">
            <w:pPr>
              <w:keepNext/>
              <w:keepLines/>
              <w:autoSpaceDE w:val="0"/>
              <w:autoSpaceDN w:val="0"/>
              <w:adjustRightInd w:val="0"/>
              <w:ind w:firstLine="520" w:firstLineChars="200"/>
              <w:jc w:val="left"/>
              <w:textAlignment w:val="baseline"/>
              <w:outlineLvl w:val="0"/>
              <w:rPr>
                <w:rFonts w:hAnsi="宋体"/>
                <w:color w:val="auto"/>
                <w:kern w:val="0"/>
                <w:sz w:val="26"/>
                <w:szCs w:val="26"/>
                <w:highlight w:val="none"/>
              </w:rPr>
            </w:pPr>
          </w:p>
          <w:p w14:paraId="01CD1A4E">
            <w:pPr>
              <w:keepNext/>
              <w:keepLines/>
              <w:autoSpaceDE w:val="0"/>
              <w:autoSpaceDN w:val="0"/>
              <w:adjustRightInd w:val="0"/>
              <w:jc w:val="center"/>
              <w:textAlignment w:val="baseline"/>
              <w:outlineLvl w:val="0"/>
              <w:rPr>
                <w:rFonts w:hAnsi="宋体"/>
                <w:color w:val="auto"/>
                <w:kern w:val="0"/>
                <w:sz w:val="26"/>
                <w:szCs w:val="26"/>
                <w:highlight w:val="none"/>
              </w:rPr>
            </w:pPr>
            <w:r>
              <w:rPr>
                <w:rFonts w:hint="eastAsia" w:hAnsi="宋体"/>
                <w:color w:val="auto"/>
                <w:kern w:val="0"/>
                <w:sz w:val="26"/>
                <w:szCs w:val="26"/>
                <w:highlight w:val="none"/>
              </w:rPr>
              <w:t>表2.11-2  现有项目主要设备一览表</w:t>
            </w:r>
          </w:p>
          <w:tbl>
            <w:tblPr>
              <w:tblStyle w:val="16"/>
              <w:tblW w:w="496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968"/>
              <w:gridCol w:w="2076"/>
              <w:gridCol w:w="749"/>
              <w:gridCol w:w="763"/>
              <w:gridCol w:w="980"/>
            </w:tblGrid>
            <w:tr w14:paraId="634C3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788FE49B">
                  <w:pPr>
                    <w:pStyle w:val="74"/>
                    <w:adjustRightInd w:val="0"/>
                    <w:snapToGrid w:val="0"/>
                    <w:spacing w:before="0" w:beforeLines="0"/>
                    <w:rPr>
                      <w:color w:val="auto"/>
                      <w:sz w:val="22"/>
                      <w:szCs w:val="22"/>
                      <w:highlight w:val="none"/>
                    </w:rPr>
                  </w:pPr>
                  <w:r>
                    <w:rPr>
                      <w:rFonts w:hint="eastAsia" w:eastAsia="宋体"/>
                      <w:color w:val="auto"/>
                      <w:sz w:val="22"/>
                      <w:szCs w:val="22"/>
                      <w:highlight w:val="none"/>
                    </w:rPr>
                    <w:t>序号</w:t>
                  </w: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17D4AD94">
                  <w:pPr>
                    <w:pStyle w:val="74"/>
                    <w:adjustRightInd w:val="0"/>
                    <w:snapToGrid w:val="0"/>
                    <w:spacing w:before="0" w:beforeLines="0"/>
                    <w:rPr>
                      <w:rFonts w:eastAsia="宋体"/>
                      <w:color w:val="auto"/>
                      <w:sz w:val="22"/>
                      <w:szCs w:val="22"/>
                      <w:highlight w:val="none"/>
                    </w:rPr>
                  </w:pPr>
                  <w:r>
                    <w:rPr>
                      <w:rFonts w:hint="eastAsia" w:eastAsia="宋体"/>
                      <w:color w:val="auto"/>
                      <w:sz w:val="22"/>
                      <w:szCs w:val="22"/>
                      <w:highlight w:val="none"/>
                    </w:rPr>
                    <w:t>生产设备名称</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5D840434">
                  <w:pPr>
                    <w:pStyle w:val="74"/>
                    <w:adjustRightInd w:val="0"/>
                    <w:snapToGrid w:val="0"/>
                    <w:spacing w:before="0" w:beforeLines="0"/>
                    <w:rPr>
                      <w:color w:val="auto"/>
                      <w:sz w:val="22"/>
                      <w:szCs w:val="22"/>
                      <w:highlight w:val="none"/>
                    </w:rPr>
                  </w:pPr>
                  <w:r>
                    <w:rPr>
                      <w:rFonts w:hint="eastAsia" w:eastAsia="宋体"/>
                      <w:color w:val="auto"/>
                      <w:sz w:val="22"/>
                      <w:szCs w:val="22"/>
                      <w:highlight w:val="none"/>
                    </w:rPr>
                    <w:t>型号/参数</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057B3770">
                  <w:pPr>
                    <w:pStyle w:val="74"/>
                    <w:adjustRightInd w:val="0"/>
                    <w:snapToGrid w:val="0"/>
                    <w:spacing w:before="0" w:beforeLines="0"/>
                    <w:rPr>
                      <w:color w:val="auto"/>
                      <w:sz w:val="22"/>
                      <w:szCs w:val="22"/>
                      <w:highlight w:val="none"/>
                    </w:rPr>
                  </w:pPr>
                  <w:r>
                    <w:rPr>
                      <w:rFonts w:hint="eastAsia" w:eastAsia="宋体"/>
                      <w:color w:val="auto"/>
                      <w:sz w:val="22"/>
                      <w:szCs w:val="22"/>
                      <w:highlight w:val="none"/>
                    </w:rPr>
                    <w:t>单位</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07F55287">
                  <w:pPr>
                    <w:pStyle w:val="74"/>
                    <w:adjustRightInd w:val="0"/>
                    <w:snapToGrid w:val="0"/>
                    <w:spacing w:before="0" w:beforeLines="0"/>
                    <w:rPr>
                      <w:color w:val="auto"/>
                      <w:sz w:val="22"/>
                      <w:szCs w:val="22"/>
                      <w:highlight w:val="none"/>
                    </w:rPr>
                  </w:pPr>
                  <w:r>
                    <w:rPr>
                      <w:rFonts w:hint="eastAsia" w:eastAsia="宋体"/>
                      <w:color w:val="auto"/>
                      <w:sz w:val="22"/>
                      <w:szCs w:val="22"/>
                      <w:highlight w:val="none"/>
                    </w:rPr>
                    <w:t>数量</w:t>
                  </w:r>
                </w:p>
              </w:tc>
              <w:tc>
                <w:tcPr>
                  <w:tcW w:w="979" w:type="dxa"/>
                  <w:tcBorders>
                    <w:top w:val="single" w:color="auto" w:sz="4" w:space="0"/>
                    <w:left w:val="single" w:color="auto" w:sz="4" w:space="0"/>
                    <w:bottom w:val="single" w:color="auto" w:sz="4" w:space="0"/>
                    <w:right w:val="single" w:color="auto" w:sz="4" w:space="0"/>
                    <w:tl2br w:val="nil"/>
                    <w:tr2bl w:val="nil"/>
                  </w:tcBorders>
                  <w:vAlign w:val="center"/>
                </w:tcPr>
                <w:p w14:paraId="60F82FA9">
                  <w:pPr>
                    <w:pStyle w:val="74"/>
                    <w:adjustRightInd w:val="0"/>
                    <w:snapToGrid w:val="0"/>
                    <w:spacing w:before="0" w:beforeLines="0"/>
                    <w:rPr>
                      <w:color w:val="auto"/>
                      <w:sz w:val="22"/>
                      <w:szCs w:val="22"/>
                      <w:highlight w:val="none"/>
                    </w:rPr>
                  </w:pPr>
                  <w:r>
                    <w:rPr>
                      <w:rFonts w:hint="eastAsia" w:eastAsia="宋体"/>
                      <w:color w:val="auto"/>
                      <w:sz w:val="22"/>
                      <w:szCs w:val="22"/>
                      <w:highlight w:val="none"/>
                    </w:rPr>
                    <w:t>本项目与现有项目的关联</w:t>
                  </w:r>
                </w:p>
              </w:tc>
            </w:tr>
            <w:tr w14:paraId="5EEFD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33FCF174">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2EA608E1">
                  <w:pPr>
                    <w:widowControl/>
                    <w:adjustRightInd w:val="0"/>
                    <w:snapToGrid w:val="0"/>
                    <w:jc w:val="center"/>
                    <w:rPr>
                      <w:color w:val="auto"/>
                      <w:kern w:val="0"/>
                      <w:sz w:val="22"/>
                      <w:szCs w:val="22"/>
                      <w:highlight w:val="none"/>
                    </w:rPr>
                  </w:pPr>
                  <w:r>
                    <w:rPr>
                      <w:rFonts w:hint="eastAsia"/>
                      <w:color w:val="auto"/>
                      <w:kern w:val="0"/>
                      <w:sz w:val="22"/>
                      <w:szCs w:val="22"/>
                      <w:highlight w:val="none"/>
                    </w:rPr>
                    <w:t>剪板机</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3BAC2522">
                  <w:pPr>
                    <w:widowControl/>
                    <w:adjustRightInd w:val="0"/>
                    <w:snapToGrid w:val="0"/>
                    <w:jc w:val="center"/>
                    <w:rPr>
                      <w:color w:val="auto"/>
                      <w:kern w:val="0"/>
                      <w:sz w:val="22"/>
                      <w:szCs w:val="22"/>
                      <w:highlight w:val="none"/>
                    </w:rPr>
                  </w:pPr>
                  <w:r>
                    <w:rPr>
                      <w:rFonts w:hint="eastAsia"/>
                      <w:color w:val="auto"/>
                      <w:kern w:val="0"/>
                      <w:sz w:val="22"/>
                      <w:szCs w:val="22"/>
                      <w:highlight w:val="none"/>
                    </w:rPr>
                    <w:t>/</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184245B3">
                  <w:pPr>
                    <w:widowControl/>
                    <w:adjustRightInd w:val="0"/>
                    <w:snapToGrid w:val="0"/>
                    <w:jc w:val="center"/>
                    <w:rPr>
                      <w:color w:val="auto"/>
                      <w:kern w:val="0"/>
                      <w:sz w:val="22"/>
                      <w:szCs w:val="22"/>
                      <w:highlight w:val="none"/>
                    </w:rPr>
                  </w:pPr>
                  <w:r>
                    <w:rPr>
                      <w:rFonts w:hint="eastAsia"/>
                      <w:color w:val="auto"/>
                      <w:kern w:val="0"/>
                      <w:sz w:val="22"/>
                      <w:szCs w:val="22"/>
                      <w:highlight w:val="none"/>
                    </w:rPr>
                    <w:t>台</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26414C2D">
                  <w:pPr>
                    <w:widowControl/>
                    <w:adjustRightInd w:val="0"/>
                    <w:snapToGrid w:val="0"/>
                    <w:jc w:val="center"/>
                    <w:rPr>
                      <w:color w:val="auto"/>
                      <w:kern w:val="0"/>
                      <w:sz w:val="22"/>
                      <w:szCs w:val="22"/>
                      <w:highlight w:val="none"/>
                    </w:rPr>
                  </w:pPr>
                  <w:r>
                    <w:rPr>
                      <w:rFonts w:hint="eastAsia"/>
                      <w:color w:val="auto"/>
                      <w:kern w:val="0"/>
                      <w:sz w:val="22"/>
                      <w:szCs w:val="22"/>
                      <w:highlight w:val="none"/>
                    </w:rPr>
                    <w:t>2</w:t>
                  </w:r>
                </w:p>
              </w:tc>
              <w:tc>
                <w:tcPr>
                  <w:tcW w:w="979" w:type="dxa"/>
                  <w:vMerge w:val="restart"/>
                  <w:tcBorders>
                    <w:top w:val="single" w:color="auto" w:sz="4" w:space="0"/>
                    <w:left w:val="single" w:color="auto" w:sz="4" w:space="0"/>
                    <w:right w:val="single" w:color="auto" w:sz="4" w:space="0"/>
                    <w:tl2br w:val="nil"/>
                    <w:tr2bl w:val="nil"/>
                  </w:tcBorders>
                  <w:vAlign w:val="center"/>
                </w:tcPr>
                <w:p w14:paraId="53B47C2D">
                  <w:pPr>
                    <w:widowControl/>
                    <w:adjustRightInd w:val="0"/>
                    <w:snapToGrid w:val="0"/>
                    <w:jc w:val="center"/>
                    <w:rPr>
                      <w:color w:val="auto"/>
                      <w:kern w:val="0"/>
                      <w:sz w:val="22"/>
                      <w:szCs w:val="22"/>
                      <w:highlight w:val="none"/>
                    </w:rPr>
                  </w:pPr>
                  <w:r>
                    <w:rPr>
                      <w:rFonts w:hint="eastAsia"/>
                      <w:color w:val="auto"/>
                      <w:kern w:val="0"/>
                      <w:sz w:val="22"/>
                      <w:szCs w:val="22"/>
                      <w:highlight w:val="none"/>
                    </w:rPr>
                    <w:t>本次利旧</w:t>
                  </w:r>
                </w:p>
              </w:tc>
            </w:tr>
            <w:tr w14:paraId="20090A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1F29DF83">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30393770">
                  <w:pPr>
                    <w:widowControl/>
                    <w:adjustRightInd w:val="0"/>
                    <w:snapToGrid w:val="0"/>
                    <w:jc w:val="center"/>
                    <w:rPr>
                      <w:color w:val="auto"/>
                      <w:kern w:val="0"/>
                      <w:sz w:val="22"/>
                      <w:szCs w:val="22"/>
                      <w:highlight w:val="none"/>
                    </w:rPr>
                  </w:pPr>
                  <w:r>
                    <w:rPr>
                      <w:rFonts w:hint="eastAsia"/>
                      <w:color w:val="auto"/>
                      <w:kern w:val="0"/>
                      <w:sz w:val="22"/>
                      <w:szCs w:val="22"/>
                      <w:highlight w:val="none"/>
                    </w:rPr>
                    <w:t>开卷机</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23D3C735">
                  <w:pPr>
                    <w:widowControl/>
                    <w:adjustRightInd w:val="0"/>
                    <w:snapToGrid w:val="0"/>
                    <w:jc w:val="center"/>
                    <w:rPr>
                      <w:color w:val="auto"/>
                      <w:kern w:val="0"/>
                      <w:sz w:val="22"/>
                      <w:szCs w:val="22"/>
                      <w:highlight w:val="none"/>
                    </w:rPr>
                  </w:pPr>
                  <w:r>
                    <w:rPr>
                      <w:rFonts w:hint="eastAsia"/>
                      <w:color w:val="auto"/>
                      <w:kern w:val="0"/>
                      <w:sz w:val="22"/>
                      <w:szCs w:val="22"/>
                      <w:highlight w:val="none"/>
                    </w:rPr>
                    <w:t>/</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4B7EC5DF">
                  <w:pPr>
                    <w:widowControl/>
                    <w:adjustRightInd w:val="0"/>
                    <w:snapToGrid w:val="0"/>
                    <w:jc w:val="center"/>
                    <w:rPr>
                      <w:color w:val="auto"/>
                      <w:kern w:val="0"/>
                      <w:sz w:val="22"/>
                      <w:szCs w:val="22"/>
                      <w:highlight w:val="none"/>
                    </w:rPr>
                  </w:pPr>
                  <w:r>
                    <w:rPr>
                      <w:rFonts w:hint="eastAsia"/>
                      <w:color w:val="auto"/>
                      <w:kern w:val="0"/>
                      <w:sz w:val="22"/>
                      <w:szCs w:val="22"/>
                      <w:highlight w:val="none"/>
                    </w:rPr>
                    <w:t>台</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6101B30E">
                  <w:pPr>
                    <w:widowControl/>
                    <w:adjustRightInd w:val="0"/>
                    <w:snapToGrid w:val="0"/>
                    <w:jc w:val="center"/>
                    <w:rPr>
                      <w:color w:val="auto"/>
                      <w:kern w:val="0"/>
                      <w:sz w:val="22"/>
                      <w:szCs w:val="22"/>
                      <w:highlight w:val="none"/>
                    </w:rPr>
                  </w:pPr>
                  <w:r>
                    <w:rPr>
                      <w:rFonts w:hint="eastAsia"/>
                      <w:color w:val="auto"/>
                      <w:kern w:val="0"/>
                      <w:sz w:val="22"/>
                      <w:szCs w:val="22"/>
                      <w:highlight w:val="none"/>
                    </w:rPr>
                    <w:t>2</w:t>
                  </w:r>
                </w:p>
              </w:tc>
              <w:tc>
                <w:tcPr>
                  <w:tcW w:w="979" w:type="dxa"/>
                  <w:vMerge w:val="continue"/>
                  <w:tcBorders>
                    <w:left w:val="single" w:color="auto" w:sz="4" w:space="0"/>
                    <w:right w:val="single" w:color="auto" w:sz="4" w:space="0"/>
                    <w:tl2br w:val="nil"/>
                    <w:tr2bl w:val="nil"/>
                  </w:tcBorders>
                  <w:vAlign w:val="center"/>
                </w:tcPr>
                <w:p w14:paraId="77D37CA4">
                  <w:pPr>
                    <w:widowControl/>
                    <w:adjustRightInd w:val="0"/>
                    <w:snapToGrid w:val="0"/>
                    <w:jc w:val="center"/>
                    <w:rPr>
                      <w:color w:val="auto"/>
                      <w:kern w:val="0"/>
                      <w:sz w:val="22"/>
                      <w:szCs w:val="22"/>
                      <w:highlight w:val="none"/>
                    </w:rPr>
                  </w:pPr>
                </w:p>
              </w:tc>
            </w:tr>
            <w:tr w14:paraId="672C1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7785E236">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6DC0E337">
                  <w:pPr>
                    <w:widowControl/>
                    <w:adjustRightInd w:val="0"/>
                    <w:snapToGrid w:val="0"/>
                    <w:jc w:val="center"/>
                    <w:rPr>
                      <w:color w:val="auto"/>
                      <w:kern w:val="0"/>
                      <w:sz w:val="22"/>
                      <w:szCs w:val="22"/>
                      <w:highlight w:val="none"/>
                      <w:lang w:bidi="ar"/>
                    </w:rPr>
                  </w:pPr>
                  <w:r>
                    <w:rPr>
                      <w:rFonts w:hint="eastAsia"/>
                      <w:color w:val="auto"/>
                      <w:kern w:val="0"/>
                      <w:sz w:val="22"/>
                      <w:szCs w:val="22"/>
                      <w:highlight w:val="none"/>
                      <w:lang w:bidi="ar"/>
                    </w:rPr>
                    <w:t>机械冲压机</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31F2414A">
                  <w:pPr>
                    <w:widowControl/>
                    <w:adjustRightInd w:val="0"/>
                    <w:snapToGrid w:val="0"/>
                    <w:jc w:val="center"/>
                    <w:rPr>
                      <w:color w:val="auto"/>
                      <w:kern w:val="0"/>
                      <w:sz w:val="22"/>
                      <w:szCs w:val="22"/>
                      <w:highlight w:val="none"/>
                    </w:rPr>
                  </w:pPr>
                  <w:r>
                    <w:rPr>
                      <w:rFonts w:hint="eastAsia"/>
                      <w:color w:val="auto"/>
                      <w:kern w:val="0"/>
                      <w:sz w:val="22"/>
                      <w:szCs w:val="22"/>
                      <w:highlight w:val="none"/>
                    </w:rPr>
                    <w:t>80T</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2FEB0B85">
                  <w:pPr>
                    <w:widowControl/>
                    <w:adjustRightInd w:val="0"/>
                    <w:snapToGrid w:val="0"/>
                    <w:jc w:val="center"/>
                    <w:rPr>
                      <w:color w:val="auto"/>
                      <w:kern w:val="0"/>
                      <w:sz w:val="22"/>
                      <w:szCs w:val="22"/>
                      <w:highlight w:val="none"/>
                    </w:rPr>
                  </w:pPr>
                  <w:r>
                    <w:rPr>
                      <w:rFonts w:hint="eastAsia"/>
                      <w:color w:val="auto"/>
                      <w:kern w:val="0"/>
                      <w:sz w:val="22"/>
                      <w:szCs w:val="22"/>
                      <w:highlight w:val="none"/>
                    </w:rPr>
                    <w:t>台</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10DEF3E0">
                  <w:pPr>
                    <w:widowControl/>
                    <w:adjustRightInd w:val="0"/>
                    <w:snapToGrid w:val="0"/>
                    <w:jc w:val="center"/>
                    <w:rPr>
                      <w:color w:val="auto"/>
                      <w:kern w:val="0"/>
                      <w:sz w:val="22"/>
                      <w:szCs w:val="22"/>
                      <w:highlight w:val="none"/>
                    </w:rPr>
                  </w:pPr>
                  <w:r>
                    <w:rPr>
                      <w:rFonts w:hint="eastAsia"/>
                      <w:color w:val="auto"/>
                      <w:kern w:val="0"/>
                      <w:sz w:val="22"/>
                      <w:szCs w:val="22"/>
                      <w:highlight w:val="none"/>
                    </w:rPr>
                    <w:t>3</w:t>
                  </w:r>
                </w:p>
              </w:tc>
              <w:tc>
                <w:tcPr>
                  <w:tcW w:w="979" w:type="dxa"/>
                  <w:vMerge w:val="continue"/>
                  <w:tcBorders>
                    <w:left w:val="single" w:color="auto" w:sz="4" w:space="0"/>
                    <w:right w:val="single" w:color="auto" w:sz="4" w:space="0"/>
                    <w:tl2br w:val="nil"/>
                    <w:tr2bl w:val="nil"/>
                  </w:tcBorders>
                  <w:vAlign w:val="center"/>
                </w:tcPr>
                <w:p w14:paraId="75D923E9">
                  <w:pPr>
                    <w:widowControl/>
                    <w:adjustRightInd w:val="0"/>
                    <w:snapToGrid w:val="0"/>
                    <w:jc w:val="center"/>
                    <w:rPr>
                      <w:color w:val="auto"/>
                      <w:kern w:val="0"/>
                      <w:sz w:val="22"/>
                      <w:szCs w:val="22"/>
                      <w:highlight w:val="none"/>
                    </w:rPr>
                  </w:pPr>
                </w:p>
              </w:tc>
            </w:tr>
            <w:tr w14:paraId="6440C5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6FEF85FB">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3B5491CB">
                  <w:pPr>
                    <w:widowControl/>
                    <w:adjustRightInd w:val="0"/>
                    <w:snapToGrid w:val="0"/>
                    <w:jc w:val="center"/>
                    <w:rPr>
                      <w:color w:val="auto"/>
                      <w:kern w:val="0"/>
                      <w:sz w:val="22"/>
                      <w:szCs w:val="22"/>
                      <w:highlight w:val="none"/>
                      <w:lang w:bidi="ar"/>
                    </w:rPr>
                  </w:pPr>
                  <w:r>
                    <w:rPr>
                      <w:rFonts w:hint="eastAsia"/>
                      <w:color w:val="auto"/>
                      <w:kern w:val="0"/>
                      <w:sz w:val="22"/>
                      <w:szCs w:val="22"/>
                      <w:highlight w:val="none"/>
                      <w:lang w:bidi="ar"/>
                    </w:rPr>
                    <w:t>机械冲压机</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7B93DFC6">
                  <w:pPr>
                    <w:widowControl/>
                    <w:adjustRightInd w:val="0"/>
                    <w:snapToGrid w:val="0"/>
                    <w:jc w:val="center"/>
                    <w:rPr>
                      <w:color w:val="auto"/>
                      <w:kern w:val="0"/>
                      <w:sz w:val="22"/>
                      <w:szCs w:val="22"/>
                      <w:highlight w:val="none"/>
                    </w:rPr>
                  </w:pPr>
                  <w:r>
                    <w:rPr>
                      <w:rFonts w:hint="eastAsia"/>
                      <w:color w:val="auto"/>
                      <w:kern w:val="0"/>
                      <w:sz w:val="22"/>
                      <w:szCs w:val="22"/>
                      <w:highlight w:val="none"/>
                    </w:rPr>
                    <w:t>110T</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73DB3CD0">
                  <w:pPr>
                    <w:widowControl/>
                    <w:adjustRightInd w:val="0"/>
                    <w:snapToGrid w:val="0"/>
                    <w:jc w:val="center"/>
                    <w:rPr>
                      <w:color w:val="auto"/>
                      <w:kern w:val="0"/>
                      <w:sz w:val="22"/>
                      <w:szCs w:val="22"/>
                      <w:highlight w:val="none"/>
                    </w:rPr>
                  </w:pPr>
                  <w:r>
                    <w:rPr>
                      <w:rFonts w:hint="eastAsia"/>
                      <w:color w:val="auto"/>
                      <w:kern w:val="0"/>
                      <w:sz w:val="22"/>
                      <w:szCs w:val="22"/>
                      <w:highlight w:val="none"/>
                    </w:rPr>
                    <w:t>台</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66668A0F">
                  <w:pPr>
                    <w:widowControl/>
                    <w:adjustRightInd w:val="0"/>
                    <w:snapToGrid w:val="0"/>
                    <w:jc w:val="center"/>
                    <w:rPr>
                      <w:color w:val="auto"/>
                      <w:kern w:val="0"/>
                      <w:sz w:val="22"/>
                      <w:szCs w:val="22"/>
                      <w:highlight w:val="none"/>
                    </w:rPr>
                  </w:pPr>
                  <w:r>
                    <w:rPr>
                      <w:rFonts w:hint="eastAsia"/>
                      <w:color w:val="auto"/>
                      <w:kern w:val="0"/>
                      <w:sz w:val="22"/>
                      <w:szCs w:val="22"/>
                      <w:highlight w:val="none"/>
                    </w:rPr>
                    <w:t>2</w:t>
                  </w:r>
                </w:p>
              </w:tc>
              <w:tc>
                <w:tcPr>
                  <w:tcW w:w="979" w:type="dxa"/>
                  <w:vMerge w:val="continue"/>
                  <w:tcBorders>
                    <w:left w:val="single" w:color="auto" w:sz="4" w:space="0"/>
                    <w:right w:val="single" w:color="auto" w:sz="4" w:space="0"/>
                    <w:tl2br w:val="nil"/>
                    <w:tr2bl w:val="nil"/>
                  </w:tcBorders>
                  <w:vAlign w:val="center"/>
                </w:tcPr>
                <w:p w14:paraId="4A645B11">
                  <w:pPr>
                    <w:widowControl/>
                    <w:adjustRightInd w:val="0"/>
                    <w:snapToGrid w:val="0"/>
                    <w:jc w:val="center"/>
                    <w:rPr>
                      <w:color w:val="auto"/>
                      <w:kern w:val="0"/>
                      <w:sz w:val="22"/>
                      <w:szCs w:val="22"/>
                      <w:highlight w:val="none"/>
                    </w:rPr>
                  </w:pPr>
                </w:p>
              </w:tc>
            </w:tr>
            <w:tr w14:paraId="41C7BE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5DBA327A">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5B7EF394">
                  <w:pPr>
                    <w:widowControl/>
                    <w:adjustRightInd w:val="0"/>
                    <w:snapToGrid w:val="0"/>
                    <w:jc w:val="center"/>
                    <w:rPr>
                      <w:color w:val="auto"/>
                      <w:kern w:val="0"/>
                      <w:sz w:val="22"/>
                      <w:szCs w:val="22"/>
                      <w:highlight w:val="none"/>
                      <w:lang w:bidi="ar"/>
                    </w:rPr>
                  </w:pPr>
                  <w:r>
                    <w:rPr>
                      <w:rFonts w:hint="eastAsia"/>
                      <w:color w:val="auto"/>
                      <w:kern w:val="0"/>
                      <w:sz w:val="22"/>
                      <w:szCs w:val="22"/>
                      <w:highlight w:val="none"/>
                      <w:lang w:bidi="ar"/>
                    </w:rPr>
                    <w:t>机械冲压机</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3DD8DEB6">
                  <w:pPr>
                    <w:widowControl/>
                    <w:adjustRightInd w:val="0"/>
                    <w:snapToGrid w:val="0"/>
                    <w:jc w:val="center"/>
                    <w:rPr>
                      <w:color w:val="auto"/>
                      <w:kern w:val="0"/>
                      <w:sz w:val="22"/>
                      <w:szCs w:val="22"/>
                      <w:highlight w:val="none"/>
                    </w:rPr>
                  </w:pPr>
                  <w:r>
                    <w:rPr>
                      <w:rFonts w:hint="eastAsia"/>
                      <w:color w:val="auto"/>
                      <w:kern w:val="0"/>
                      <w:sz w:val="22"/>
                      <w:szCs w:val="22"/>
                      <w:highlight w:val="none"/>
                    </w:rPr>
                    <w:t>160T</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77957DA0">
                  <w:pPr>
                    <w:widowControl/>
                    <w:adjustRightInd w:val="0"/>
                    <w:snapToGrid w:val="0"/>
                    <w:jc w:val="center"/>
                    <w:rPr>
                      <w:color w:val="auto"/>
                      <w:kern w:val="0"/>
                      <w:sz w:val="22"/>
                      <w:szCs w:val="22"/>
                      <w:highlight w:val="none"/>
                    </w:rPr>
                  </w:pPr>
                  <w:r>
                    <w:rPr>
                      <w:rFonts w:hint="eastAsia"/>
                      <w:color w:val="auto"/>
                      <w:kern w:val="0"/>
                      <w:sz w:val="22"/>
                      <w:szCs w:val="22"/>
                      <w:highlight w:val="none"/>
                    </w:rPr>
                    <w:t>台</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5F23AABB">
                  <w:pPr>
                    <w:widowControl/>
                    <w:adjustRightInd w:val="0"/>
                    <w:snapToGrid w:val="0"/>
                    <w:jc w:val="center"/>
                    <w:rPr>
                      <w:color w:val="auto"/>
                      <w:kern w:val="0"/>
                      <w:sz w:val="22"/>
                      <w:szCs w:val="22"/>
                      <w:highlight w:val="none"/>
                    </w:rPr>
                  </w:pPr>
                  <w:r>
                    <w:rPr>
                      <w:rFonts w:hint="eastAsia"/>
                      <w:color w:val="auto"/>
                      <w:kern w:val="0"/>
                      <w:sz w:val="22"/>
                      <w:szCs w:val="22"/>
                      <w:highlight w:val="none"/>
                    </w:rPr>
                    <w:t>2</w:t>
                  </w:r>
                </w:p>
              </w:tc>
              <w:tc>
                <w:tcPr>
                  <w:tcW w:w="979" w:type="dxa"/>
                  <w:vMerge w:val="continue"/>
                  <w:tcBorders>
                    <w:left w:val="single" w:color="auto" w:sz="4" w:space="0"/>
                    <w:right w:val="single" w:color="auto" w:sz="4" w:space="0"/>
                    <w:tl2br w:val="nil"/>
                    <w:tr2bl w:val="nil"/>
                  </w:tcBorders>
                  <w:vAlign w:val="center"/>
                </w:tcPr>
                <w:p w14:paraId="527E2189">
                  <w:pPr>
                    <w:widowControl/>
                    <w:adjustRightInd w:val="0"/>
                    <w:snapToGrid w:val="0"/>
                    <w:jc w:val="center"/>
                    <w:rPr>
                      <w:color w:val="auto"/>
                      <w:kern w:val="0"/>
                      <w:sz w:val="22"/>
                      <w:szCs w:val="22"/>
                      <w:highlight w:val="none"/>
                    </w:rPr>
                  </w:pPr>
                </w:p>
              </w:tc>
            </w:tr>
            <w:tr w14:paraId="7DA813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361B6290">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0E0CD51D">
                  <w:pPr>
                    <w:widowControl/>
                    <w:adjustRightInd w:val="0"/>
                    <w:snapToGrid w:val="0"/>
                    <w:jc w:val="center"/>
                    <w:rPr>
                      <w:color w:val="auto"/>
                      <w:kern w:val="0"/>
                      <w:sz w:val="22"/>
                      <w:szCs w:val="22"/>
                      <w:highlight w:val="none"/>
                      <w:lang w:bidi="ar"/>
                    </w:rPr>
                  </w:pPr>
                  <w:r>
                    <w:rPr>
                      <w:rFonts w:hint="eastAsia"/>
                      <w:color w:val="auto"/>
                      <w:kern w:val="0"/>
                      <w:sz w:val="22"/>
                      <w:szCs w:val="22"/>
                      <w:highlight w:val="none"/>
                      <w:lang w:bidi="ar"/>
                    </w:rPr>
                    <w:t>机械冲压机</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45D9361E">
                  <w:pPr>
                    <w:widowControl/>
                    <w:adjustRightInd w:val="0"/>
                    <w:snapToGrid w:val="0"/>
                    <w:jc w:val="center"/>
                    <w:rPr>
                      <w:color w:val="auto"/>
                      <w:kern w:val="0"/>
                      <w:sz w:val="22"/>
                      <w:szCs w:val="22"/>
                      <w:highlight w:val="none"/>
                    </w:rPr>
                  </w:pPr>
                  <w:r>
                    <w:rPr>
                      <w:rFonts w:hint="eastAsia"/>
                      <w:color w:val="auto"/>
                      <w:kern w:val="0"/>
                      <w:sz w:val="22"/>
                      <w:szCs w:val="22"/>
                      <w:highlight w:val="none"/>
                    </w:rPr>
                    <w:t>200T</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148D76E3">
                  <w:pPr>
                    <w:widowControl/>
                    <w:adjustRightInd w:val="0"/>
                    <w:snapToGrid w:val="0"/>
                    <w:jc w:val="center"/>
                    <w:rPr>
                      <w:color w:val="auto"/>
                      <w:kern w:val="0"/>
                      <w:sz w:val="22"/>
                      <w:szCs w:val="22"/>
                      <w:highlight w:val="none"/>
                    </w:rPr>
                  </w:pPr>
                  <w:r>
                    <w:rPr>
                      <w:rFonts w:hint="eastAsia"/>
                      <w:color w:val="auto"/>
                      <w:kern w:val="0"/>
                      <w:sz w:val="22"/>
                      <w:szCs w:val="22"/>
                      <w:highlight w:val="none"/>
                    </w:rPr>
                    <w:t>台</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4641DE9A">
                  <w:pPr>
                    <w:widowControl/>
                    <w:adjustRightInd w:val="0"/>
                    <w:snapToGrid w:val="0"/>
                    <w:jc w:val="center"/>
                    <w:rPr>
                      <w:color w:val="auto"/>
                      <w:kern w:val="0"/>
                      <w:sz w:val="22"/>
                      <w:szCs w:val="22"/>
                      <w:highlight w:val="none"/>
                    </w:rPr>
                  </w:pPr>
                  <w:r>
                    <w:rPr>
                      <w:rFonts w:hint="eastAsia"/>
                      <w:color w:val="auto"/>
                      <w:kern w:val="0"/>
                      <w:sz w:val="22"/>
                      <w:szCs w:val="22"/>
                      <w:highlight w:val="none"/>
                    </w:rPr>
                    <w:t>3</w:t>
                  </w:r>
                </w:p>
              </w:tc>
              <w:tc>
                <w:tcPr>
                  <w:tcW w:w="979" w:type="dxa"/>
                  <w:vMerge w:val="continue"/>
                  <w:tcBorders>
                    <w:left w:val="single" w:color="auto" w:sz="4" w:space="0"/>
                    <w:right w:val="single" w:color="auto" w:sz="4" w:space="0"/>
                    <w:tl2br w:val="nil"/>
                    <w:tr2bl w:val="nil"/>
                  </w:tcBorders>
                  <w:vAlign w:val="center"/>
                </w:tcPr>
                <w:p w14:paraId="07C25ABC">
                  <w:pPr>
                    <w:widowControl/>
                    <w:adjustRightInd w:val="0"/>
                    <w:snapToGrid w:val="0"/>
                    <w:jc w:val="center"/>
                    <w:rPr>
                      <w:color w:val="auto"/>
                      <w:kern w:val="0"/>
                      <w:sz w:val="22"/>
                      <w:szCs w:val="22"/>
                      <w:highlight w:val="none"/>
                    </w:rPr>
                  </w:pPr>
                </w:p>
              </w:tc>
            </w:tr>
            <w:tr w14:paraId="3F888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4DB4614E">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75D54D91">
                  <w:pPr>
                    <w:widowControl/>
                    <w:adjustRightInd w:val="0"/>
                    <w:snapToGrid w:val="0"/>
                    <w:jc w:val="center"/>
                    <w:rPr>
                      <w:color w:val="auto"/>
                      <w:kern w:val="0"/>
                      <w:sz w:val="22"/>
                      <w:szCs w:val="22"/>
                      <w:highlight w:val="none"/>
                    </w:rPr>
                  </w:pPr>
                  <w:r>
                    <w:rPr>
                      <w:rFonts w:hint="eastAsia"/>
                      <w:color w:val="auto"/>
                      <w:kern w:val="0"/>
                      <w:sz w:val="22"/>
                      <w:szCs w:val="22"/>
                      <w:highlight w:val="none"/>
                      <w:lang w:bidi="ar"/>
                    </w:rPr>
                    <w:t>机械</w:t>
                  </w:r>
                  <w:r>
                    <w:rPr>
                      <w:rFonts w:hint="eastAsia"/>
                      <w:color w:val="auto"/>
                      <w:kern w:val="0"/>
                      <w:sz w:val="22"/>
                      <w:szCs w:val="22"/>
                      <w:highlight w:val="none"/>
                    </w:rPr>
                    <w:t>冲压机</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6C409CA5">
                  <w:pPr>
                    <w:widowControl/>
                    <w:adjustRightInd w:val="0"/>
                    <w:snapToGrid w:val="0"/>
                    <w:jc w:val="center"/>
                    <w:rPr>
                      <w:color w:val="auto"/>
                      <w:kern w:val="0"/>
                      <w:sz w:val="22"/>
                      <w:szCs w:val="22"/>
                      <w:highlight w:val="none"/>
                    </w:rPr>
                  </w:pPr>
                  <w:r>
                    <w:rPr>
                      <w:rFonts w:hint="eastAsia"/>
                      <w:color w:val="auto"/>
                      <w:kern w:val="0"/>
                      <w:sz w:val="22"/>
                      <w:szCs w:val="22"/>
                      <w:highlight w:val="none"/>
                    </w:rPr>
                    <w:t>400T</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7AD1517C">
                  <w:pPr>
                    <w:widowControl/>
                    <w:adjustRightInd w:val="0"/>
                    <w:snapToGrid w:val="0"/>
                    <w:jc w:val="center"/>
                    <w:rPr>
                      <w:color w:val="auto"/>
                      <w:kern w:val="0"/>
                      <w:sz w:val="22"/>
                      <w:szCs w:val="22"/>
                      <w:highlight w:val="none"/>
                    </w:rPr>
                  </w:pPr>
                  <w:r>
                    <w:rPr>
                      <w:rFonts w:hint="eastAsia"/>
                      <w:color w:val="auto"/>
                      <w:kern w:val="0"/>
                      <w:sz w:val="22"/>
                      <w:szCs w:val="22"/>
                      <w:highlight w:val="none"/>
                    </w:rPr>
                    <w:t>台</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5CCDFA67">
                  <w:pPr>
                    <w:widowControl/>
                    <w:adjustRightInd w:val="0"/>
                    <w:snapToGrid w:val="0"/>
                    <w:jc w:val="center"/>
                    <w:rPr>
                      <w:color w:val="auto"/>
                      <w:kern w:val="0"/>
                      <w:sz w:val="22"/>
                      <w:szCs w:val="22"/>
                      <w:highlight w:val="none"/>
                    </w:rPr>
                  </w:pPr>
                  <w:r>
                    <w:rPr>
                      <w:rFonts w:hint="eastAsia"/>
                      <w:color w:val="auto"/>
                      <w:kern w:val="0"/>
                      <w:sz w:val="22"/>
                      <w:szCs w:val="22"/>
                      <w:highlight w:val="none"/>
                    </w:rPr>
                    <w:t>2</w:t>
                  </w:r>
                </w:p>
              </w:tc>
              <w:tc>
                <w:tcPr>
                  <w:tcW w:w="979" w:type="dxa"/>
                  <w:vMerge w:val="continue"/>
                  <w:tcBorders>
                    <w:left w:val="single" w:color="auto" w:sz="4" w:space="0"/>
                    <w:right w:val="single" w:color="auto" w:sz="4" w:space="0"/>
                    <w:tl2br w:val="nil"/>
                    <w:tr2bl w:val="nil"/>
                  </w:tcBorders>
                  <w:vAlign w:val="center"/>
                </w:tcPr>
                <w:p w14:paraId="7F81321E">
                  <w:pPr>
                    <w:widowControl/>
                    <w:adjustRightInd w:val="0"/>
                    <w:snapToGrid w:val="0"/>
                    <w:jc w:val="center"/>
                    <w:rPr>
                      <w:color w:val="auto"/>
                      <w:kern w:val="0"/>
                      <w:sz w:val="22"/>
                      <w:szCs w:val="22"/>
                      <w:highlight w:val="none"/>
                    </w:rPr>
                  </w:pPr>
                </w:p>
              </w:tc>
            </w:tr>
            <w:tr w14:paraId="44A54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268BE7FB">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4C54B532">
                  <w:pPr>
                    <w:widowControl/>
                    <w:adjustRightInd w:val="0"/>
                    <w:snapToGrid w:val="0"/>
                    <w:jc w:val="center"/>
                    <w:rPr>
                      <w:color w:val="auto"/>
                      <w:kern w:val="0"/>
                      <w:sz w:val="22"/>
                      <w:szCs w:val="22"/>
                      <w:highlight w:val="none"/>
                    </w:rPr>
                  </w:pPr>
                  <w:r>
                    <w:rPr>
                      <w:rFonts w:hint="eastAsia"/>
                      <w:color w:val="auto"/>
                      <w:kern w:val="0"/>
                      <w:sz w:val="22"/>
                      <w:szCs w:val="22"/>
                      <w:highlight w:val="none"/>
                      <w:lang w:bidi="ar"/>
                    </w:rPr>
                    <w:t>机械</w:t>
                  </w:r>
                  <w:r>
                    <w:rPr>
                      <w:rFonts w:hint="eastAsia"/>
                      <w:color w:val="auto"/>
                      <w:kern w:val="0"/>
                      <w:sz w:val="22"/>
                      <w:szCs w:val="22"/>
                      <w:highlight w:val="none"/>
                    </w:rPr>
                    <w:t>冲压机</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0CAA0871">
                  <w:pPr>
                    <w:widowControl/>
                    <w:adjustRightInd w:val="0"/>
                    <w:snapToGrid w:val="0"/>
                    <w:jc w:val="center"/>
                    <w:rPr>
                      <w:color w:val="auto"/>
                      <w:kern w:val="0"/>
                      <w:sz w:val="22"/>
                      <w:szCs w:val="22"/>
                      <w:highlight w:val="none"/>
                    </w:rPr>
                  </w:pPr>
                  <w:r>
                    <w:rPr>
                      <w:rFonts w:hint="eastAsia"/>
                      <w:color w:val="auto"/>
                      <w:kern w:val="0"/>
                      <w:sz w:val="22"/>
                      <w:szCs w:val="22"/>
                      <w:highlight w:val="none"/>
                    </w:rPr>
                    <w:t>450T</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533E77FB">
                  <w:pPr>
                    <w:widowControl/>
                    <w:adjustRightInd w:val="0"/>
                    <w:snapToGrid w:val="0"/>
                    <w:jc w:val="center"/>
                    <w:rPr>
                      <w:color w:val="auto"/>
                      <w:kern w:val="0"/>
                      <w:sz w:val="22"/>
                      <w:szCs w:val="22"/>
                      <w:highlight w:val="none"/>
                    </w:rPr>
                  </w:pPr>
                  <w:r>
                    <w:rPr>
                      <w:rFonts w:hint="eastAsia"/>
                      <w:color w:val="auto"/>
                      <w:kern w:val="0"/>
                      <w:sz w:val="22"/>
                      <w:szCs w:val="22"/>
                      <w:highlight w:val="none"/>
                    </w:rPr>
                    <w:t>台</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5651BF18">
                  <w:pPr>
                    <w:widowControl/>
                    <w:adjustRightInd w:val="0"/>
                    <w:snapToGrid w:val="0"/>
                    <w:jc w:val="center"/>
                    <w:rPr>
                      <w:color w:val="auto"/>
                      <w:kern w:val="0"/>
                      <w:sz w:val="22"/>
                      <w:szCs w:val="22"/>
                      <w:highlight w:val="none"/>
                    </w:rPr>
                  </w:pPr>
                  <w:r>
                    <w:rPr>
                      <w:rFonts w:hint="eastAsia"/>
                      <w:color w:val="auto"/>
                      <w:kern w:val="0"/>
                      <w:sz w:val="22"/>
                      <w:szCs w:val="22"/>
                      <w:highlight w:val="none"/>
                    </w:rPr>
                    <w:t>1</w:t>
                  </w:r>
                </w:p>
              </w:tc>
              <w:tc>
                <w:tcPr>
                  <w:tcW w:w="979" w:type="dxa"/>
                  <w:vMerge w:val="continue"/>
                  <w:tcBorders>
                    <w:left w:val="single" w:color="auto" w:sz="4" w:space="0"/>
                    <w:right w:val="single" w:color="auto" w:sz="4" w:space="0"/>
                    <w:tl2br w:val="nil"/>
                    <w:tr2bl w:val="nil"/>
                  </w:tcBorders>
                  <w:vAlign w:val="center"/>
                </w:tcPr>
                <w:p w14:paraId="5CE07D27">
                  <w:pPr>
                    <w:widowControl/>
                    <w:adjustRightInd w:val="0"/>
                    <w:snapToGrid w:val="0"/>
                    <w:jc w:val="center"/>
                    <w:rPr>
                      <w:color w:val="auto"/>
                      <w:kern w:val="0"/>
                      <w:sz w:val="22"/>
                      <w:szCs w:val="22"/>
                      <w:highlight w:val="none"/>
                    </w:rPr>
                  </w:pPr>
                </w:p>
              </w:tc>
            </w:tr>
            <w:tr w14:paraId="586BC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573AB8C7">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44FC93C2">
                  <w:pPr>
                    <w:widowControl/>
                    <w:adjustRightInd w:val="0"/>
                    <w:snapToGrid w:val="0"/>
                    <w:jc w:val="center"/>
                    <w:rPr>
                      <w:color w:val="auto"/>
                      <w:kern w:val="0"/>
                      <w:sz w:val="22"/>
                      <w:szCs w:val="22"/>
                      <w:highlight w:val="none"/>
                    </w:rPr>
                  </w:pPr>
                  <w:r>
                    <w:rPr>
                      <w:rFonts w:hint="eastAsia"/>
                      <w:color w:val="auto"/>
                      <w:kern w:val="0"/>
                      <w:sz w:val="22"/>
                      <w:szCs w:val="22"/>
                      <w:highlight w:val="none"/>
                      <w:lang w:bidi="ar"/>
                    </w:rPr>
                    <w:t>机械</w:t>
                  </w:r>
                  <w:r>
                    <w:rPr>
                      <w:rFonts w:hint="eastAsia"/>
                      <w:color w:val="auto"/>
                      <w:kern w:val="0"/>
                      <w:sz w:val="22"/>
                      <w:szCs w:val="22"/>
                      <w:highlight w:val="none"/>
                    </w:rPr>
                    <w:t>冲压机</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45F35516">
                  <w:pPr>
                    <w:widowControl/>
                    <w:adjustRightInd w:val="0"/>
                    <w:snapToGrid w:val="0"/>
                    <w:jc w:val="center"/>
                    <w:rPr>
                      <w:color w:val="auto"/>
                      <w:kern w:val="0"/>
                      <w:sz w:val="22"/>
                      <w:szCs w:val="22"/>
                      <w:highlight w:val="none"/>
                    </w:rPr>
                  </w:pPr>
                  <w:r>
                    <w:rPr>
                      <w:rFonts w:hint="eastAsia"/>
                      <w:color w:val="auto"/>
                      <w:kern w:val="0"/>
                      <w:sz w:val="22"/>
                      <w:szCs w:val="22"/>
                      <w:highlight w:val="none"/>
                    </w:rPr>
                    <w:t>800T</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18D7DE13">
                  <w:pPr>
                    <w:widowControl/>
                    <w:adjustRightInd w:val="0"/>
                    <w:snapToGrid w:val="0"/>
                    <w:jc w:val="center"/>
                    <w:rPr>
                      <w:color w:val="auto"/>
                      <w:kern w:val="0"/>
                      <w:sz w:val="22"/>
                      <w:szCs w:val="22"/>
                      <w:highlight w:val="none"/>
                    </w:rPr>
                  </w:pPr>
                  <w:r>
                    <w:rPr>
                      <w:rFonts w:hint="eastAsia"/>
                      <w:color w:val="auto"/>
                      <w:kern w:val="0"/>
                      <w:sz w:val="22"/>
                      <w:szCs w:val="22"/>
                      <w:highlight w:val="none"/>
                    </w:rPr>
                    <w:t>台</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60125C18">
                  <w:pPr>
                    <w:widowControl/>
                    <w:adjustRightInd w:val="0"/>
                    <w:snapToGrid w:val="0"/>
                    <w:jc w:val="center"/>
                    <w:rPr>
                      <w:color w:val="auto"/>
                      <w:kern w:val="0"/>
                      <w:sz w:val="22"/>
                      <w:szCs w:val="22"/>
                      <w:highlight w:val="none"/>
                    </w:rPr>
                  </w:pPr>
                  <w:r>
                    <w:rPr>
                      <w:rFonts w:hint="eastAsia"/>
                      <w:color w:val="auto"/>
                      <w:kern w:val="0"/>
                      <w:sz w:val="22"/>
                      <w:szCs w:val="22"/>
                      <w:highlight w:val="none"/>
                    </w:rPr>
                    <w:t>1</w:t>
                  </w:r>
                </w:p>
              </w:tc>
              <w:tc>
                <w:tcPr>
                  <w:tcW w:w="979" w:type="dxa"/>
                  <w:vMerge w:val="continue"/>
                  <w:tcBorders>
                    <w:left w:val="single" w:color="auto" w:sz="4" w:space="0"/>
                    <w:right w:val="single" w:color="auto" w:sz="4" w:space="0"/>
                    <w:tl2br w:val="nil"/>
                    <w:tr2bl w:val="nil"/>
                  </w:tcBorders>
                  <w:vAlign w:val="center"/>
                </w:tcPr>
                <w:p w14:paraId="5BF2B69C">
                  <w:pPr>
                    <w:widowControl/>
                    <w:adjustRightInd w:val="0"/>
                    <w:snapToGrid w:val="0"/>
                    <w:jc w:val="center"/>
                    <w:rPr>
                      <w:color w:val="auto"/>
                      <w:kern w:val="0"/>
                      <w:sz w:val="22"/>
                      <w:szCs w:val="22"/>
                      <w:highlight w:val="none"/>
                    </w:rPr>
                  </w:pPr>
                </w:p>
              </w:tc>
            </w:tr>
            <w:tr w14:paraId="373C7D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0200CDB7">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0004408E">
                  <w:pPr>
                    <w:widowControl/>
                    <w:adjustRightInd w:val="0"/>
                    <w:snapToGrid w:val="0"/>
                    <w:jc w:val="center"/>
                    <w:rPr>
                      <w:color w:val="auto"/>
                      <w:kern w:val="0"/>
                      <w:sz w:val="22"/>
                      <w:szCs w:val="22"/>
                      <w:highlight w:val="none"/>
                      <w:lang w:bidi="ar"/>
                    </w:rPr>
                  </w:pPr>
                  <w:r>
                    <w:rPr>
                      <w:rFonts w:hint="eastAsia"/>
                      <w:color w:val="auto"/>
                      <w:kern w:val="0"/>
                      <w:sz w:val="22"/>
                      <w:szCs w:val="22"/>
                      <w:highlight w:val="none"/>
                      <w:lang w:bidi="ar"/>
                    </w:rPr>
                    <w:t>冲压液压机</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68443DE8">
                  <w:pPr>
                    <w:widowControl/>
                    <w:adjustRightInd w:val="0"/>
                    <w:snapToGrid w:val="0"/>
                    <w:jc w:val="center"/>
                    <w:rPr>
                      <w:color w:val="auto"/>
                      <w:kern w:val="0"/>
                      <w:sz w:val="22"/>
                      <w:szCs w:val="22"/>
                      <w:highlight w:val="none"/>
                    </w:rPr>
                  </w:pPr>
                  <w:r>
                    <w:rPr>
                      <w:rFonts w:hint="eastAsia"/>
                      <w:color w:val="auto"/>
                      <w:kern w:val="0"/>
                      <w:sz w:val="22"/>
                      <w:szCs w:val="22"/>
                      <w:highlight w:val="none"/>
                    </w:rPr>
                    <w:t>630T</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680DC982">
                  <w:pPr>
                    <w:widowControl/>
                    <w:adjustRightInd w:val="0"/>
                    <w:snapToGrid w:val="0"/>
                    <w:jc w:val="center"/>
                    <w:rPr>
                      <w:color w:val="auto"/>
                      <w:kern w:val="0"/>
                      <w:sz w:val="22"/>
                      <w:szCs w:val="22"/>
                      <w:highlight w:val="none"/>
                    </w:rPr>
                  </w:pPr>
                  <w:r>
                    <w:rPr>
                      <w:rFonts w:hint="eastAsia"/>
                      <w:color w:val="auto"/>
                      <w:kern w:val="0"/>
                      <w:sz w:val="22"/>
                      <w:szCs w:val="22"/>
                      <w:highlight w:val="none"/>
                    </w:rPr>
                    <w:t>台</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6373EAE4">
                  <w:pPr>
                    <w:widowControl/>
                    <w:adjustRightInd w:val="0"/>
                    <w:snapToGrid w:val="0"/>
                    <w:jc w:val="center"/>
                    <w:rPr>
                      <w:color w:val="auto"/>
                      <w:kern w:val="0"/>
                      <w:sz w:val="22"/>
                      <w:szCs w:val="22"/>
                      <w:highlight w:val="none"/>
                    </w:rPr>
                  </w:pPr>
                  <w:r>
                    <w:rPr>
                      <w:rFonts w:hint="eastAsia"/>
                      <w:color w:val="auto"/>
                      <w:kern w:val="0"/>
                      <w:sz w:val="22"/>
                      <w:szCs w:val="22"/>
                      <w:highlight w:val="none"/>
                    </w:rPr>
                    <w:t>2</w:t>
                  </w:r>
                </w:p>
              </w:tc>
              <w:tc>
                <w:tcPr>
                  <w:tcW w:w="979" w:type="dxa"/>
                  <w:vMerge w:val="continue"/>
                  <w:tcBorders>
                    <w:left w:val="single" w:color="auto" w:sz="4" w:space="0"/>
                    <w:right w:val="single" w:color="auto" w:sz="4" w:space="0"/>
                    <w:tl2br w:val="nil"/>
                    <w:tr2bl w:val="nil"/>
                  </w:tcBorders>
                  <w:vAlign w:val="center"/>
                </w:tcPr>
                <w:p w14:paraId="02B9F260">
                  <w:pPr>
                    <w:widowControl/>
                    <w:adjustRightInd w:val="0"/>
                    <w:snapToGrid w:val="0"/>
                    <w:jc w:val="center"/>
                    <w:rPr>
                      <w:color w:val="auto"/>
                      <w:kern w:val="0"/>
                      <w:sz w:val="22"/>
                      <w:szCs w:val="22"/>
                      <w:highlight w:val="none"/>
                    </w:rPr>
                  </w:pPr>
                </w:p>
              </w:tc>
            </w:tr>
            <w:tr w14:paraId="6ADF4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300326B1">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40631CED">
                  <w:pPr>
                    <w:widowControl/>
                    <w:adjustRightInd w:val="0"/>
                    <w:snapToGrid w:val="0"/>
                    <w:jc w:val="center"/>
                    <w:rPr>
                      <w:color w:val="auto"/>
                      <w:kern w:val="0"/>
                      <w:sz w:val="22"/>
                      <w:szCs w:val="22"/>
                      <w:highlight w:val="none"/>
                      <w:lang w:bidi="ar"/>
                    </w:rPr>
                  </w:pPr>
                  <w:r>
                    <w:rPr>
                      <w:rFonts w:hint="eastAsia"/>
                      <w:color w:val="auto"/>
                      <w:kern w:val="0"/>
                      <w:sz w:val="22"/>
                      <w:szCs w:val="22"/>
                      <w:highlight w:val="none"/>
                      <w:lang w:bidi="ar"/>
                    </w:rPr>
                    <w:t>冲压液压机</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1A5B35E1">
                  <w:pPr>
                    <w:widowControl/>
                    <w:adjustRightInd w:val="0"/>
                    <w:snapToGrid w:val="0"/>
                    <w:jc w:val="center"/>
                    <w:rPr>
                      <w:color w:val="auto"/>
                      <w:kern w:val="0"/>
                      <w:sz w:val="22"/>
                      <w:szCs w:val="22"/>
                      <w:highlight w:val="none"/>
                    </w:rPr>
                  </w:pPr>
                  <w:r>
                    <w:rPr>
                      <w:rFonts w:hint="eastAsia"/>
                      <w:color w:val="auto"/>
                      <w:kern w:val="0"/>
                      <w:sz w:val="22"/>
                      <w:szCs w:val="22"/>
                      <w:highlight w:val="none"/>
                    </w:rPr>
                    <w:t>800T</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60B4C2FB">
                  <w:pPr>
                    <w:widowControl/>
                    <w:adjustRightInd w:val="0"/>
                    <w:snapToGrid w:val="0"/>
                    <w:jc w:val="center"/>
                    <w:rPr>
                      <w:color w:val="auto"/>
                      <w:kern w:val="0"/>
                      <w:sz w:val="22"/>
                      <w:szCs w:val="22"/>
                      <w:highlight w:val="none"/>
                    </w:rPr>
                  </w:pPr>
                  <w:r>
                    <w:rPr>
                      <w:rFonts w:hint="eastAsia"/>
                      <w:color w:val="auto"/>
                      <w:kern w:val="0"/>
                      <w:sz w:val="22"/>
                      <w:szCs w:val="22"/>
                      <w:highlight w:val="none"/>
                    </w:rPr>
                    <w:t>台</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12D7B109">
                  <w:pPr>
                    <w:widowControl/>
                    <w:adjustRightInd w:val="0"/>
                    <w:snapToGrid w:val="0"/>
                    <w:jc w:val="center"/>
                    <w:rPr>
                      <w:color w:val="auto"/>
                      <w:kern w:val="0"/>
                      <w:sz w:val="22"/>
                      <w:szCs w:val="22"/>
                      <w:highlight w:val="none"/>
                    </w:rPr>
                  </w:pPr>
                  <w:r>
                    <w:rPr>
                      <w:rFonts w:hint="eastAsia"/>
                      <w:color w:val="auto"/>
                      <w:kern w:val="0"/>
                      <w:sz w:val="22"/>
                      <w:szCs w:val="22"/>
                      <w:highlight w:val="none"/>
                    </w:rPr>
                    <w:t>1</w:t>
                  </w:r>
                </w:p>
              </w:tc>
              <w:tc>
                <w:tcPr>
                  <w:tcW w:w="979" w:type="dxa"/>
                  <w:vMerge w:val="continue"/>
                  <w:tcBorders>
                    <w:left w:val="single" w:color="auto" w:sz="4" w:space="0"/>
                    <w:right w:val="single" w:color="auto" w:sz="4" w:space="0"/>
                    <w:tl2br w:val="nil"/>
                    <w:tr2bl w:val="nil"/>
                  </w:tcBorders>
                  <w:vAlign w:val="center"/>
                </w:tcPr>
                <w:p w14:paraId="4FE2E92C">
                  <w:pPr>
                    <w:widowControl/>
                    <w:adjustRightInd w:val="0"/>
                    <w:snapToGrid w:val="0"/>
                    <w:jc w:val="center"/>
                    <w:rPr>
                      <w:color w:val="auto"/>
                      <w:kern w:val="0"/>
                      <w:sz w:val="22"/>
                      <w:szCs w:val="22"/>
                      <w:highlight w:val="none"/>
                    </w:rPr>
                  </w:pPr>
                </w:p>
              </w:tc>
            </w:tr>
            <w:tr w14:paraId="76FF06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2E490A17">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14E9200A">
                  <w:pPr>
                    <w:widowControl/>
                    <w:adjustRightInd w:val="0"/>
                    <w:snapToGrid w:val="0"/>
                    <w:jc w:val="center"/>
                    <w:rPr>
                      <w:color w:val="auto"/>
                      <w:kern w:val="0"/>
                      <w:sz w:val="22"/>
                      <w:szCs w:val="22"/>
                      <w:highlight w:val="none"/>
                      <w:lang w:bidi="ar"/>
                    </w:rPr>
                  </w:pPr>
                  <w:r>
                    <w:rPr>
                      <w:rFonts w:hint="eastAsia"/>
                      <w:color w:val="auto"/>
                      <w:kern w:val="0"/>
                      <w:sz w:val="22"/>
                      <w:szCs w:val="22"/>
                      <w:highlight w:val="none"/>
                      <w:lang w:bidi="ar"/>
                    </w:rPr>
                    <w:t>冲压液压机</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40DCB703">
                  <w:pPr>
                    <w:widowControl/>
                    <w:adjustRightInd w:val="0"/>
                    <w:snapToGrid w:val="0"/>
                    <w:jc w:val="center"/>
                    <w:rPr>
                      <w:color w:val="auto"/>
                      <w:kern w:val="0"/>
                      <w:sz w:val="22"/>
                      <w:szCs w:val="22"/>
                      <w:highlight w:val="none"/>
                    </w:rPr>
                  </w:pPr>
                  <w:r>
                    <w:rPr>
                      <w:rFonts w:hint="eastAsia"/>
                      <w:color w:val="auto"/>
                      <w:kern w:val="0"/>
                      <w:sz w:val="22"/>
                      <w:szCs w:val="22"/>
                      <w:highlight w:val="none"/>
                    </w:rPr>
                    <w:t>1250T</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4E252674">
                  <w:pPr>
                    <w:widowControl/>
                    <w:adjustRightInd w:val="0"/>
                    <w:snapToGrid w:val="0"/>
                    <w:jc w:val="center"/>
                    <w:rPr>
                      <w:color w:val="auto"/>
                      <w:kern w:val="0"/>
                      <w:sz w:val="22"/>
                      <w:szCs w:val="22"/>
                      <w:highlight w:val="none"/>
                    </w:rPr>
                  </w:pPr>
                  <w:r>
                    <w:rPr>
                      <w:rFonts w:hint="eastAsia"/>
                      <w:color w:val="auto"/>
                      <w:kern w:val="0"/>
                      <w:sz w:val="22"/>
                      <w:szCs w:val="22"/>
                      <w:highlight w:val="none"/>
                    </w:rPr>
                    <w:t>台</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587948B7">
                  <w:pPr>
                    <w:widowControl/>
                    <w:adjustRightInd w:val="0"/>
                    <w:snapToGrid w:val="0"/>
                    <w:jc w:val="center"/>
                    <w:rPr>
                      <w:color w:val="auto"/>
                      <w:kern w:val="0"/>
                      <w:sz w:val="22"/>
                      <w:szCs w:val="22"/>
                      <w:highlight w:val="none"/>
                    </w:rPr>
                  </w:pPr>
                  <w:r>
                    <w:rPr>
                      <w:rFonts w:hint="eastAsia"/>
                      <w:color w:val="auto"/>
                      <w:kern w:val="0"/>
                      <w:sz w:val="22"/>
                      <w:szCs w:val="22"/>
                      <w:highlight w:val="none"/>
                    </w:rPr>
                    <w:t>1</w:t>
                  </w:r>
                </w:p>
              </w:tc>
              <w:tc>
                <w:tcPr>
                  <w:tcW w:w="979" w:type="dxa"/>
                  <w:vMerge w:val="continue"/>
                  <w:tcBorders>
                    <w:left w:val="single" w:color="auto" w:sz="4" w:space="0"/>
                    <w:bottom w:val="single" w:color="auto" w:sz="4" w:space="0"/>
                    <w:right w:val="single" w:color="auto" w:sz="4" w:space="0"/>
                    <w:tl2br w:val="nil"/>
                    <w:tr2bl w:val="nil"/>
                  </w:tcBorders>
                  <w:vAlign w:val="center"/>
                </w:tcPr>
                <w:p w14:paraId="5FCC5DDC">
                  <w:pPr>
                    <w:widowControl/>
                    <w:adjustRightInd w:val="0"/>
                    <w:snapToGrid w:val="0"/>
                    <w:jc w:val="center"/>
                    <w:rPr>
                      <w:color w:val="auto"/>
                      <w:kern w:val="0"/>
                      <w:sz w:val="22"/>
                      <w:szCs w:val="22"/>
                      <w:highlight w:val="none"/>
                    </w:rPr>
                  </w:pPr>
                </w:p>
              </w:tc>
            </w:tr>
            <w:tr w14:paraId="476DF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0168E7D9">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45ACB46B">
                  <w:pPr>
                    <w:widowControl/>
                    <w:adjustRightInd w:val="0"/>
                    <w:snapToGrid w:val="0"/>
                    <w:jc w:val="center"/>
                    <w:rPr>
                      <w:color w:val="auto"/>
                      <w:kern w:val="0"/>
                      <w:sz w:val="22"/>
                      <w:szCs w:val="22"/>
                      <w:highlight w:val="none"/>
                    </w:rPr>
                  </w:pPr>
                  <w:r>
                    <w:rPr>
                      <w:rFonts w:hint="eastAsia"/>
                      <w:color w:val="auto"/>
                      <w:kern w:val="0"/>
                      <w:sz w:val="22"/>
                      <w:szCs w:val="22"/>
                      <w:highlight w:val="none"/>
                    </w:rPr>
                    <w:t>油压机</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70B8E13B">
                  <w:pPr>
                    <w:widowControl/>
                    <w:adjustRightInd w:val="0"/>
                    <w:snapToGrid w:val="0"/>
                    <w:jc w:val="center"/>
                    <w:rPr>
                      <w:color w:val="auto"/>
                      <w:kern w:val="0"/>
                      <w:sz w:val="22"/>
                      <w:szCs w:val="22"/>
                      <w:highlight w:val="none"/>
                    </w:rPr>
                  </w:pPr>
                  <w:r>
                    <w:rPr>
                      <w:rFonts w:hint="eastAsia"/>
                      <w:color w:val="auto"/>
                      <w:kern w:val="0"/>
                      <w:sz w:val="22"/>
                      <w:szCs w:val="22"/>
                      <w:highlight w:val="none"/>
                    </w:rPr>
                    <w:t>1250T</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726AFCBA">
                  <w:pPr>
                    <w:widowControl/>
                    <w:adjustRightInd w:val="0"/>
                    <w:snapToGrid w:val="0"/>
                    <w:jc w:val="center"/>
                    <w:rPr>
                      <w:color w:val="auto"/>
                      <w:kern w:val="0"/>
                      <w:sz w:val="22"/>
                      <w:szCs w:val="22"/>
                      <w:highlight w:val="none"/>
                    </w:rPr>
                  </w:pPr>
                  <w:r>
                    <w:rPr>
                      <w:rFonts w:hint="eastAsia"/>
                      <w:color w:val="auto"/>
                      <w:kern w:val="0"/>
                      <w:sz w:val="22"/>
                      <w:szCs w:val="22"/>
                      <w:highlight w:val="none"/>
                    </w:rPr>
                    <w:t>台</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77F17D95">
                  <w:pPr>
                    <w:widowControl/>
                    <w:adjustRightInd w:val="0"/>
                    <w:snapToGrid w:val="0"/>
                    <w:jc w:val="center"/>
                    <w:rPr>
                      <w:color w:val="auto"/>
                      <w:kern w:val="0"/>
                      <w:sz w:val="22"/>
                      <w:szCs w:val="22"/>
                      <w:highlight w:val="none"/>
                    </w:rPr>
                  </w:pPr>
                  <w:r>
                    <w:rPr>
                      <w:rFonts w:hint="eastAsia"/>
                      <w:color w:val="auto"/>
                      <w:kern w:val="0"/>
                      <w:sz w:val="22"/>
                      <w:szCs w:val="22"/>
                      <w:highlight w:val="none"/>
                    </w:rPr>
                    <w:t>1</w:t>
                  </w:r>
                </w:p>
              </w:tc>
              <w:tc>
                <w:tcPr>
                  <w:tcW w:w="979" w:type="dxa"/>
                  <w:vMerge w:val="restart"/>
                  <w:tcBorders>
                    <w:top w:val="single" w:color="auto" w:sz="4" w:space="0"/>
                    <w:left w:val="single" w:color="auto" w:sz="4" w:space="0"/>
                    <w:right w:val="single" w:color="auto" w:sz="4" w:space="0"/>
                    <w:tl2br w:val="nil"/>
                    <w:tr2bl w:val="nil"/>
                  </w:tcBorders>
                  <w:vAlign w:val="center"/>
                </w:tcPr>
                <w:p w14:paraId="22BD7C81">
                  <w:pPr>
                    <w:widowControl/>
                    <w:adjustRightInd w:val="0"/>
                    <w:snapToGrid w:val="0"/>
                    <w:jc w:val="center"/>
                    <w:rPr>
                      <w:color w:val="auto"/>
                      <w:kern w:val="0"/>
                      <w:sz w:val="22"/>
                      <w:szCs w:val="22"/>
                      <w:highlight w:val="none"/>
                    </w:rPr>
                  </w:pPr>
                  <w:r>
                    <w:rPr>
                      <w:rFonts w:hint="eastAsia"/>
                      <w:color w:val="auto"/>
                      <w:kern w:val="0"/>
                      <w:sz w:val="22"/>
                      <w:szCs w:val="22"/>
                      <w:highlight w:val="none"/>
                    </w:rPr>
                    <w:t>本次改造</w:t>
                  </w:r>
                </w:p>
              </w:tc>
            </w:tr>
            <w:tr w14:paraId="485D19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2DDDE77B">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540D98F6">
                  <w:pPr>
                    <w:widowControl/>
                    <w:adjustRightInd w:val="0"/>
                    <w:snapToGrid w:val="0"/>
                    <w:jc w:val="center"/>
                    <w:rPr>
                      <w:color w:val="auto"/>
                      <w:kern w:val="0"/>
                      <w:sz w:val="22"/>
                      <w:szCs w:val="22"/>
                      <w:highlight w:val="none"/>
                    </w:rPr>
                  </w:pPr>
                  <w:r>
                    <w:rPr>
                      <w:rFonts w:hint="eastAsia"/>
                      <w:color w:val="auto"/>
                      <w:kern w:val="0"/>
                      <w:sz w:val="22"/>
                      <w:szCs w:val="22"/>
                      <w:highlight w:val="none"/>
                    </w:rPr>
                    <w:t>油压机</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667267E7">
                  <w:pPr>
                    <w:widowControl/>
                    <w:adjustRightInd w:val="0"/>
                    <w:snapToGrid w:val="0"/>
                    <w:jc w:val="center"/>
                    <w:rPr>
                      <w:color w:val="auto"/>
                      <w:kern w:val="0"/>
                      <w:sz w:val="22"/>
                      <w:szCs w:val="22"/>
                      <w:highlight w:val="none"/>
                    </w:rPr>
                  </w:pPr>
                  <w:r>
                    <w:rPr>
                      <w:rFonts w:hint="eastAsia"/>
                      <w:color w:val="auto"/>
                      <w:kern w:val="0"/>
                      <w:sz w:val="22"/>
                      <w:szCs w:val="22"/>
                      <w:highlight w:val="none"/>
                    </w:rPr>
                    <w:t>800T</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03C41AEC">
                  <w:pPr>
                    <w:widowControl/>
                    <w:adjustRightInd w:val="0"/>
                    <w:snapToGrid w:val="0"/>
                    <w:jc w:val="center"/>
                    <w:rPr>
                      <w:color w:val="auto"/>
                      <w:kern w:val="0"/>
                      <w:sz w:val="22"/>
                      <w:szCs w:val="22"/>
                      <w:highlight w:val="none"/>
                    </w:rPr>
                  </w:pPr>
                  <w:r>
                    <w:rPr>
                      <w:rFonts w:hint="eastAsia"/>
                      <w:color w:val="auto"/>
                      <w:kern w:val="0"/>
                      <w:sz w:val="22"/>
                      <w:szCs w:val="22"/>
                      <w:highlight w:val="none"/>
                    </w:rPr>
                    <w:t>台</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3BB895A5">
                  <w:pPr>
                    <w:widowControl/>
                    <w:adjustRightInd w:val="0"/>
                    <w:snapToGrid w:val="0"/>
                    <w:jc w:val="center"/>
                    <w:rPr>
                      <w:color w:val="auto"/>
                      <w:kern w:val="0"/>
                      <w:sz w:val="22"/>
                      <w:szCs w:val="22"/>
                      <w:highlight w:val="none"/>
                    </w:rPr>
                  </w:pPr>
                  <w:r>
                    <w:rPr>
                      <w:rFonts w:hint="eastAsia"/>
                      <w:color w:val="auto"/>
                      <w:kern w:val="0"/>
                      <w:sz w:val="22"/>
                      <w:szCs w:val="22"/>
                      <w:highlight w:val="none"/>
                    </w:rPr>
                    <w:t>1</w:t>
                  </w:r>
                </w:p>
              </w:tc>
              <w:tc>
                <w:tcPr>
                  <w:tcW w:w="979" w:type="dxa"/>
                  <w:vMerge w:val="continue"/>
                  <w:tcBorders>
                    <w:left w:val="single" w:color="auto" w:sz="4" w:space="0"/>
                    <w:right w:val="single" w:color="auto" w:sz="4" w:space="0"/>
                    <w:tl2br w:val="nil"/>
                    <w:tr2bl w:val="nil"/>
                  </w:tcBorders>
                  <w:vAlign w:val="center"/>
                </w:tcPr>
                <w:p w14:paraId="18A6CF9F">
                  <w:pPr>
                    <w:widowControl/>
                    <w:adjustRightInd w:val="0"/>
                    <w:snapToGrid w:val="0"/>
                    <w:jc w:val="center"/>
                    <w:rPr>
                      <w:color w:val="auto"/>
                      <w:kern w:val="0"/>
                      <w:sz w:val="22"/>
                      <w:szCs w:val="22"/>
                      <w:highlight w:val="none"/>
                    </w:rPr>
                  </w:pPr>
                </w:p>
              </w:tc>
            </w:tr>
            <w:tr w14:paraId="7D023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0A4A0714">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5FBD5632">
                  <w:pPr>
                    <w:widowControl/>
                    <w:adjustRightInd w:val="0"/>
                    <w:snapToGrid w:val="0"/>
                    <w:jc w:val="center"/>
                    <w:rPr>
                      <w:color w:val="auto"/>
                      <w:kern w:val="0"/>
                      <w:sz w:val="22"/>
                      <w:szCs w:val="22"/>
                      <w:highlight w:val="none"/>
                    </w:rPr>
                  </w:pPr>
                  <w:r>
                    <w:rPr>
                      <w:rFonts w:hint="eastAsia"/>
                      <w:color w:val="auto"/>
                      <w:kern w:val="0"/>
                      <w:sz w:val="22"/>
                      <w:szCs w:val="22"/>
                      <w:highlight w:val="none"/>
                    </w:rPr>
                    <w:t>油压机</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5C253B3B">
                  <w:pPr>
                    <w:widowControl/>
                    <w:adjustRightInd w:val="0"/>
                    <w:snapToGrid w:val="0"/>
                    <w:jc w:val="center"/>
                    <w:rPr>
                      <w:color w:val="auto"/>
                      <w:kern w:val="0"/>
                      <w:sz w:val="22"/>
                      <w:szCs w:val="22"/>
                      <w:highlight w:val="none"/>
                    </w:rPr>
                  </w:pPr>
                  <w:r>
                    <w:rPr>
                      <w:rFonts w:hint="eastAsia"/>
                      <w:color w:val="auto"/>
                      <w:kern w:val="0"/>
                      <w:sz w:val="22"/>
                      <w:szCs w:val="22"/>
                      <w:highlight w:val="none"/>
                    </w:rPr>
                    <w:t>630T</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1A7A04C7">
                  <w:pPr>
                    <w:widowControl/>
                    <w:adjustRightInd w:val="0"/>
                    <w:snapToGrid w:val="0"/>
                    <w:jc w:val="center"/>
                    <w:rPr>
                      <w:color w:val="auto"/>
                      <w:kern w:val="0"/>
                      <w:sz w:val="22"/>
                      <w:szCs w:val="22"/>
                      <w:highlight w:val="none"/>
                    </w:rPr>
                  </w:pPr>
                  <w:r>
                    <w:rPr>
                      <w:rFonts w:hint="eastAsia"/>
                      <w:color w:val="auto"/>
                      <w:kern w:val="0"/>
                      <w:sz w:val="22"/>
                      <w:szCs w:val="22"/>
                      <w:highlight w:val="none"/>
                    </w:rPr>
                    <w:t>台</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223D20C8">
                  <w:pPr>
                    <w:widowControl/>
                    <w:adjustRightInd w:val="0"/>
                    <w:snapToGrid w:val="0"/>
                    <w:jc w:val="center"/>
                    <w:rPr>
                      <w:color w:val="auto"/>
                      <w:kern w:val="0"/>
                      <w:sz w:val="22"/>
                      <w:szCs w:val="22"/>
                      <w:highlight w:val="none"/>
                    </w:rPr>
                  </w:pPr>
                  <w:r>
                    <w:rPr>
                      <w:rFonts w:hint="eastAsia"/>
                      <w:color w:val="auto"/>
                      <w:kern w:val="0"/>
                      <w:sz w:val="22"/>
                      <w:szCs w:val="22"/>
                      <w:highlight w:val="none"/>
                    </w:rPr>
                    <w:t>2</w:t>
                  </w:r>
                </w:p>
              </w:tc>
              <w:tc>
                <w:tcPr>
                  <w:tcW w:w="979" w:type="dxa"/>
                  <w:vMerge w:val="continue"/>
                  <w:tcBorders>
                    <w:left w:val="single" w:color="auto" w:sz="4" w:space="0"/>
                    <w:right w:val="single" w:color="auto" w:sz="4" w:space="0"/>
                    <w:tl2br w:val="nil"/>
                    <w:tr2bl w:val="nil"/>
                  </w:tcBorders>
                  <w:vAlign w:val="center"/>
                </w:tcPr>
                <w:p w14:paraId="49C129EC">
                  <w:pPr>
                    <w:widowControl/>
                    <w:adjustRightInd w:val="0"/>
                    <w:snapToGrid w:val="0"/>
                    <w:jc w:val="center"/>
                    <w:rPr>
                      <w:color w:val="auto"/>
                      <w:kern w:val="0"/>
                      <w:sz w:val="22"/>
                      <w:szCs w:val="22"/>
                      <w:highlight w:val="none"/>
                    </w:rPr>
                  </w:pPr>
                </w:p>
              </w:tc>
            </w:tr>
            <w:tr w14:paraId="36C4F0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408A095A">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53B48F4D">
                  <w:pPr>
                    <w:widowControl/>
                    <w:adjustRightInd w:val="0"/>
                    <w:snapToGrid w:val="0"/>
                    <w:jc w:val="center"/>
                    <w:rPr>
                      <w:color w:val="auto"/>
                      <w:kern w:val="0"/>
                      <w:sz w:val="22"/>
                      <w:szCs w:val="22"/>
                      <w:highlight w:val="none"/>
                    </w:rPr>
                  </w:pPr>
                  <w:r>
                    <w:rPr>
                      <w:rFonts w:hint="eastAsia"/>
                      <w:color w:val="auto"/>
                      <w:kern w:val="0"/>
                      <w:sz w:val="22"/>
                      <w:szCs w:val="22"/>
                      <w:highlight w:val="none"/>
                    </w:rPr>
                    <w:t>油压机</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39C1688C">
                  <w:pPr>
                    <w:widowControl/>
                    <w:adjustRightInd w:val="0"/>
                    <w:snapToGrid w:val="0"/>
                    <w:jc w:val="center"/>
                    <w:rPr>
                      <w:color w:val="auto"/>
                      <w:kern w:val="0"/>
                      <w:sz w:val="22"/>
                      <w:szCs w:val="22"/>
                      <w:highlight w:val="none"/>
                    </w:rPr>
                  </w:pPr>
                  <w:r>
                    <w:rPr>
                      <w:rFonts w:hint="eastAsia"/>
                      <w:color w:val="auto"/>
                      <w:kern w:val="0"/>
                      <w:sz w:val="22"/>
                      <w:szCs w:val="22"/>
                      <w:highlight w:val="none"/>
                    </w:rPr>
                    <w:t>1000T</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05DDED09">
                  <w:pPr>
                    <w:widowControl/>
                    <w:adjustRightInd w:val="0"/>
                    <w:snapToGrid w:val="0"/>
                    <w:jc w:val="center"/>
                    <w:rPr>
                      <w:color w:val="auto"/>
                      <w:kern w:val="0"/>
                      <w:sz w:val="22"/>
                      <w:szCs w:val="22"/>
                      <w:highlight w:val="none"/>
                    </w:rPr>
                  </w:pPr>
                  <w:r>
                    <w:rPr>
                      <w:rFonts w:hint="eastAsia"/>
                      <w:color w:val="auto"/>
                      <w:kern w:val="0"/>
                      <w:sz w:val="22"/>
                      <w:szCs w:val="22"/>
                      <w:highlight w:val="none"/>
                    </w:rPr>
                    <w:t>台</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27D94E97">
                  <w:pPr>
                    <w:widowControl/>
                    <w:adjustRightInd w:val="0"/>
                    <w:snapToGrid w:val="0"/>
                    <w:jc w:val="center"/>
                    <w:rPr>
                      <w:color w:val="auto"/>
                      <w:kern w:val="0"/>
                      <w:sz w:val="22"/>
                      <w:szCs w:val="22"/>
                      <w:highlight w:val="none"/>
                    </w:rPr>
                  </w:pPr>
                  <w:r>
                    <w:rPr>
                      <w:rFonts w:hint="eastAsia"/>
                      <w:color w:val="auto"/>
                      <w:kern w:val="0"/>
                      <w:sz w:val="22"/>
                      <w:szCs w:val="22"/>
                      <w:highlight w:val="none"/>
                    </w:rPr>
                    <w:t>1</w:t>
                  </w:r>
                </w:p>
              </w:tc>
              <w:tc>
                <w:tcPr>
                  <w:tcW w:w="979" w:type="dxa"/>
                  <w:vMerge w:val="continue"/>
                  <w:tcBorders>
                    <w:left w:val="single" w:color="auto" w:sz="4" w:space="0"/>
                    <w:bottom w:val="single" w:color="auto" w:sz="4" w:space="0"/>
                    <w:right w:val="single" w:color="auto" w:sz="4" w:space="0"/>
                    <w:tl2br w:val="nil"/>
                    <w:tr2bl w:val="nil"/>
                  </w:tcBorders>
                  <w:vAlign w:val="center"/>
                </w:tcPr>
                <w:p w14:paraId="3A2AE4E5">
                  <w:pPr>
                    <w:widowControl/>
                    <w:adjustRightInd w:val="0"/>
                    <w:snapToGrid w:val="0"/>
                    <w:jc w:val="center"/>
                    <w:rPr>
                      <w:color w:val="auto"/>
                      <w:kern w:val="0"/>
                      <w:sz w:val="22"/>
                      <w:szCs w:val="22"/>
                      <w:highlight w:val="none"/>
                    </w:rPr>
                  </w:pPr>
                </w:p>
              </w:tc>
            </w:tr>
            <w:tr w14:paraId="35C0C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06D19C1B">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31D91162">
                  <w:pPr>
                    <w:widowControl/>
                    <w:adjustRightInd w:val="0"/>
                    <w:snapToGrid w:val="0"/>
                    <w:jc w:val="center"/>
                    <w:rPr>
                      <w:color w:val="auto"/>
                      <w:kern w:val="0"/>
                      <w:sz w:val="22"/>
                      <w:szCs w:val="22"/>
                      <w:highlight w:val="none"/>
                    </w:rPr>
                  </w:pPr>
                  <w:r>
                    <w:rPr>
                      <w:rFonts w:hint="eastAsia"/>
                      <w:color w:val="auto"/>
                      <w:kern w:val="0"/>
                      <w:sz w:val="22"/>
                      <w:szCs w:val="22"/>
                      <w:highlight w:val="none"/>
                    </w:rPr>
                    <w:t>人工悬点焊</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59A49DE8">
                  <w:pPr>
                    <w:widowControl/>
                    <w:adjustRightInd w:val="0"/>
                    <w:snapToGrid w:val="0"/>
                    <w:jc w:val="center"/>
                    <w:rPr>
                      <w:color w:val="auto"/>
                      <w:kern w:val="0"/>
                      <w:sz w:val="22"/>
                      <w:szCs w:val="22"/>
                      <w:highlight w:val="none"/>
                    </w:rPr>
                  </w:pPr>
                  <w:r>
                    <w:rPr>
                      <w:rFonts w:hint="eastAsia"/>
                      <w:color w:val="auto"/>
                      <w:kern w:val="0"/>
                      <w:sz w:val="22"/>
                      <w:szCs w:val="22"/>
                      <w:highlight w:val="none"/>
                    </w:rPr>
                    <w:t>/</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547AFB31">
                  <w:pPr>
                    <w:widowControl/>
                    <w:adjustRightInd w:val="0"/>
                    <w:snapToGrid w:val="0"/>
                    <w:jc w:val="center"/>
                    <w:rPr>
                      <w:color w:val="auto"/>
                      <w:kern w:val="0"/>
                      <w:sz w:val="22"/>
                      <w:szCs w:val="22"/>
                      <w:highlight w:val="none"/>
                    </w:rPr>
                  </w:pPr>
                  <w:r>
                    <w:rPr>
                      <w:rFonts w:hint="eastAsia"/>
                      <w:color w:val="auto"/>
                      <w:kern w:val="0"/>
                      <w:sz w:val="22"/>
                      <w:szCs w:val="22"/>
                      <w:highlight w:val="none"/>
                    </w:rPr>
                    <w:t>条</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447A2019">
                  <w:pPr>
                    <w:widowControl/>
                    <w:adjustRightInd w:val="0"/>
                    <w:snapToGrid w:val="0"/>
                    <w:jc w:val="center"/>
                    <w:rPr>
                      <w:color w:val="auto"/>
                      <w:kern w:val="0"/>
                      <w:sz w:val="22"/>
                      <w:szCs w:val="22"/>
                      <w:highlight w:val="none"/>
                    </w:rPr>
                  </w:pPr>
                  <w:r>
                    <w:rPr>
                      <w:rFonts w:hint="eastAsia"/>
                      <w:color w:val="auto"/>
                      <w:kern w:val="0"/>
                      <w:sz w:val="22"/>
                      <w:szCs w:val="22"/>
                      <w:highlight w:val="none"/>
                    </w:rPr>
                    <w:t>1</w:t>
                  </w:r>
                </w:p>
              </w:tc>
              <w:tc>
                <w:tcPr>
                  <w:tcW w:w="979" w:type="dxa"/>
                  <w:vMerge w:val="restart"/>
                  <w:tcBorders>
                    <w:left w:val="single" w:color="auto" w:sz="4" w:space="0"/>
                    <w:right w:val="single" w:color="auto" w:sz="4" w:space="0"/>
                    <w:tl2br w:val="nil"/>
                    <w:tr2bl w:val="nil"/>
                  </w:tcBorders>
                  <w:vAlign w:val="center"/>
                </w:tcPr>
                <w:p w14:paraId="1633D1AC">
                  <w:pPr>
                    <w:widowControl/>
                    <w:adjustRightInd w:val="0"/>
                    <w:snapToGrid w:val="0"/>
                    <w:jc w:val="center"/>
                    <w:rPr>
                      <w:color w:val="auto"/>
                      <w:kern w:val="0"/>
                      <w:sz w:val="22"/>
                      <w:szCs w:val="22"/>
                      <w:highlight w:val="none"/>
                    </w:rPr>
                  </w:pPr>
                  <w:r>
                    <w:rPr>
                      <w:rFonts w:hint="eastAsia"/>
                      <w:color w:val="auto"/>
                      <w:kern w:val="0"/>
                      <w:sz w:val="22"/>
                      <w:szCs w:val="22"/>
                      <w:highlight w:val="none"/>
                    </w:rPr>
                    <w:t>本次淘汰</w:t>
                  </w:r>
                </w:p>
              </w:tc>
            </w:tr>
            <w:tr w14:paraId="7B003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27077FF3">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06034CA7">
                  <w:pPr>
                    <w:widowControl/>
                    <w:adjustRightInd w:val="0"/>
                    <w:snapToGrid w:val="0"/>
                    <w:jc w:val="center"/>
                    <w:rPr>
                      <w:color w:val="auto"/>
                      <w:kern w:val="0"/>
                      <w:sz w:val="22"/>
                      <w:szCs w:val="22"/>
                      <w:highlight w:val="none"/>
                    </w:rPr>
                  </w:pPr>
                  <w:r>
                    <w:rPr>
                      <w:rFonts w:hint="eastAsia"/>
                      <w:color w:val="auto"/>
                      <w:kern w:val="0"/>
                      <w:sz w:val="22"/>
                      <w:szCs w:val="22"/>
                      <w:highlight w:val="none"/>
                    </w:rPr>
                    <w:t>人工电弧焊机</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7AB25F1C">
                  <w:pPr>
                    <w:widowControl/>
                    <w:adjustRightInd w:val="0"/>
                    <w:snapToGrid w:val="0"/>
                    <w:jc w:val="center"/>
                    <w:rPr>
                      <w:color w:val="auto"/>
                      <w:kern w:val="0"/>
                      <w:sz w:val="22"/>
                      <w:szCs w:val="22"/>
                      <w:highlight w:val="none"/>
                    </w:rPr>
                  </w:pPr>
                  <w:r>
                    <w:rPr>
                      <w:rFonts w:hint="eastAsia"/>
                      <w:color w:val="auto"/>
                      <w:kern w:val="0"/>
                      <w:sz w:val="22"/>
                      <w:szCs w:val="22"/>
                      <w:highlight w:val="none"/>
                    </w:rPr>
                    <w:t>/</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51FF7027">
                  <w:pPr>
                    <w:widowControl/>
                    <w:adjustRightInd w:val="0"/>
                    <w:snapToGrid w:val="0"/>
                    <w:jc w:val="center"/>
                    <w:rPr>
                      <w:color w:val="auto"/>
                      <w:kern w:val="0"/>
                      <w:sz w:val="22"/>
                      <w:szCs w:val="22"/>
                      <w:highlight w:val="none"/>
                    </w:rPr>
                  </w:pPr>
                  <w:r>
                    <w:rPr>
                      <w:rFonts w:hint="eastAsia"/>
                      <w:color w:val="auto"/>
                      <w:kern w:val="0"/>
                      <w:sz w:val="22"/>
                      <w:szCs w:val="22"/>
                      <w:highlight w:val="none"/>
                    </w:rPr>
                    <w:t>台</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0B872F8A">
                  <w:pPr>
                    <w:widowControl/>
                    <w:adjustRightInd w:val="0"/>
                    <w:snapToGrid w:val="0"/>
                    <w:jc w:val="center"/>
                    <w:rPr>
                      <w:color w:val="auto"/>
                      <w:kern w:val="0"/>
                      <w:sz w:val="22"/>
                      <w:szCs w:val="22"/>
                      <w:highlight w:val="none"/>
                    </w:rPr>
                  </w:pPr>
                  <w:r>
                    <w:rPr>
                      <w:rFonts w:hint="eastAsia"/>
                      <w:color w:val="auto"/>
                      <w:kern w:val="0"/>
                      <w:sz w:val="22"/>
                      <w:szCs w:val="22"/>
                      <w:highlight w:val="none"/>
                    </w:rPr>
                    <w:t>2</w:t>
                  </w:r>
                </w:p>
              </w:tc>
              <w:tc>
                <w:tcPr>
                  <w:tcW w:w="979" w:type="dxa"/>
                  <w:vMerge w:val="continue"/>
                  <w:tcBorders>
                    <w:left w:val="single" w:color="auto" w:sz="4" w:space="0"/>
                    <w:bottom w:val="single" w:color="auto" w:sz="4" w:space="0"/>
                    <w:right w:val="single" w:color="auto" w:sz="4" w:space="0"/>
                    <w:tl2br w:val="nil"/>
                    <w:tr2bl w:val="nil"/>
                  </w:tcBorders>
                  <w:vAlign w:val="center"/>
                </w:tcPr>
                <w:p w14:paraId="156C4786">
                  <w:pPr>
                    <w:widowControl/>
                    <w:adjustRightInd w:val="0"/>
                    <w:snapToGrid w:val="0"/>
                    <w:jc w:val="center"/>
                    <w:rPr>
                      <w:color w:val="auto"/>
                      <w:kern w:val="0"/>
                      <w:sz w:val="22"/>
                      <w:szCs w:val="22"/>
                      <w:highlight w:val="none"/>
                    </w:rPr>
                  </w:pPr>
                </w:p>
              </w:tc>
            </w:tr>
            <w:tr w14:paraId="642E1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41D3AF43">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2CE2A4A7">
                  <w:pPr>
                    <w:adjustRightInd w:val="0"/>
                    <w:snapToGrid w:val="0"/>
                    <w:jc w:val="center"/>
                    <w:rPr>
                      <w:color w:val="auto"/>
                      <w:sz w:val="22"/>
                      <w:szCs w:val="22"/>
                      <w:highlight w:val="none"/>
                    </w:rPr>
                  </w:pPr>
                  <w:r>
                    <w:rPr>
                      <w:rFonts w:hint="eastAsia"/>
                      <w:color w:val="auto"/>
                      <w:sz w:val="22"/>
                      <w:szCs w:val="22"/>
                      <w:highlight w:val="none"/>
                    </w:rPr>
                    <w:t>移动式二保焊机</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0066D865">
                  <w:pPr>
                    <w:widowControl/>
                    <w:adjustRightInd w:val="0"/>
                    <w:snapToGrid w:val="0"/>
                    <w:jc w:val="center"/>
                    <w:rPr>
                      <w:color w:val="auto"/>
                      <w:kern w:val="0"/>
                      <w:sz w:val="22"/>
                      <w:szCs w:val="22"/>
                      <w:highlight w:val="none"/>
                      <w:lang w:bidi="ar"/>
                    </w:rPr>
                  </w:pPr>
                  <w:r>
                    <w:rPr>
                      <w:rFonts w:hint="eastAsia"/>
                      <w:color w:val="auto"/>
                      <w:kern w:val="0"/>
                      <w:sz w:val="22"/>
                      <w:szCs w:val="22"/>
                      <w:highlight w:val="none"/>
                      <w:lang w:bidi="ar"/>
                    </w:rPr>
                    <w:t>/</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5C301BCE">
                  <w:pPr>
                    <w:widowControl/>
                    <w:adjustRightInd w:val="0"/>
                    <w:snapToGrid w:val="0"/>
                    <w:jc w:val="center"/>
                    <w:rPr>
                      <w:color w:val="auto"/>
                      <w:kern w:val="0"/>
                      <w:sz w:val="22"/>
                      <w:szCs w:val="22"/>
                      <w:highlight w:val="none"/>
                    </w:rPr>
                  </w:pPr>
                  <w:r>
                    <w:rPr>
                      <w:rFonts w:hint="eastAsia"/>
                      <w:color w:val="auto"/>
                      <w:kern w:val="0"/>
                      <w:sz w:val="22"/>
                      <w:szCs w:val="22"/>
                      <w:highlight w:val="none"/>
                    </w:rPr>
                    <w:t>台</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1CE2A398">
                  <w:pPr>
                    <w:widowControl/>
                    <w:adjustRightInd w:val="0"/>
                    <w:snapToGrid w:val="0"/>
                    <w:jc w:val="center"/>
                    <w:rPr>
                      <w:color w:val="auto"/>
                      <w:kern w:val="0"/>
                      <w:sz w:val="22"/>
                      <w:szCs w:val="22"/>
                      <w:highlight w:val="none"/>
                    </w:rPr>
                  </w:pPr>
                  <w:r>
                    <w:rPr>
                      <w:rFonts w:hint="eastAsia"/>
                      <w:color w:val="auto"/>
                      <w:kern w:val="0"/>
                      <w:sz w:val="22"/>
                      <w:szCs w:val="22"/>
                      <w:highlight w:val="none"/>
                    </w:rPr>
                    <w:t>8</w:t>
                  </w:r>
                </w:p>
              </w:tc>
              <w:tc>
                <w:tcPr>
                  <w:tcW w:w="979" w:type="dxa"/>
                  <w:tcBorders>
                    <w:top w:val="single" w:color="auto" w:sz="4" w:space="0"/>
                    <w:left w:val="single" w:color="auto" w:sz="4" w:space="0"/>
                    <w:bottom w:val="single" w:color="auto" w:sz="4" w:space="0"/>
                    <w:right w:val="single" w:color="auto" w:sz="4" w:space="0"/>
                    <w:tl2br w:val="nil"/>
                    <w:tr2bl w:val="nil"/>
                  </w:tcBorders>
                  <w:vAlign w:val="center"/>
                </w:tcPr>
                <w:p w14:paraId="7AC4F0F3">
                  <w:pPr>
                    <w:widowControl/>
                    <w:adjustRightInd w:val="0"/>
                    <w:snapToGrid w:val="0"/>
                    <w:jc w:val="center"/>
                    <w:rPr>
                      <w:color w:val="auto"/>
                      <w:kern w:val="0"/>
                      <w:sz w:val="22"/>
                      <w:szCs w:val="22"/>
                      <w:highlight w:val="none"/>
                    </w:rPr>
                  </w:pPr>
                  <w:r>
                    <w:rPr>
                      <w:rFonts w:hint="eastAsia"/>
                      <w:color w:val="auto"/>
                      <w:kern w:val="0"/>
                      <w:sz w:val="22"/>
                      <w:szCs w:val="22"/>
                      <w:highlight w:val="none"/>
                    </w:rPr>
                    <w:t>利旧</w:t>
                  </w:r>
                </w:p>
              </w:tc>
            </w:tr>
            <w:tr w14:paraId="139F4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7F90A768">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25CFD5F1">
                  <w:pPr>
                    <w:adjustRightInd w:val="0"/>
                    <w:snapToGrid w:val="0"/>
                    <w:jc w:val="center"/>
                    <w:rPr>
                      <w:color w:val="auto"/>
                      <w:sz w:val="22"/>
                      <w:szCs w:val="22"/>
                      <w:highlight w:val="none"/>
                    </w:rPr>
                  </w:pPr>
                  <w:r>
                    <w:rPr>
                      <w:rFonts w:hint="eastAsia"/>
                      <w:color w:val="auto"/>
                      <w:sz w:val="22"/>
                      <w:szCs w:val="22"/>
                      <w:highlight w:val="none"/>
                    </w:rPr>
                    <w:t>便携式打磨器</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090BF292">
                  <w:pPr>
                    <w:widowControl/>
                    <w:adjustRightInd w:val="0"/>
                    <w:snapToGrid w:val="0"/>
                    <w:jc w:val="center"/>
                    <w:rPr>
                      <w:color w:val="auto"/>
                      <w:kern w:val="0"/>
                      <w:sz w:val="22"/>
                      <w:szCs w:val="22"/>
                      <w:highlight w:val="none"/>
                      <w:lang w:bidi="ar"/>
                    </w:rPr>
                  </w:pPr>
                  <w:r>
                    <w:rPr>
                      <w:rFonts w:hint="eastAsia"/>
                      <w:color w:val="auto"/>
                      <w:kern w:val="0"/>
                      <w:sz w:val="22"/>
                      <w:szCs w:val="22"/>
                      <w:highlight w:val="none"/>
                      <w:lang w:bidi="ar"/>
                    </w:rPr>
                    <w:t>/</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1E6FCA95">
                  <w:pPr>
                    <w:widowControl/>
                    <w:adjustRightInd w:val="0"/>
                    <w:snapToGrid w:val="0"/>
                    <w:jc w:val="center"/>
                    <w:rPr>
                      <w:color w:val="auto"/>
                      <w:kern w:val="0"/>
                      <w:sz w:val="22"/>
                      <w:szCs w:val="22"/>
                      <w:highlight w:val="none"/>
                    </w:rPr>
                  </w:pPr>
                  <w:r>
                    <w:rPr>
                      <w:rFonts w:hint="eastAsia"/>
                      <w:color w:val="auto"/>
                      <w:kern w:val="0"/>
                      <w:sz w:val="22"/>
                      <w:szCs w:val="22"/>
                      <w:highlight w:val="none"/>
                    </w:rPr>
                    <w:t>台</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08AA08A5">
                  <w:pPr>
                    <w:widowControl/>
                    <w:adjustRightInd w:val="0"/>
                    <w:snapToGrid w:val="0"/>
                    <w:jc w:val="center"/>
                    <w:rPr>
                      <w:color w:val="auto"/>
                      <w:kern w:val="0"/>
                      <w:sz w:val="22"/>
                      <w:szCs w:val="22"/>
                      <w:highlight w:val="none"/>
                    </w:rPr>
                  </w:pPr>
                  <w:r>
                    <w:rPr>
                      <w:rFonts w:hint="eastAsia"/>
                      <w:color w:val="auto"/>
                      <w:kern w:val="0"/>
                      <w:sz w:val="22"/>
                      <w:szCs w:val="22"/>
                      <w:highlight w:val="none"/>
                    </w:rPr>
                    <w:t>4</w:t>
                  </w:r>
                </w:p>
              </w:tc>
              <w:tc>
                <w:tcPr>
                  <w:tcW w:w="979" w:type="dxa"/>
                  <w:tcBorders>
                    <w:top w:val="single" w:color="auto" w:sz="4" w:space="0"/>
                    <w:left w:val="single" w:color="auto" w:sz="4" w:space="0"/>
                    <w:bottom w:val="single" w:color="auto" w:sz="4" w:space="0"/>
                    <w:right w:val="single" w:color="auto" w:sz="4" w:space="0"/>
                    <w:tl2br w:val="nil"/>
                    <w:tr2bl w:val="nil"/>
                  </w:tcBorders>
                  <w:vAlign w:val="center"/>
                </w:tcPr>
                <w:p w14:paraId="7F2B5091">
                  <w:pPr>
                    <w:widowControl/>
                    <w:adjustRightInd w:val="0"/>
                    <w:snapToGrid w:val="0"/>
                    <w:jc w:val="center"/>
                    <w:rPr>
                      <w:color w:val="auto"/>
                      <w:kern w:val="0"/>
                      <w:sz w:val="22"/>
                      <w:szCs w:val="22"/>
                      <w:highlight w:val="none"/>
                    </w:rPr>
                  </w:pPr>
                  <w:r>
                    <w:rPr>
                      <w:rFonts w:hint="eastAsia"/>
                      <w:color w:val="auto"/>
                      <w:kern w:val="0"/>
                      <w:sz w:val="22"/>
                      <w:szCs w:val="22"/>
                      <w:highlight w:val="none"/>
                    </w:rPr>
                    <w:t>利旧</w:t>
                  </w:r>
                </w:p>
              </w:tc>
            </w:tr>
            <w:tr w14:paraId="5659D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5BA8E77A">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6E680B5E">
                  <w:pPr>
                    <w:adjustRightInd w:val="0"/>
                    <w:snapToGrid w:val="0"/>
                    <w:jc w:val="center"/>
                    <w:rPr>
                      <w:color w:val="auto"/>
                      <w:sz w:val="22"/>
                      <w:szCs w:val="22"/>
                      <w:highlight w:val="none"/>
                    </w:rPr>
                  </w:pPr>
                  <w:r>
                    <w:rPr>
                      <w:rFonts w:hint="eastAsia"/>
                      <w:color w:val="auto"/>
                      <w:sz w:val="22"/>
                      <w:szCs w:val="22"/>
                      <w:highlight w:val="none"/>
                    </w:rPr>
                    <w:t>螺杆式空压机</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4586AC95">
                  <w:pPr>
                    <w:widowControl/>
                    <w:adjustRightInd w:val="0"/>
                    <w:snapToGrid w:val="0"/>
                    <w:jc w:val="center"/>
                    <w:rPr>
                      <w:color w:val="auto"/>
                      <w:kern w:val="0"/>
                      <w:sz w:val="22"/>
                      <w:szCs w:val="22"/>
                      <w:highlight w:val="none"/>
                      <w:lang w:bidi="ar"/>
                    </w:rPr>
                  </w:pPr>
                  <w:r>
                    <w:rPr>
                      <w:rFonts w:hint="eastAsia"/>
                      <w:color w:val="auto"/>
                      <w:kern w:val="0"/>
                      <w:sz w:val="22"/>
                      <w:szCs w:val="22"/>
                      <w:highlight w:val="none"/>
                      <w:lang w:bidi="ar"/>
                    </w:rPr>
                    <w:t>设计值1500m³/min</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2CB52EDA">
                  <w:pPr>
                    <w:widowControl/>
                    <w:adjustRightInd w:val="0"/>
                    <w:snapToGrid w:val="0"/>
                    <w:jc w:val="center"/>
                    <w:rPr>
                      <w:color w:val="auto"/>
                      <w:kern w:val="0"/>
                      <w:sz w:val="22"/>
                      <w:szCs w:val="22"/>
                      <w:highlight w:val="none"/>
                    </w:rPr>
                  </w:pPr>
                  <w:r>
                    <w:rPr>
                      <w:rFonts w:hint="eastAsia"/>
                      <w:color w:val="auto"/>
                      <w:kern w:val="0"/>
                      <w:sz w:val="22"/>
                      <w:szCs w:val="22"/>
                      <w:highlight w:val="none"/>
                    </w:rPr>
                    <w:t>台</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4F23CCCF">
                  <w:pPr>
                    <w:widowControl/>
                    <w:adjustRightInd w:val="0"/>
                    <w:snapToGrid w:val="0"/>
                    <w:jc w:val="center"/>
                    <w:rPr>
                      <w:color w:val="auto"/>
                      <w:kern w:val="0"/>
                      <w:sz w:val="22"/>
                      <w:szCs w:val="22"/>
                      <w:highlight w:val="none"/>
                    </w:rPr>
                  </w:pPr>
                  <w:r>
                    <w:rPr>
                      <w:rFonts w:hint="eastAsia"/>
                      <w:color w:val="auto"/>
                      <w:kern w:val="0"/>
                      <w:sz w:val="22"/>
                      <w:szCs w:val="22"/>
                      <w:highlight w:val="none"/>
                    </w:rPr>
                    <w:t>1</w:t>
                  </w:r>
                </w:p>
              </w:tc>
              <w:tc>
                <w:tcPr>
                  <w:tcW w:w="979" w:type="dxa"/>
                  <w:tcBorders>
                    <w:top w:val="single" w:color="auto" w:sz="4" w:space="0"/>
                    <w:left w:val="single" w:color="auto" w:sz="4" w:space="0"/>
                    <w:bottom w:val="single" w:color="auto" w:sz="4" w:space="0"/>
                    <w:right w:val="single" w:color="auto" w:sz="4" w:space="0"/>
                    <w:tl2br w:val="nil"/>
                    <w:tr2bl w:val="nil"/>
                  </w:tcBorders>
                  <w:vAlign w:val="center"/>
                </w:tcPr>
                <w:p w14:paraId="67EEF12C">
                  <w:pPr>
                    <w:widowControl/>
                    <w:adjustRightInd w:val="0"/>
                    <w:snapToGrid w:val="0"/>
                    <w:jc w:val="center"/>
                    <w:rPr>
                      <w:color w:val="auto"/>
                      <w:kern w:val="0"/>
                      <w:sz w:val="22"/>
                      <w:szCs w:val="22"/>
                      <w:highlight w:val="none"/>
                    </w:rPr>
                  </w:pPr>
                  <w:r>
                    <w:rPr>
                      <w:rFonts w:hint="eastAsia"/>
                      <w:color w:val="auto"/>
                      <w:kern w:val="0"/>
                      <w:sz w:val="22"/>
                      <w:szCs w:val="22"/>
                      <w:highlight w:val="none"/>
                    </w:rPr>
                    <w:t>利旧</w:t>
                  </w:r>
                </w:p>
              </w:tc>
            </w:tr>
            <w:tr w14:paraId="5BF05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dxa"/>
                  <w:tcBorders>
                    <w:top w:val="single" w:color="auto" w:sz="4" w:space="0"/>
                    <w:left w:val="single" w:color="auto" w:sz="4" w:space="0"/>
                    <w:bottom w:val="single" w:color="auto" w:sz="4" w:space="0"/>
                    <w:right w:val="single" w:color="auto" w:sz="4" w:space="0"/>
                    <w:tl2br w:val="nil"/>
                    <w:tr2bl w:val="nil"/>
                  </w:tcBorders>
                  <w:vAlign w:val="center"/>
                </w:tcPr>
                <w:p w14:paraId="6D460630">
                  <w:pPr>
                    <w:pStyle w:val="74"/>
                    <w:numPr>
                      <w:ilvl w:val="0"/>
                      <w:numId w:val="11"/>
                    </w:numPr>
                    <w:adjustRightInd w:val="0"/>
                    <w:snapToGrid w:val="0"/>
                    <w:spacing w:before="0" w:beforeLines="0"/>
                    <w:rPr>
                      <w:color w:val="auto"/>
                      <w:sz w:val="22"/>
                      <w:szCs w:val="22"/>
                      <w:highlight w:val="none"/>
                    </w:rPr>
                  </w:pPr>
                </w:p>
              </w:tc>
              <w:tc>
                <w:tcPr>
                  <w:tcW w:w="1965" w:type="dxa"/>
                  <w:tcBorders>
                    <w:top w:val="single" w:color="auto" w:sz="4" w:space="0"/>
                    <w:left w:val="single" w:color="auto" w:sz="4" w:space="0"/>
                    <w:bottom w:val="single" w:color="auto" w:sz="4" w:space="0"/>
                    <w:right w:val="single" w:color="auto" w:sz="4" w:space="0"/>
                    <w:tl2br w:val="nil"/>
                    <w:tr2bl w:val="nil"/>
                  </w:tcBorders>
                  <w:vAlign w:val="center"/>
                </w:tcPr>
                <w:p w14:paraId="51840148">
                  <w:pPr>
                    <w:adjustRightInd w:val="0"/>
                    <w:snapToGrid w:val="0"/>
                    <w:jc w:val="center"/>
                    <w:rPr>
                      <w:color w:val="auto"/>
                      <w:sz w:val="22"/>
                      <w:szCs w:val="22"/>
                      <w:highlight w:val="none"/>
                    </w:rPr>
                  </w:pPr>
                  <w:r>
                    <w:rPr>
                      <w:rFonts w:hint="eastAsia"/>
                      <w:color w:val="auto"/>
                      <w:sz w:val="22"/>
                      <w:szCs w:val="22"/>
                      <w:highlight w:val="none"/>
                    </w:rPr>
                    <w:t>锯机</w:t>
                  </w:r>
                </w:p>
              </w:tc>
              <w:tc>
                <w:tcPr>
                  <w:tcW w:w="2073" w:type="dxa"/>
                  <w:tcBorders>
                    <w:top w:val="single" w:color="auto" w:sz="4" w:space="0"/>
                    <w:left w:val="single" w:color="auto" w:sz="4" w:space="0"/>
                    <w:bottom w:val="single" w:color="auto" w:sz="4" w:space="0"/>
                    <w:right w:val="single" w:color="auto" w:sz="4" w:space="0"/>
                    <w:tl2br w:val="nil"/>
                    <w:tr2bl w:val="nil"/>
                  </w:tcBorders>
                  <w:vAlign w:val="center"/>
                </w:tcPr>
                <w:p w14:paraId="685A13F5">
                  <w:pPr>
                    <w:widowControl/>
                    <w:adjustRightInd w:val="0"/>
                    <w:snapToGrid w:val="0"/>
                    <w:jc w:val="center"/>
                    <w:rPr>
                      <w:color w:val="auto"/>
                      <w:kern w:val="0"/>
                      <w:sz w:val="22"/>
                      <w:szCs w:val="22"/>
                      <w:highlight w:val="none"/>
                      <w:lang w:bidi="ar"/>
                    </w:rPr>
                  </w:pPr>
                  <w:r>
                    <w:rPr>
                      <w:rFonts w:hint="eastAsia"/>
                      <w:color w:val="auto"/>
                      <w:kern w:val="0"/>
                      <w:sz w:val="22"/>
                      <w:szCs w:val="22"/>
                      <w:highlight w:val="none"/>
                      <w:lang w:bidi="ar"/>
                    </w:rPr>
                    <w:t>P110</w:t>
                  </w:r>
                </w:p>
              </w:tc>
              <w:tc>
                <w:tcPr>
                  <w:tcW w:w="748" w:type="dxa"/>
                  <w:tcBorders>
                    <w:top w:val="single" w:color="auto" w:sz="4" w:space="0"/>
                    <w:left w:val="single" w:color="auto" w:sz="4" w:space="0"/>
                    <w:bottom w:val="single" w:color="auto" w:sz="4" w:space="0"/>
                    <w:right w:val="single" w:color="auto" w:sz="4" w:space="0"/>
                    <w:tl2br w:val="nil"/>
                    <w:tr2bl w:val="nil"/>
                  </w:tcBorders>
                  <w:vAlign w:val="center"/>
                </w:tcPr>
                <w:p w14:paraId="6DBB1558">
                  <w:pPr>
                    <w:widowControl/>
                    <w:adjustRightInd w:val="0"/>
                    <w:snapToGrid w:val="0"/>
                    <w:jc w:val="center"/>
                    <w:rPr>
                      <w:color w:val="auto"/>
                      <w:kern w:val="0"/>
                      <w:sz w:val="22"/>
                      <w:szCs w:val="22"/>
                      <w:highlight w:val="none"/>
                    </w:rPr>
                  </w:pPr>
                  <w:r>
                    <w:rPr>
                      <w:rFonts w:hint="eastAsia"/>
                      <w:color w:val="auto"/>
                      <w:kern w:val="0"/>
                      <w:sz w:val="22"/>
                      <w:szCs w:val="22"/>
                      <w:highlight w:val="none"/>
                    </w:rPr>
                    <w:t>台</w:t>
                  </w:r>
                </w:p>
              </w:tc>
              <w:tc>
                <w:tcPr>
                  <w:tcW w:w="762" w:type="dxa"/>
                  <w:tcBorders>
                    <w:top w:val="single" w:color="auto" w:sz="4" w:space="0"/>
                    <w:left w:val="single" w:color="auto" w:sz="4" w:space="0"/>
                    <w:bottom w:val="single" w:color="auto" w:sz="4" w:space="0"/>
                    <w:right w:val="single" w:color="auto" w:sz="4" w:space="0"/>
                    <w:tl2br w:val="nil"/>
                    <w:tr2bl w:val="nil"/>
                  </w:tcBorders>
                  <w:vAlign w:val="center"/>
                </w:tcPr>
                <w:p w14:paraId="2742F8E5">
                  <w:pPr>
                    <w:widowControl/>
                    <w:adjustRightInd w:val="0"/>
                    <w:snapToGrid w:val="0"/>
                    <w:jc w:val="center"/>
                    <w:rPr>
                      <w:color w:val="auto"/>
                      <w:kern w:val="0"/>
                      <w:sz w:val="22"/>
                      <w:szCs w:val="22"/>
                      <w:highlight w:val="none"/>
                    </w:rPr>
                  </w:pPr>
                  <w:r>
                    <w:rPr>
                      <w:rFonts w:hint="eastAsia"/>
                      <w:color w:val="auto"/>
                      <w:kern w:val="0"/>
                      <w:sz w:val="22"/>
                      <w:szCs w:val="22"/>
                      <w:highlight w:val="none"/>
                    </w:rPr>
                    <w:t>2</w:t>
                  </w:r>
                </w:p>
              </w:tc>
              <w:tc>
                <w:tcPr>
                  <w:tcW w:w="979" w:type="dxa"/>
                  <w:tcBorders>
                    <w:top w:val="single" w:color="auto" w:sz="4" w:space="0"/>
                    <w:left w:val="single" w:color="auto" w:sz="4" w:space="0"/>
                    <w:bottom w:val="single" w:color="auto" w:sz="4" w:space="0"/>
                    <w:right w:val="single" w:color="auto" w:sz="4" w:space="0"/>
                    <w:tl2br w:val="nil"/>
                    <w:tr2bl w:val="nil"/>
                  </w:tcBorders>
                  <w:vAlign w:val="center"/>
                </w:tcPr>
                <w:p w14:paraId="56158C3A">
                  <w:pPr>
                    <w:widowControl/>
                    <w:adjustRightInd w:val="0"/>
                    <w:snapToGrid w:val="0"/>
                    <w:jc w:val="center"/>
                    <w:rPr>
                      <w:color w:val="auto"/>
                      <w:kern w:val="0"/>
                      <w:sz w:val="22"/>
                      <w:szCs w:val="22"/>
                      <w:highlight w:val="none"/>
                    </w:rPr>
                  </w:pPr>
                  <w:r>
                    <w:rPr>
                      <w:rFonts w:hint="eastAsia"/>
                      <w:color w:val="auto"/>
                      <w:kern w:val="0"/>
                      <w:sz w:val="22"/>
                      <w:szCs w:val="22"/>
                      <w:highlight w:val="none"/>
                    </w:rPr>
                    <w:t>本次淘汰</w:t>
                  </w:r>
                </w:p>
              </w:tc>
            </w:tr>
          </w:tbl>
          <w:p w14:paraId="48D496A8">
            <w:pPr>
              <w:keepNext/>
              <w:keepLines/>
              <w:autoSpaceDE w:val="0"/>
              <w:autoSpaceDN w:val="0"/>
              <w:adjustRightInd w:val="0"/>
              <w:ind w:firstLine="520" w:firstLineChars="200"/>
              <w:jc w:val="left"/>
              <w:textAlignment w:val="baseline"/>
              <w:outlineLvl w:val="0"/>
              <w:rPr>
                <w:rFonts w:hAnsi="宋体"/>
                <w:color w:val="auto"/>
                <w:kern w:val="0"/>
                <w:sz w:val="26"/>
                <w:szCs w:val="26"/>
                <w:highlight w:val="none"/>
              </w:rPr>
            </w:pPr>
          </w:p>
          <w:p w14:paraId="091C6246">
            <w:pPr>
              <w:keepNext/>
              <w:keepLines/>
              <w:autoSpaceDE w:val="0"/>
              <w:autoSpaceDN w:val="0"/>
              <w:adjustRightInd w:val="0"/>
              <w:spacing w:line="480" w:lineRule="exact"/>
              <w:ind w:firstLine="522" w:firstLineChars="200"/>
              <w:jc w:val="left"/>
              <w:textAlignment w:val="baseline"/>
              <w:outlineLvl w:val="0"/>
              <w:rPr>
                <w:rFonts w:hAnsi="宋体"/>
                <w:b/>
                <w:bCs/>
                <w:color w:val="auto"/>
                <w:kern w:val="0"/>
                <w:sz w:val="26"/>
                <w:szCs w:val="26"/>
                <w:highlight w:val="none"/>
              </w:rPr>
            </w:pPr>
            <w:r>
              <w:rPr>
                <w:rFonts w:hint="eastAsia" w:hAnsi="宋体"/>
                <w:b/>
                <w:bCs/>
                <w:color w:val="auto"/>
                <w:kern w:val="0"/>
                <w:sz w:val="26"/>
                <w:szCs w:val="26"/>
                <w:highlight w:val="none"/>
              </w:rPr>
              <w:t>2.11.3现有项目污染物实际排放总量</w:t>
            </w:r>
          </w:p>
          <w:p w14:paraId="55B3FE78">
            <w:pPr>
              <w:keepNext/>
              <w:keepLines/>
              <w:autoSpaceDE w:val="0"/>
              <w:autoSpaceDN w:val="0"/>
              <w:adjustRightInd w:val="0"/>
              <w:spacing w:line="480" w:lineRule="exact"/>
              <w:ind w:firstLine="522" w:firstLineChars="200"/>
              <w:jc w:val="left"/>
              <w:textAlignment w:val="baseline"/>
              <w:outlineLvl w:val="0"/>
              <w:rPr>
                <w:rFonts w:hAnsi="宋体"/>
                <w:b/>
                <w:bCs/>
                <w:color w:val="auto"/>
                <w:kern w:val="0"/>
                <w:sz w:val="26"/>
                <w:szCs w:val="26"/>
                <w:highlight w:val="none"/>
              </w:rPr>
            </w:pPr>
            <w:r>
              <w:rPr>
                <w:rFonts w:hint="eastAsia" w:hAnsi="宋体"/>
                <w:b/>
                <w:bCs/>
                <w:color w:val="auto"/>
                <w:kern w:val="0"/>
                <w:sz w:val="26"/>
                <w:szCs w:val="26"/>
                <w:highlight w:val="none"/>
              </w:rPr>
              <w:t>（1）现有项目工艺流程及产排污节点</w:t>
            </w:r>
          </w:p>
          <w:p w14:paraId="43236C20">
            <w:pPr>
              <w:keepNext/>
              <w:keepLines/>
              <w:autoSpaceDE w:val="0"/>
              <w:autoSpaceDN w:val="0"/>
              <w:adjustRightInd w:val="0"/>
              <w:spacing w:line="480" w:lineRule="exact"/>
              <w:ind w:firstLine="520" w:firstLineChars="200"/>
              <w:jc w:val="left"/>
              <w:textAlignment w:val="baseline"/>
              <w:outlineLvl w:val="0"/>
              <w:rPr>
                <w:rFonts w:hAnsi="宋体"/>
                <w:color w:val="auto"/>
                <w:kern w:val="0"/>
                <w:sz w:val="26"/>
                <w:szCs w:val="26"/>
                <w:highlight w:val="none"/>
              </w:rPr>
            </w:pPr>
            <w:r>
              <w:rPr>
                <w:rFonts w:hint="eastAsia" w:hAnsi="宋体"/>
                <w:color w:val="auto"/>
                <w:kern w:val="0"/>
                <w:sz w:val="26"/>
                <w:szCs w:val="26"/>
                <w:highlight w:val="none"/>
              </w:rPr>
              <w:t>现有项目工艺流程及产排污节点详见下图。</w:t>
            </w:r>
          </w:p>
          <w:p w14:paraId="6BB3E2C0">
            <w:pPr>
              <w:keepNext/>
              <w:keepLines/>
              <w:autoSpaceDE w:val="0"/>
              <w:autoSpaceDN w:val="0"/>
              <w:adjustRightInd w:val="0"/>
              <w:ind w:firstLine="522" w:firstLineChars="200"/>
              <w:jc w:val="left"/>
              <w:textAlignment w:val="baseline"/>
              <w:outlineLvl w:val="0"/>
              <w:rPr>
                <w:rFonts w:hAnsi="宋体"/>
                <w:b/>
                <w:bCs/>
                <w:color w:val="auto"/>
                <w:kern w:val="0"/>
                <w:sz w:val="26"/>
                <w:szCs w:val="26"/>
                <w:highlight w:val="none"/>
              </w:rPr>
            </w:pPr>
          </w:p>
          <w:p w14:paraId="7BB50637">
            <w:pPr>
              <w:keepNext/>
              <w:keepLines/>
              <w:autoSpaceDE w:val="0"/>
              <w:autoSpaceDN w:val="0"/>
              <w:adjustRightInd w:val="0"/>
              <w:jc w:val="center"/>
              <w:textAlignment w:val="baseline"/>
              <w:outlineLvl w:val="0"/>
              <w:rPr>
                <w:color w:val="auto"/>
                <w:sz w:val="24"/>
                <w:highlight w:val="none"/>
              </w:rPr>
            </w:pPr>
            <w:r>
              <w:rPr>
                <w:color w:val="auto"/>
                <w:sz w:val="24"/>
                <w:highlight w:val="none"/>
              </w:rPr>
              <w:drawing>
                <wp:inline distT="0" distB="0" distL="114300" distR="114300">
                  <wp:extent cx="4187825" cy="2084070"/>
                  <wp:effectExtent l="0" t="0" r="0" b="0"/>
                  <wp:docPr id="1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6"/>
                          <pic:cNvPicPr>
                            <a:picLocks noChangeAspect="1"/>
                          </pic:cNvPicPr>
                        </pic:nvPicPr>
                        <pic:blipFill>
                          <a:blip r:embed="rId18"/>
                          <a:srcRect t="3310" b="3053"/>
                          <a:stretch>
                            <a:fillRect/>
                          </a:stretch>
                        </pic:blipFill>
                        <pic:spPr>
                          <a:xfrm>
                            <a:off x="0" y="0"/>
                            <a:ext cx="4187825" cy="2084070"/>
                          </a:xfrm>
                          <a:prstGeom prst="rect">
                            <a:avLst/>
                          </a:prstGeom>
                          <a:noFill/>
                          <a:ln w="9525">
                            <a:noFill/>
                          </a:ln>
                        </pic:spPr>
                      </pic:pic>
                    </a:graphicData>
                  </a:graphic>
                </wp:inline>
              </w:drawing>
            </w:r>
          </w:p>
          <w:p w14:paraId="47E27AF4">
            <w:pPr>
              <w:keepNext/>
              <w:keepLines/>
              <w:autoSpaceDE w:val="0"/>
              <w:autoSpaceDN w:val="0"/>
              <w:adjustRightInd w:val="0"/>
              <w:jc w:val="center"/>
              <w:textAlignment w:val="baseline"/>
              <w:outlineLvl w:val="0"/>
              <w:rPr>
                <w:color w:val="auto"/>
                <w:sz w:val="24"/>
                <w:highlight w:val="none"/>
              </w:rPr>
            </w:pPr>
            <w:r>
              <w:rPr>
                <w:color w:val="auto"/>
                <w:sz w:val="24"/>
                <w:highlight w:val="none"/>
              </w:rPr>
              <w:t>图2.11-1 现有项目工艺流程及产排污节点</w:t>
            </w:r>
          </w:p>
          <w:p w14:paraId="37242BDC">
            <w:pPr>
              <w:keepNext/>
              <w:keepLines/>
              <w:autoSpaceDE w:val="0"/>
              <w:autoSpaceDN w:val="0"/>
              <w:adjustRightInd w:val="0"/>
              <w:ind w:firstLine="522" w:firstLineChars="200"/>
              <w:jc w:val="left"/>
              <w:textAlignment w:val="baseline"/>
              <w:outlineLvl w:val="0"/>
              <w:rPr>
                <w:rFonts w:hAnsi="宋体"/>
                <w:b/>
                <w:bCs/>
                <w:color w:val="auto"/>
                <w:kern w:val="0"/>
                <w:sz w:val="26"/>
                <w:szCs w:val="26"/>
                <w:highlight w:val="none"/>
              </w:rPr>
            </w:pPr>
          </w:p>
          <w:p w14:paraId="5CD04545">
            <w:pPr>
              <w:keepNext/>
              <w:keepLines/>
              <w:autoSpaceDE w:val="0"/>
              <w:autoSpaceDN w:val="0"/>
              <w:adjustRightInd w:val="0"/>
              <w:spacing w:line="480" w:lineRule="exact"/>
              <w:ind w:firstLine="522" w:firstLineChars="200"/>
              <w:jc w:val="left"/>
              <w:textAlignment w:val="baseline"/>
              <w:outlineLvl w:val="0"/>
              <w:rPr>
                <w:rFonts w:hAnsi="宋体"/>
                <w:b/>
                <w:bCs/>
                <w:color w:val="auto"/>
                <w:kern w:val="0"/>
                <w:sz w:val="26"/>
                <w:szCs w:val="26"/>
                <w:highlight w:val="none"/>
              </w:rPr>
            </w:pPr>
            <w:r>
              <w:rPr>
                <w:rFonts w:hint="eastAsia" w:hAnsi="宋体"/>
                <w:b/>
                <w:bCs/>
                <w:color w:val="auto"/>
                <w:kern w:val="0"/>
                <w:sz w:val="26"/>
                <w:szCs w:val="26"/>
                <w:highlight w:val="none"/>
              </w:rPr>
              <w:t>（2）现有项目污染物实际排放总量</w:t>
            </w:r>
          </w:p>
          <w:p w14:paraId="2B50C3BA">
            <w:pPr>
              <w:keepNext/>
              <w:keepLines/>
              <w:autoSpaceDE w:val="0"/>
              <w:autoSpaceDN w:val="0"/>
              <w:adjustRightInd w:val="0"/>
              <w:spacing w:line="480" w:lineRule="exact"/>
              <w:ind w:firstLine="520" w:firstLineChars="200"/>
              <w:jc w:val="left"/>
              <w:textAlignment w:val="baseline"/>
              <w:outlineLvl w:val="0"/>
              <w:rPr>
                <w:rFonts w:hAnsi="宋体"/>
                <w:color w:val="auto"/>
                <w:kern w:val="0"/>
                <w:sz w:val="26"/>
                <w:szCs w:val="26"/>
                <w:highlight w:val="none"/>
              </w:rPr>
            </w:pPr>
            <w:r>
              <w:rPr>
                <w:rFonts w:hint="eastAsia" w:hAnsi="宋体"/>
                <w:color w:val="auto"/>
                <w:kern w:val="0"/>
                <w:sz w:val="26"/>
                <w:szCs w:val="26"/>
                <w:highlight w:val="none"/>
              </w:rPr>
              <w:t>根据现有项目环保竣工验收报告、排污许可申报表及排污许可证、自行监测报告，现有项目未设置环境防护距离，可做到达标排放，未发生环境污染和环保投诉问题，</w:t>
            </w:r>
            <w:r>
              <w:rPr>
                <w:rFonts w:hint="eastAsia" w:hAnsi="宋体"/>
                <w:color w:val="auto"/>
                <w:kern w:val="0"/>
                <w:sz w:val="26"/>
                <w:szCs w:val="26"/>
                <w:highlight w:val="none"/>
                <w:lang w:eastAsia="zh-CN"/>
              </w:rPr>
              <w:t>现有工程</w:t>
            </w:r>
            <w:r>
              <w:rPr>
                <w:rFonts w:hint="eastAsia" w:hAnsi="宋体"/>
                <w:color w:val="auto"/>
                <w:kern w:val="0"/>
                <w:sz w:val="26"/>
                <w:szCs w:val="26"/>
                <w:highlight w:val="none"/>
              </w:rPr>
              <w:t>污染物实际排放总量</w:t>
            </w:r>
            <w:r>
              <w:rPr>
                <w:rFonts w:hint="eastAsia" w:hAnsi="宋体"/>
                <w:color w:val="auto"/>
                <w:kern w:val="0"/>
                <w:sz w:val="26"/>
                <w:szCs w:val="26"/>
                <w:highlight w:val="none"/>
                <w:lang w:eastAsia="zh-CN"/>
              </w:rPr>
              <w:t>详</w:t>
            </w:r>
            <w:r>
              <w:rPr>
                <w:rFonts w:hint="eastAsia" w:hAnsi="宋体"/>
                <w:color w:val="auto"/>
                <w:kern w:val="0"/>
                <w:sz w:val="26"/>
                <w:szCs w:val="26"/>
                <w:highlight w:val="none"/>
              </w:rPr>
              <w:t>见下表。</w:t>
            </w:r>
          </w:p>
          <w:p w14:paraId="29CF8F58">
            <w:pPr>
              <w:keepNext/>
              <w:keepLines/>
              <w:autoSpaceDE w:val="0"/>
              <w:autoSpaceDN w:val="0"/>
              <w:adjustRightInd w:val="0"/>
              <w:jc w:val="center"/>
              <w:textAlignment w:val="baseline"/>
              <w:outlineLvl w:val="0"/>
              <w:rPr>
                <w:rFonts w:hAnsi="宋体"/>
                <w:color w:val="auto"/>
                <w:kern w:val="0"/>
                <w:sz w:val="26"/>
                <w:szCs w:val="26"/>
                <w:highlight w:val="none"/>
              </w:rPr>
            </w:pPr>
          </w:p>
          <w:p w14:paraId="1067694A">
            <w:pPr>
              <w:keepNext/>
              <w:keepLines/>
              <w:autoSpaceDE w:val="0"/>
              <w:autoSpaceDN w:val="0"/>
              <w:adjustRightInd w:val="0"/>
              <w:jc w:val="center"/>
              <w:textAlignment w:val="baseline"/>
              <w:outlineLvl w:val="0"/>
              <w:rPr>
                <w:rFonts w:hAnsi="宋体"/>
                <w:color w:val="auto"/>
                <w:kern w:val="0"/>
                <w:sz w:val="26"/>
                <w:szCs w:val="26"/>
                <w:highlight w:val="none"/>
              </w:rPr>
            </w:pPr>
            <w:r>
              <w:rPr>
                <w:rFonts w:hint="eastAsia" w:hAnsi="宋体"/>
                <w:color w:val="auto"/>
                <w:kern w:val="0"/>
                <w:sz w:val="26"/>
                <w:szCs w:val="26"/>
                <w:highlight w:val="none"/>
              </w:rPr>
              <w:t>表2.11-3 现有项目污染物实际排放总量一览表</w:t>
            </w:r>
          </w:p>
          <w:tbl>
            <w:tblPr>
              <w:tblStyle w:val="16"/>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856"/>
              <w:gridCol w:w="1447"/>
              <w:gridCol w:w="1174"/>
              <w:gridCol w:w="1358"/>
              <w:gridCol w:w="1881"/>
            </w:tblGrid>
            <w:tr w14:paraId="31937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tcBorders>
                    <w:top w:val="single" w:color="auto" w:sz="4" w:space="0"/>
                    <w:left w:val="single" w:color="auto" w:sz="4" w:space="0"/>
                    <w:bottom w:val="single" w:color="auto" w:sz="4" w:space="0"/>
                    <w:right w:val="single" w:color="auto" w:sz="4" w:space="0"/>
                    <w:tl2br w:val="nil"/>
                    <w:tr2bl w:val="nil"/>
                  </w:tcBorders>
                  <w:vAlign w:val="center"/>
                </w:tcPr>
                <w:p w14:paraId="5F8C39C8">
                  <w:pPr>
                    <w:snapToGrid w:val="0"/>
                    <w:jc w:val="center"/>
                    <w:rPr>
                      <w:color w:val="auto"/>
                      <w:kern w:val="0"/>
                      <w:sz w:val="22"/>
                      <w:szCs w:val="22"/>
                      <w:highlight w:val="none"/>
                    </w:rPr>
                  </w:pPr>
                  <w:r>
                    <w:rPr>
                      <w:rFonts w:hint="eastAsia"/>
                      <w:color w:val="auto"/>
                      <w:kern w:val="0"/>
                      <w:sz w:val="22"/>
                      <w:szCs w:val="22"/>
                      <w:highlight w:val="none"/>
                    </w:rPr>
                    <w:t>类别</w:t>
                  </w:r>
                </w:p>
              </w:tc>
              <w:tc>
                <w:tcPr>
                  <w:tcW w:w="856" w:type="dxa"/>
                  <w:tcBorders>
                    <w:top w:val="single" w:color="auto" w:sz="4" w:space="0"/>
                    <w:left w:val="single" w:color="auto" w:sz="4" w:space="0"/>
                    <w:bottom w:val="single" w:color="auto" w:sz="4" w:space="0"/>
                    <w:right w:val="single" w:color="auto" w:sz="4" w:space="0"/>
                    <w:tl2br w:val="nil"/>
                    <w:tr2bl w:val="nil"/>
                  </w:tcBorders>
                  <w:vAlign w:val="center"/>
                </w:tcPr>
                <w:p w14:paraId="2AE15942">
                  <w:pPr>
                    <w:snapToGrid w:val="0"/>
                    <w:jc w:val="center"/>
                    <w:rPr>
                      <w:color w:val="auto"/>
                      <w:kern w:val="0"/>
                      <w:sz w:val="22"/>
                      <w:szCs w:val="22"/>
                      <w:highlight w:val="none"/>
                    </w:rPr>
                  </w:pPr>
                  <w:r>
                    <w:rPr>
                      <w:rFonts w:hint="eastAsia"/>
                      <w:color w:val="auto"/>
                      <w:kern w:val="0"/>
                      <w:sz w:val="22"/>
                      <w:szCs w:val="22"/>
                      <w:highlight w:val="none"/>
                    </w:rPr>
                    <w:t>污染源</w:t>
                  </w:r>
                </w:p>
              </w:tc>
              <w:tc>
                <w:tcPr>
                  <w:tcW w:w="1447" w:type="dxa"/>
                  <w:tcBorders>
                    <w:top w:val="single" w:color="auto" w:sz="4" w:space="0"/>
                    <w:left w:val="single" w:color="auto" w:sz="4" w:space="0"/>
                    <w:bottom w:val="single" w:color="auto" w:sz="4" w:space="0"/>
                    <w:right w:val="single" w:color="auto" w:sz="4" w:space="0"/>
                    <w:tl2br w:val="nil"/>
                    <w:tr2bl w:val="nil"/>
                  </w:tcBorders>
                  <w:vAlign w:val="center"/>
                </w:tcPr>
                <w:p w14:paraId="3A8A4075">
                  <w:pPr>
                    <w:snapToGrid w:val="0"/>
                    <w:jc w:val="center"/>
                    <w:rPr>
                      <w:color w:val="auto"/>
                      <w:kern w:val="0"/>
                      <w:sz w:val="22"/>
                      <w:szCs w:val="22"/>
                      <w:highlight w:val="none"/>
                    </w:rPr>
                  </w:pPr>
                  <w:r>
                    <w:rPr>
                      <w:rFonts w:hint="eastAsia"/>
                      <w:color w:val="auto"/>
                      <w:kern w:val="0"/>
                      <w:sz w:val="22"/>
                      <w:szCs w:val="22"/>
                      <w:highlight w:val="none"/>
                    </w:rPr>
                    <w:t>污染物</w:t>
                  </w:r>
                </w:p>
              </w:tc>
              <w:tc>
                <w:tcPr>
                  <w:tcW w:w="1174" w:type="dxa"/>
                  <w:tcBorders>
                    <w:top w:val="single" w:color="auto" w:sz="4" w:space="0"/>
                    <w:left w:val="single" w:color="auto" w:sz="4" w:space="0"/>
                    <w:bottom w:val="single" w:color="auto" w:sz="4" w:space="0"/>
                    <w:right w:val="single" w:color="auto" w:sz="4" w:space="0"/>
                    <w:tl2br w:val="nil"/>
                    <w:tr2bl w:val="nil"/>
                  </w:tcBorders>
                  <w:vAlign w:val="center"/>
                </w:tcPr>
                <w:p w14:paraId="58E25C35">
                  <w:pPr>
                    <w:snapToGrid w:val="0"/>
                    <w:jc w:val="center"/>
                    <w:rPr>
                      <w:color w:val="auto"/>
                      <w:kern w:val="0"/>
                      <w:sz w:val="22"/>
                      <w:szCs w:val="22"/>
                      <w:highlight w:val="none"/>
                    </w:rPr>
                  </w:pPr>
                  <w:r>
                    <w:rPr>
                      <w:rFonts w:hint="eastAsia"/>
                      <w:color w:val="auto"/>
                      <w:kern w:val="0"/>
                      <w:sz w:val="22"/>
                      <w:szCs w:val="22"/>
                      <w:highlight w:val="none"/>
                    </w:rPr>
                    <w:t>实际排放量（t/a）</w:t>
                  </w:r>
                </w:p>
              </w:tc>
              <w:tc>
                <w:tcPr>
                  <w:tcW w:w="1358" w:type="dxa"/>
                  <w:tcBorders>
                    <w:top w:val="single" w:color="auto" w:sz="4" w:space="0"/>
                    <w:left w:val="single" w:color="auto" w:sz="4" w:space="0"/>
                    <w:bottom w:val="single" w:color="auto" w:sz="4" w:space="0"/>
                    <w:right w:val="single" w:color="auto" w:sz="4" w:space="0"/>
                    <w:tl2br w:val="nil"/>
                    <w:tr2bl w:val="nil"/>
                  </w:tcBorders>
                  <w:vAlign w:val="center"/>
                </w:tcPr>
                <w:p w14:paraId="30900106">
                  <w:pPr>
                    <w:snapToGrid w:val="0"/>
                    <w:jc w:val="center"/>
                    <w:rPr>
                      <w:color w:val="auto"/>
                      <w:kern w:val="0"/>
                      <w:sz w:val="22"/>
                      <w:szCs w:val="22"/>
                      <w:highlight w:val="none"/>
                    </w:rPr>
                  </w:pPr>
                  <w:r>
                    <w:rPr>
                      <w:rFonts w:hint="eastAsia"/>
                      <w:color w:val="auto"/>
                      <w:kern w:val="0"/>
                      <w:sz w:val="22"/>
                      <w:szCs w:val="22"/>
                      <w:highlight w:val="none"/>
                    </w:rPr>
                    <w:t>排放速率（kg/h）</w:t>
                  </w:r>
                </w:p>
              </w:tc>
              <w:tc>
                <w:tcPr>
                  <w:tcW w:w="1881" w:type="dxa"/>
                  <w:tcBorders>
                    <w:top w:val="single" w:color="auto" w:sz="4" w:space="0"/>
                    <w:left w:val="single" w:color="auto" w:sz="4" w:space="0"/>
                    <w:bottom w:val="single" w:color="auto" w:sz="4" w:space="0"/>
                    <w:right w:val="single" w:color="auto" w:sz="4" w:space="0"/>
                    <w:tl2br w:val="nil"/>
                    <w:tr2bl w:val="nil"/>
                  </w:tcBorders>
                  <w:vAlign w:val="center"/>
                </w:tcPr>
                <w:p w14:paraId="60E043A2">
                  <w:pPr>
                    <w:snapToGrid w:val="0"/>
                    <w:jc w:val="center"/>
                    <w:rPr>
                      <w:color w:val="auto"/>
                      <w:kern w:val="0"/>
                      <w:sz w:val="22"/>
                      <w:szCs w:val="22"/>
                      <w:highlight w:val="none"/>
                    </w:rPr>
                  </w:pPr>
                  <w:r>
                    <w:rPr>
                      <w:rFonts w:hint="eastAsia"/>
                      <w:color w:val="auto"/>
                      <w:kern w:val="0"/>
                      <w:sz w:val="22"/>
                      <w:szCs w:val="22"/>
                      <w:highlight w:val="none"/>
                    </w:rPr>
                    <w:t>排放形式及处理去向</w:t>
                  </w:r>
                </w:p>
              </w:tc>
            </w:tr>
            <w:tr w14:paraId="3944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tcBorders>
                    <w:top w:val="single" w:color="auto" w:sz="4" w:space="0"/>
                    <w:left w:val="single" w:color="auto" w:sz="4" w:space="0"/>
                    <w:bottom w:val="single" w:color="auto" w:sz="4" w:space="0"/>
                    <w:right w:val="single" w:color="auto" w:sz="4" w:space="0"/>
                    <w:tl2br w:val="nil"/>
                    <w:tr2bl w:val="nil"/>
                  </w:tcBorders>
                  <w:vAlign w:val="center"/>
                </w:tcPr>
                <w:p w14:paraId="3692415F">
                  <w:pPr>
                    <w:snapToGrid w:val="0"/>
                    <w:jc w:val="center"/>
                    <w:rPr>
                      <w:color w:val="auto"/>
                      <w:kern w:val="0"/>
                      <w:sz w:val="22"/>
                      <w:szCs w:val="22"/>
                      <w:highlight w:val="none"/>
                    </w:rPr>
                  </w:pPr>
                  <w:r>
                    <w:rPr>
                      <w:rFonts w:hint="eastAsia"/>
                      <w:color w:val="auto"/>
                      <w:kern w:val="0"/>
                      <w:sz w:val="22"/>
                      <w:szCs w:val="22"/>
                      <w:highlight w:val="none"/>
                    </w:rPr>
                    <w:t>废气</w:t>
                  </w:r>
                </w:p>
              </w:tc>
              <w:tc>
                <w:tcPr>
                  <w:tcW w:w="856" w:type="dxa"/>
                  <w:tcBorders>
                    <w:top w:val="single" w:color="auto" w:sz="4" w:space="0"/>
                    <w:left w:val="single" w:color="auto" w:sz="4" w:space="0"/>
                    <w:bottom w:val="single" w:color="auto" w:sz="4" w:space="0"/>
                    <w:right w:val="single" w:color="auto" w:sz="4" w:space="0"/>
                    <w:tl2br w:val="nil"/>
                    <w:tr2bl w:val="nil"/>
                  </w:tcBorders>
                  <w:vAlign w:val="center"/>
                </w:tcPr>
                <w:p w14:paraId="16A103EB">
                  <w:pPr>
                    <w:snapToGrid w:val="0"/>
                    <w:jc w:val="center"/>
                    <w:rPr>
                      <w:color w:val="auto"/>
                      <w:kern w:val="0"/>
                      <w:sz w:val="22"/>
                      <w:szCs w:val="22"/>
                      <w:highlight w:val="none"/>
                    </w:rPr>
                  </w:pPr>
                  <w:r>
                    <w:rPr>
                      <w:rFonts w:hint="eastAsia"/>
                      <w:color w:val="auto"/>
                      <w:kern w:val="0"/>
                      <w:sz w:val="22"/>
                      <w:szCs w:val="22"/>
                      <w:highlight w:val="none"/>
                    </w:rPr>
                    <w:t>焊接</w:t>
                  </w:r>
                </w:p>
              </w:tc>
              <w:tc>
                <w:tcPr>
                  <w:tcW w:w="1447" w:type="dxa"/>
                  <w:tcBorders>
                    <w:top w:val="single" w:color="auto" w:sz="4" w:space="0"/>
                    <w:left w:val="single" w:color="auto" w:sz="4" w:space="0"/>
                    <w:bottom w:val="single" w:color="auto" w:sz="4" w:space="0"/>
                    <w:right w:val="single" w:color="auto" w:sz="4" w:space="0"/>
                    <w:tl2br w:val="nil"/>
                    <w:tr2bl w:val="nil"/>
                  </w:tcBorders>
                  <w:vAlign w:val="center"/>
                </w:tcPr>
                <w:p w14:paraId="4627D330">
                  <w:pPr>
                    <w:snapToGrid w:val="0"/>
                    <w:jc w:val="center"/>
                    <w:rPr>
                      <w:color w:val="auto"/>
                      <w:kern w:val="0"/>
                      <w:sz w:val="22"/>
                      <w:szCs w:val="22"/>
                      <w:highlight w:val="none"/>
                    </w:rPr>
                  </w:pPr>
                  <w:r>
                    <w:rPr>
                      <w:rFonts w:hint="eastAsia"/>
                      <w:color w:val="auto"/>
                      <w:kern w:val="0"/>
                      <w:sz w:val="22"/>
                      <w:szCs w:val="22"/>
                      <w:highlight w:val="none"/>
                    </w:rPr>
                    <w:t>颗粒物</w:t>
                  </w:r>
                </w:p>
              </w:tc>
              <w:tc>
                <w:tcPr>
                  <w:tcW w:w="1174" w:type="dxa"/>
                  <w:tcBorders>
                    <w:top w:val="single" w:color="auto" w:sz="4" w:space="0"/>
                    <w:left w:val="single" w:color="auto" w:sz="4" w:space="0"/>
                    <w:bottom w:val="single" w:color="auto" w:sz="4" w:space="0"/>
                    <w:right w:val="single" w:color="auto" w:sz="4" w:space="0"/>
                    <w:tl2br w:val="nil"/>
                    <w:tr2bl w:val="nil"/>
                  </w:tcBorders>
                  <w:vAlign w:val="center"/>
                </w:tcPr>
                <w:p w14:paraId="7DF16788">
                  <w:pPr>
                    <w:snapToGrid w:val="0"/>
                    <w:jc w:val="center"/>
                    <w:rPr>
                      <w:rFonts w:hint="default" w:eastAsia="宋体"/>
                      <w:color w:val="auto"/>
                      <w:kern w:val="0"/>
                      <w:sz w:val="22"/>
                      <w:szCs w:val="28"/>
                      <w:highlight w:val="none"/>
                      <w:lang w:val="en-US" w:eastAsia="zh-CN"/>
                    </w:rPr>
                  </w:pPr>
                  <w:r>
                    <w:rPr>
                      <w:rFonts w:hint="eastAsia"/>
                      <w:color w:val="auto"/>
                      <w:kern w:val="0"/>
                      <w:sz w:val="22"/>
                      <w:szCs w:val="28"/>
                      <w:highlight w:val="none"/>
                      <w:lang w:val="en-US" w:eastAsia="zh-CN"/>
                    </w:rPr>
                    <w:t>0.06</w:t>
                  </w:r>
                </w:p>
              </w:tc>
              <w:tc>
                <w:tcPr>
                  <w:tcW w:w="1358" w:type="dxa"/>
                  <w:tcBorders>
                    <w:top w:val="single" w:color="auto" w:sz="4" w:space="0"/>
                    <w:left w:val="single" w:color="auto" w:sz="4" w:space="0"/>
                    <w:bottom w:val="single" w:color="auto" w:sz="4" w:space="0"/>
                    <w:right w:val="single" w:color="auto" w:sz="4" w:space="0"/>
                    <w:tl2br w:val="nil"/>
                    <w:tr2bl w:val="nil"/>
                  </w:tcBorders>
                  <w:vAlign w:val="center"/>
                </w:tcPr>
                <w:p w14:paraId="67A5E6CB">
                  <w:pPr>
                    <w:snapToGrid w:val="0"/>
                    <w:jc w:val="center"/>
                    <w:rPr>
                      <w:rFonts w:hint="default" w:eastAsia="宋体"/>
                      <w:color w:val="auto"/>
                      <w:kern w:val="0"/>
                      <w:sz w:val="22"/>
                      <w:szCs w:val="28"/>
                      <w:highlight w:val="none"/>
                      <w:lang w:val="en-US" w:eastAsia="zh-CN"/>
                    </w:rPr>
                  </w:pPr>
                  <w:r>
                    <w:rPr>
                      <w:rFonts w:hint="eastAsia"/>
                      <w:color w:val="auto"/>
                      <w:kern w:val="0"/>
                      <w:sz w:val="22"/>
                      <w:szCs w:val="28"/>
                      <w:highlight w:val="none"/>
                      <w:lang w:val="en-US" w:eastAsia="zh-CN"/>
                    </w:rPr>
                    <w:t>0.026</w:t>
                  </w:r>
                </w:p>
              </w:tc>
              <w:tc>
                <w:tcPr>
                  <w:tcW w:w="1881" w:type="dxa"/>
                  <w:tcBorders>
                    <w:top w:val="single" w:color="auto" w:sz="4" w:space="0"/>
                    <w:left w:val="single" w:color="auto" w:sz="4" w:space="0"/>
                    <w:bottom w:val="single" w:color="auto" w:sz="4" w:space="0"/>
                    <w:right w:val="single" w:color="auto" w:sz="4" w:space="0"/>
                    <w:tl2br w:val="nil"/>
                    <w:tr2bl w:val="nil"/>
                  </w:tcBorders>
                  <w:vAlign w:val="center"/>
                </w:tcPr>
                <w:p w14:paraId="3986D9F2">
                  <w:pPr>
                    <w:snapToGrid w:val="0"/>
                    <w:jc w:val="center"/>
                    <w:rPr>
                      <w:color w:val="auto"/>
                      <w:kern w:val="0"/>
                      <w:sz w:val="22"/>
                      <w:szCs w:val="28"/>
                      <w:highlight w:val="none"/>
                    </w:rPr>
                  </w:pPr>
                  <w:r>
                    <w:rPr>
                      <w:rFonts w:hint="eastAsia"/>
                      <w:color w:val="auto"/>
                      <w:kern w:val="0"/>
                      <w:sz w:val="22"/>
                      <w:szCs w:val="28"/>
                      <w:highlight w:val="none"/>
                    </w:rPr>
                    <w:t>经集气抽风罩收集后由15m高排气筒有组织排放。</w:t>
                  </w:r>
                </w:p>
              </w:tc>
            </w:tr>
            <w:tr w14:paraId="1811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vMerge w:val="restart"/>
                  <w:tcBorders>
                    <w:top w:val="single" w:color="auto" w:sz="4" w:space="0"/>
                    <w:left w:val="single" w:color="auto" w:sz="4" w:space="0"/>
                    <w:right w:val="single" w:color="auto" w:sz="4" w:space="0"/>
                    <w:tl2br w:val="nil"/>
                    <w:tr2bl w:val="nil"/>
                  </w:tcBorders>
                  <w:vAlign w:val="center"/>
                </w:tcPr>
                <w:p w14:paraId="51B7D09C">
                  <w:pPr>
                    <w:snapToGrid w:val="0"/>
                    <w:jc w:val="center"/>
                    <w:rPr>
                      <w:color w:val="auto"/>
                      <w:kern w:val="0"/>
                      <w:sz w:val="22"/>
                      <w:szCs w:val="22"/>
                      <w:highlight w:val="none"/>
                    </w:rPr>
                  </w:pPr>
                  <w:r>
                    <w:rPr>
                      <w:rFonts w:hint="eastAsia"/>
                      <w:color w:val="auto"/>
                      <w:kern w:val="0"/>
                      <w:sz w:val="22"/>
                      <w:szCs w:val="22"/>
                      <w:highlight w:val="none"/>
                    </w:rPr>
                    <w:t>废水</w:t>
                  </w:r>
                </w:p>
              </w:tc>
              <w:tc>
                <w:tcPr>
                  <w:tcW w:w="856" w:type="dxa"/>
                  <w:vMerge w:val="restart"/>
                  <w:tcBorders>
                    <w:top w:val="single" w:color="auto" w:sz="4" w:space="0"/>
                    <w:left w:val="single" w:color="auto" w:sz="4" w:space="0"/>
                    <w:right w:val="single" w:color="auto" w:sz="4" w:space="0"/>
                    <w:tl2br w:val="nil"/>
                    <w:tr2bl w:val="nil"/>
                  </w:tcBorders>
                  <w:vAlign w:val="center"/>
                </w:tcPr>
                <w:p w14:paraId="3E713933">
                  <w:pPr>
                    <w:snapToGrid w:val="0"/>
                    <w:jc w:val="center"/>
                    <w:rPr>
                      <w:color w:val="auto"/>
                      <w:kern w:val="0"/>
                      <w:sz w:val="22"/>
                      <w:szCs w:val="22"/>
                      <w:highlight w:val="none"/>
                    </w:rPr>
                  </w:pPr>
                  <w:r>
                    <w:rPr>
                      <w:rFonts w:hint="eastAsia"/>
                      <w:color w:val="auto"/>
                      <w:kern w:val="0"/>
                      <w:sz w:val="22"/>
                      <w:szCs w:val="22"/>
                      <w:highlight w:val="none"/>
                    </w:rPr>
                    <w:t>地面拖洗废水、生活污水</w:t>
                  </w:r>
                </w:p>
              </w:tc>
              <w:tc>
                <w:tcPr>
                  <w:tcW w:w="1447" w:type="dxa"/>
                  <w:tcBorders>
                    <w:top w:val="single" w:color="auto" w:sz="4" w:space="0"/>
                    <w:left w:val="single" w:color="auto" w:sz="4" w:space="0"/>
                    <w:bottom w:val="single" w:color="auto" w:sz="4" w:space="0"/>
                    <w:right w:val="single" w:color="auto" w:sz="4" w:space="0"/>
                    <w:tl2br w:val="nil"/>
                    <w:tr2bl w:val="nil"/>
                  </w:tcBorders>
                  <w:vAlign w:val="center"/>
                </w:tcPr>
                <w:p w14:paraId="51D7BF64">
                  <w:pPr>
                    <w:snapToGrid w:val="0"/>
                    <w:jc w:val="center"/>
                    <w:rPr>
                      <w:color w:val="auto"/>
                      <w:kern w:val="0"/>
                      <w:sz w:val="22"/>
                      <w:szCs w:val="22"/>
                      <w:highlight w:val="none"/>
                    </w:rPr>
                  </w:pPr>
                  <w:r>
                    <w:rPr>
                      <w:rFonts w:hint="eastAsia"/>
                      <w:color w:val="auto"/>
                      <w:kern w:val="0"/>
                      <w:sz w:val="22"/>
                      <w:szCs w:val="22"/>
                      <w:highlight w:val="none"/>
                    </w:rPr>
                    <w:t>废水量</w:t>
                  </w:r>
                </w:p>
              </w:tc>
              <w:tc>
                <w:tcPr>
                  <w:tcW w:w="1174" w:type="dxa"/>
                  <w:tcBorders>
                    <w:top w:val="single" w:color="auto" w:sz="4" w:space="0"/>
                    <w:left w:val="single" w:color="auto" w:sz="4" w:space="0"/>
                    <w:bottom w:val="single" w:color="auto" w:sz="4" w:space="0"/>
                    <w:right w:val="single" w:color="auto" w:sz="4" w:space="0"/>
                    <w:tl2br w:val="nil"/>
                    <w:tr2bl w:val="nil"/>
                  </w:tcBorders>
                  <w:vAlign w:val="center"/>
                </w:tcPr>
                <w:p w14:paraId="4FE80327">
                  <w:pPr>
                    <w:snapToGrid w:val="0"/>
                    <w:jc w:val="center"/>
                    <w:rPr>
                      <w:rFonts w:hint="default" w:eastAsia="宋体"/>
                      <w:color w:val="auto"/>
                      <w:kern w:val="0"/>
                      <w:sz w:val="22"/>
                      <w:szCs w:val="28"/>
                      <w:highlight w:val="none"/>
                      <w:lang w:val="en-US" w:eastAsia="zh-CN"/>
                    </w:rPr>
                  </w:pPr>
                  <w:r>
                    <w:rPr>
                      <w:rFonts w:hint="eastAsia"/>
                      <w:color w:val="auto"/>
                      <w:kern w:val="0"/>
                      <w:sz w:val="22"/>
                      <w:szCs w:val="28"/>
                      <w:highlight w:val="none"/>
                      <w:lang w:val="en-US" w:eastAsia="zh-CN"/>
                    </w:rPr>
                    <w:t>5422</w:t>
                  </w:r>
                </w:p>
              </w:tc>
              <w:tc>
                <w:tcPr>
                  <w:tcW w:w="1358" w:type="dxa"/>
                  <w:tcBorders>
                    <w:top w:val="single" w:color="auto" w:sz="4" w:space="0"/>
                    <w:left w:val="single" w:color="auto" w:sz="4" w:space="0"/>
                    <w:bottom w:val="single" w:color="auto" w:sz="4" w:space="0"/>
                    <w:right w:val="single" w:color="auto" w:sz="4" w:space="0"/>
                    <w:tl2br w:val="nil"/>
                    <w:tr2bl w:val="nil"/>
                  </w:tcBorders>
                  <w:vAlign w:val="center"/>
                </w:tcPr>
                <w:p w14:paraId="60524CC2">
                  <w:pPr>
                    <w:snapToGrid w:val="0"/>
                    <w:jc w:val="center"/>
                    <w:rPr>
                      <w:color w:val="auto"/>
                      <w:kern w:val="0"/>
                      <w:sz w:val="22"/>
                      <w:szCs w:val="28"/>
                      <w:highlight w:val="none"/>
                    </w:rPr>
                  </w:pPr>
                  <w:r>
                    <w:rPr>
                      <w:rFonts w:hint="eastAsia"/>
                      <w:color w:val="auto"/>
                      <w:kern w:val="0"/>
                      <w:sz w:val="22"/>
                      <w:szCs w:val="28"/>
                      <w:highlight w:val="none"/>
                      <w:lang w:val="en-US" w:eastAsia="zh-CN"/>
                    </w:rPr>
                    <w:t>18.07</w:t>
                  </w:r>
                  <w:r>
                    <w:rPr>
                      <w:rFonts w:hint="eastAsia"/>
                      <w:color w:val="auto"/>
                      <w:kern w:val="0"/>
                      <w:sz w:val="22"/>
                      <w:szCs w:val="28"/>
                      <w:highlight w:val="none"/>
                    </w:rPr>
                    <w:t>m³/d</w:t>
                  </w:r>
                </w:p>
              </w:tc>
              <w:tc>
                <w:tcPr>
                  <w:tcW w:w="1881" w:type="dxa"/>
                  <w:vMerge w:val="restart"/>
                  <w:tcBorders>
                    <w:top w:val="single" w:color="auto" w:sz="4" w:space="0"/>
                    <w:left w:val="single" w:color="auto" w:sz="4" w:space="0"/>
                    <w:right w:val="single" w:color="auto" w:sz="4" w:space="0"/>
                    <w:tl2br w:val="nil"/>
                    <w:tr2bl w:val="nil"/>
                  </w:tcBorders>
                  <w:vAlign w:val="center"/>
                </w:tcPr>
                <w:p w14:paraId="66A95A7E">
                  <w:pPr>
                    <w:snapToGrid w:val="0"/>
                    <w:jc w:val="center"/>
                    <w:rPr>
                      <w:color w:val="auto"/>
                      <w:kern w:val="0"/>
                      <w:sz w:val="22"/>
                      <w:szCs w:val="28"/>
                      <w:highlight w:val="none"/>
                    </w:rPr>
                  </w:pPr>
                  <w:r>
                    <w:rPr>
                      <w:rFonts w:hint="eastAsia"/>
                      <w:color w:val="auto"/>
                      <w:kern w:val="0"/>
                      <w:sz w:val="22"/>
                      <w:szCs w:val="28"/>
                      <w:highlight w:val="none"/>
                    </w:rPr>
                    <w:t>间接排放，厂区生化池预处理后进入银翔新城污水处理厂处理达标后排入柏水溪再汇入嘉陵江。</w:t>
                  </w:r>
                </w:p>
              </w:tc>
            </w:tr>
            <w:tr w14:paraId="40A7F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vMerge w:val="continue"/>
                  <w:tcBorders>
                    <w:left w:val="single" w:color="auto" w:sz="4" w:space="0"/>
                    <w:right w:val="single" w:color="auto" w:sz="4" w:space="0"/>
                    <w:tl2br w:val="nil"/>
                    <w:tr2bl w:val="nil"/>
                  </w:tcBorders>
                  <w:vAlign w:val="center"/>
                </w:tcPr>
                <w:p w14:paraId="682231CF">
                  <w:pPr>
                    <w:snapToGrid w:val="0"/>
                    <w:jc w:val="center"/>
                    <w:rPr>
                      <w:color w:val="auto"/>
                      <w:kern w:val="0"/>
                      <w:sz w:val="22"/>
                      <w:szCs w:val="22"/>
                      <w:highlight w:val="none"/>
                    </w:rPr>
                  </w:pPr>
                </w:p>
              </w:tc>
              <w:tc>
                <w:tcPr>
                  <w:tcW w:w="856" w:type="dxa"/>
                  <w:vMerge w:val="continue"/>
                  <w:tcBorders>
                    <w:left w:val="single" w:color="auto" w:sz="4" w:space="0"/>
                    <w:right w:val="single" w:color="auto" w:sz="4" w:space="0"/>
                    <w:tl2br w:val="nil"/>
                    <w:tr2bl w:val="nil"/>
                  </w:tcBorders>
                  <w:vAlign w:val="center"/>
                </w:tcPr>
                <w:p w14:paraId="527562F8">
                  <w:pPr>
                    <w:snapToGrid w:val="0"/>
                    <w:jc w:val="center"/>
                    <w:rPr>
                      <w:color w:val="auto"/>
                      <w:kern w:val="0"/>
                      <w:sz w:val="22"/>
                      <w:szCs w:val="22"/>
                      <w:highlight w:val="none"/>
                    </w:rPr>
                  </w:pPr>
                </w:p>
              </w:tc>
              <w:tc>
                <w:tcPr>
                  <w:tcW w:w="1447" w:type="dxa"/>
                  <w:tcBorders>
                    <w:top w:val="single" w:color="auto" w:sz="4" w:space="0"/>
                    <w:left w:val="single" w:color="auto" w:sz="4" w:space="0"/>
                    <w:bottom w:val="single" w:color="auto" w:sz="4" w:space="0"/>
                    <w:right w:val="single" w:color="auto" w:sz="4" w:space="0"/>
                    <w:tl2br w:val="nil"/>
                    <w:tr2bl w:val="nil"/>
                  </w:tcBorders>
                  <w:vAlign w:val="center"/>
                </w:tcPr>
                <w:p w14:paraId="63AA1A4B">
                  <w:pPr>
                    <w:snapToGrid w:val="0"/>
                    <w:jc w:val="center"/>
                    <w:rPr>
                      <w:color w:val="auto"/>
                      <w:kern w:val="0"/>
                      <w:sz w:val="22"/>
                      <w:szCs w:val="22"/>
                      <w:highlight w:val="none"/>
                    </w:rPr>
                  </w:pPr>
                  <w:r>
                    <w:rPr>
                      <w:rFonts w:hint="eastAsia"/>
                      <w:color w:val="auto"/>
                      <w:kern w:val="0"/>
                      <w:sz w:val="22"/>
                      <w:szCs w:val="22"/>
                      <w:highlight w:val="none"/>
                    </w:rPr>
                    <w:t>pH</w:t>
                  </w:r>
                </w:p>
              </w:tc>
              <w:tc>
                <w:tcPr>
                  <w:tcW w:w="1174" w:type="dxa"/>
                  <w:tcBorders>
                    <w:top w:val="single" w:color="auto" w:sz="4" w:space="0"/>
                    <w:left w:val="single" w:color="auto" w:sz="4" w:space="0"/>
                    <w:bottom w:val="single" w:color="auto" w:sz="4" w:space="0"/>
                    <w:right w:val="single" w:color="auto" w:sz="4" w:space="0"/>
                    <w:tl2br w:val="nil"/>
                    <w:tr2bl w:val="nil"/>
                  </w:tcBorders>
                  <w:vAlign w:val="center"/>
                </w:tcPr>
                <w:p w14:paraId="5B38070B">
                  <w:pPr>
                    <w:snapToGrid w:val="0"/>
                    <w:jc w:val="center"/>
                    <w:rPr>
                      <w:color w:val="auto"/>
                      <w:kern w:val="0"/>
                      <w:sz w:val="22"/>
                      <w:szCs w:val="28"/>
                      <w:highlight w:val="none"/>
                    </w:rPr>
                  </w:pPr>
                  <w:r>
                    <w:rPr>
                      <w:rFonts w:hint="eastAsia"/>
                      <w:color w:val="auto"/>
                      <w:kern w:val="0"/>
                      <w:sz w:val="22"/>
                      <w:szCs w:val="28"/>
                      <w:highlight w:val="none"/>
                    </w:rPr>
                    <w:t>/</w:t>
                  </w:r>
                </w:p>
              </w:tc>
              <w:tc>
                <w:tcPr>
                  <w:tcW w:w="1358" w:type="dxa"/>
                  <w:tcBorders>
                    <w:top w:val="single" w:color="auto" w:sz="4" w:space="0"/>
                    <w:left w:val="single" w:color="auto" w:sz="4" w:space="0"/>
                    <w:bottom w:val="single" w:color="auto" w:sz="4" w:space="0"/>
                    <w:right w:val="single" w:color="auto" w:sz="4" w:space="0"/>
                    <w:tl2br w:val="nil"/>
                    <w:tr2bl w:val="nil"/>
                  </w:tcBorders>
                  <w:vAlign w:val="center"/>
                </w:tcPr>
                <w:p w14:paraId="5C5327D3">
                  <w:pPr>
                    <w:snapToGrid w:val="0"/>
                    <w:jc w:val="center"/>
                    <w:rPr>
                      <w:color w:val="auto"/>
                      <w:kern w:val="0"/>
                      <w:sz w:val="22"/>
                      <w:szCs w:val="28"/>
                      <w:highlight w:val="none"/>
                    </w:rPr>
                  </w:pPr>
                  <w:r>
                    <w:rPr>
                      <w:rFonts w:hint="eastAsia"/>
                      <w:color w:val="auto"/>
                      <w:kern w:val="0"/>
                      <w:sz w:val="22"/>
                      <w:szCs w:val="28"/>
                      <w:highlight w:val="none"/>
                    </w:rPr>
                    <w:t>/</w:t>
                  </w:r>
                </w:p>
              </w:tc>
              <w:tc>
                <w:tcPr>
                  <w:tcW w:w="1881" w:type="dxa"/>
                  <w:vMerge w:val="continue"/>
                  <w:tcBorders>
                    <w:left w:val="single" w:color="auto" w:sz="4" w:space="0"/>
                    <w:right w:val="single" w:color="auto" w:sz="4" w:space="0"/>
                    <w:tl2br w:val="nil"/>
                    <w:tr2bl w:val="nil"/>
                  </w:tcBorders>
                  <w:vAlign w:val="center"/>
                </w:tcPr>
                <w:p w14:paraId="4E3E72BC">
                  <w:pPr>
                    <w:snapToGrid w:val="0"/>
                    <w:jc w:val="center"/>
                    <w:rPr>
                      <w:color w:val="auto"/>
                      <w:kern w:val="0"/>
                      <w:sz w:val="22"/>
                      <w:szCs w:val="28"/>
                      <w:highlight w:val="none"/>
                    </w:rPr>
                  </w:pPr>
                </w:p>
              </w:tc>
            </w:tr>
            <w:tr w14:paraId="194C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0" w:type="dxa"/>
                  <w:vMerge w:val="continue"/>
                  <w:tcBorders>
                    <w:left w:val="single" w:color="auto" w:sz="4" w:space="0"/>
                    <w:right w:val="single" w:color="auto" w:sz="4" w:space="0"/>
                    <w:tl2br w:val="nil"/>
                    <w:tr2bl w:val="nil"/>
                  </w:tcBorders>
                  <w:vAlign w:val="center"/>
                </w:tcPr>
                <w:p w14:paraId="3FED7480">
                  <w:pPr>
                    <w:snapToGrid w:val="0"/>
                    <w:jc w:val="center"/>
                    <w:rPr>
                      <w:color w:val="auto"/>
                      <w:kern w:val="0"/>
                      <w:sz w:val="22"/>
                      <w:szCs w:val="22"/>
                      <w:highlight w:val="none"/>
                    </w:rPr>
                  </w:pPr>
                </w:p>
              </w:tc>
              <w:tc>
                <w:tcPr>
                  <w:tcW w:w="856" w:type="dxa"/>
                  <w:vMerge w:val="continue"/>
                  <w:tcBorders>
                    <w:left w:val="single" w:color="auto" w:sz="4" w:space="0"/>
                    <w:right w:val="single" w:color="auto" w:sz="4" w:space="0"/>
                    <w:tl2br w:val="nil"/>
                    <w:tr2bl w:val="nil"/>
                  </w:tcBorders>
                  <w:vAlign w:val="center"/>
                </w:tcPr>
                <w:p w14:paraId="265D3B7C">
                  <w:pPr>
                    <w:snapToGrid w:val="0"/>
                    <w:jc w:val="center"/>
                    <w:rPr>
                      <w:color w:val="auto"/>
                      <w:kern w:val="0"/>
                      <w:sz w:val="22"/>
                      <w:szCs w:val="22"/>
                      <w:highlight w:val="none"/>
                    </w:rPr>
                  </w:pPr>
                </w:p>
              </w:tc>
              <w:tc>
                <w:tcPr>
                  <w:tcW w:w="1447" w:type="dxa"/>
                  <w:tcBorders>
                    <w:top w:val="single" w:color="auto" w:sz="4" w:space="0"/>
                    <w:left w:val="single" w:color="auto" w:sz="4" w:space="0"/>
                    <w:bottom w:val="single" w:color="auto" w:sz="4" w:space="0"/>
                    <w:right w:val="single" w:color="auto" w:sz="4" w:space="0"/>
                    <w:tl2br w:val="nil"/>
                    <w:tr2bl w:val="nil"/>
                  </w:tcBorders>
                  <w:vAlign w:val="center"/>
                </w:tcPr>
                <w:p w14:paraId="050D0043">
                  <w:pPr>
                    <w:snapToGrid w:val="0"/>
                    <w:jc w:val="center"/>
                    <w:rPr>
                      <w:color w:val="auto"/>
                      <w:kern w:val="0"/>
                      <w:sz w:val="22"/>
                      <w:szCs w:val="22"/>
                      <w:highlight w:val="none"/>
                    </w:rPr>
                  </w:pPr>
                  <w:r>
                    <w:rPr>
                      <w:rFonts w:hint="eastAsia"/>
                      <w:color w:val="auto"/>
                      <w:kern w:val="0"/>
                      <w:sz w:val="22"/>
                      <w:szCs w:val="22"/>
                      <w:highlight w:val="none"/>
                    </w:rPr>
                    <w:t>COD</w:t>
                  </w:r>
                </w:p>
              </w:tc>
              <w:tc>
                <w:tcPr>
                  <w:tcW w:w="1174" w:type="dxa"/>
                  <w:tcBorders>
                    <w:top w:val="single" w:color="auto" w:sz="4" w:space="0"/>
                    <w:left w:val="single" w:color="auto" w:sz="4" w:space="0"/>
                    <w:bottom w:val="single" w:color="auto" w:sz="4" w:space="0"/>
                    <w:right w:val="single" w:color="auto" w:sz="4" w:space="0"/>
                    <w:tl2br w:val="nil"/>
                    <w:tr2bl w:val="nil"/>
                  </w:tcBorders>
                  <w:vAlign w:val="center"/>
                </w:tcPr>
                <w:p w14:paraId="052EDCEC">
                  <w:pPr>
                    <w:snapToGrid w:val="0"/>
                    <w:jc w:val="center"/>
                    <w:rPr>
                      <w:rFonts w:hint="default" w:eastAsia="宋体"/>
                      <w:color w:val="auto"/>
                      <w:kern w:val="0"/>
                      <w:sz w:val="22"/>
                      <w:szCs w:val="22"/>
                      <w:highlight w:val="none"/>
                      <w:lang w:val="en-US" w:eastAsia="zh-CN"/>
                    </w:rPr>
                  </w:pPr>
                  <w:r>
                    <w:rPr>
                      <w:rFonts w:hint="eastAsia"/>
                      <w:color w:val="auto"/>
                      <w:kern w:val="0"/>
                      <w:sz w:val="22"/>
                      <w:szCs w:val="22"/>
                      <w:highlight w:val="none"/>
                      <w:lang w:val="en-US" w:eastAsia="zh-CN"/>
                    </w:rPr>
                    <w:t>2.711（0.271）</w:t>
                  </w:r>
                </w:p>
              </w:tc>
              <w:tc>
                <w:tcPr>
                  <w:tcW w:w="1358" w:type="dxa"/>
                  <w:tcBorders>
                    <w:top w:val="single" w:color="auto" w:sz="4" w:space="0"/>
                    <w:left w:val="single" w:color="auto" w:sz="4" w:space="0"/>
                    <w:bottom w:val="single" w:color="auto" w:sz="4" w:space="0"/>
                    <w:right w:val="single" w:color="auto" w:sz="4" w:space="0"/>
                    <w:tl2br w:val="nil"/>
                    <w:tr2bl w:val="nil"/>
                  </w:tcBorders>
                  <w:vAlign w:val="center"/>
                </w:tcPr>
                <w:p w14:paraId="5696E20F">
                  <w:pPr>
                    <w:snapToGrid w:val="0"/>
                    <w:jc w:val="center"/>
                    <w:rPr>
                      <w:color w:val="auto"/>
                      <w:kern w:val="0"/>
                      <w:sz w:val="22"/>
                      <w:szCs w:val="22"/>
                      <w:highlight w:val="none"/>
                    </w:rPr>
                  </w:pPr>
                  <w:r>
                    <w:rPr>
                      <w:rFonts w:hint="eastAsia"/>
                      <w:color w:val="auto"/>
                      <w:kern w:val="0"/>
                      <w:sz w:val="22"/>
                      <w:szCs w:val="22"/>
                      <w:highlight w:val="none"/>
                    </w:rPr>
                    <w:t>/</w:t>
                  </w:r>
                </w:p>
              </w:tc>
              <w:tc>
                <w:tcPr>
                  <w:tcW w:w="1881" w:type="dxa"/>
                  <w:vMerge w:val="continue"/>
                  <w:tcBorders>
                    <w:left w:val="single" w:color="auto" w:sz="4" w:space="0"/>
                    <w:right w:val="single" w:color="auto" w:sz="4" w:space="0"/>
                    <w:tl2br w:val="nil"/>
                    <w:tr2bl w:val="nil"/>
                  </w:tcBorders>
                  <w:vAlign w:val="center"/>
                </w:tcPr>
                <w:p w14:paraId="075A815E">
                  <w:pPr>
                    <w:snapToGrid w:val="0"/>
                    <w:jc w:val="center"/>
                    <w:rPr>
                      <w:color w:val="auto"/>
                      <w:kern w:val="0"/>
                      <w:sz w:val="22"/>
                      <w:szCs w:val="22"/>
                      <w:highlight w:val="none"/>
                    </w:rPr>
                  </w:pPr>
                </w:p>
              </w:tc>
            </w:tr>
            <w:tr w14:paraId="633C7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vMerge w:val="continue"/>
                  <w:tcBorders>
                    <w:left w:val="single" w:color="auto" w:sz="4" w:space="0"/>
                    <w:right w:val="single" w:color="auto" w:sz="4" w:space="0"/>
                    <w:tl2br w:val="nil"/>
                    <w:tr2bl w:val="nil"/>
                  </w:tcBorders>
                  <w:vAlign w:val="center"/>
                </w:tcPr>
                <w:p w14:paraId="18FFC61A">
                  <w:pPr>
                    <w:snapToGrid w:val="0"/>
                    <w:jc w:val="center"/>
                    <w:rPr>
                      <w:color w:val="auto"/>
                      <w:kern w:val="0"/>
                      <w:sz w:val="22"/>
                      <w:szCs w:val="22"/>
                      <w:highlight w:val="none"/>
                    </w:rPr>
                  </w:pPr>
                </w:p>
              </w:tc>
              <w:tc>
                <w:tcPr>
                  <w:tcW w:w="856" w:type="dxa"/>
                  <w:vMerge w:val="continue"/>
                  <w:tcBorders>
                    <w:left w:val="single" w:color="auto" w:sz="4" w:space="0"/>
                    <w:right w:val="single" w:color="auto" w:sz="4" w:space="0"/>
                    <w:tl2br w:val="nil"/>
                    <w:tr2bl w:val="nil"/>
                  </w:tcBorders>
                  <w:vAlign w:val="center"/>
                </w:tcPr>
                <w:p w14:paraId="1C27610E">
                  <w:pPr>
                    <w:snapToGrid w:val="0"/>
                    <w:jc w:val="center"/>
                    <w:rPr>
                      <w:color w:val="auto"/>
                      <w:kern w:val="0"/>
                      <w:sz w:val="22"/>
                      <w:szCs w:val="22"/>
                      <w:highlight w:val="none"/>
                    </w:rPr>
                  </w:pPr>
                </w:p>
              </w:tc>
              <w:tc>
                <w:tcPr>
                  <w:tcW w:w="1447" w:type="dxa"/>
                  <w:tcBorders>
                    <w:top w:val="single" w:color="auto" w:sz="4" w:space="0"/>
                    <w:left w:val="single" w:color="auto" w:sz="4" w:space="0"/>
                    <w:bottom w:val="single" w:color="auto" w:sz="4" w:space="0"/>
                    <w:right w:val="single" w:color="auto" w:sz="4" w:space="0"/>
                    <w:tl2br w:val="nil"/>
                    <w:tr2bl w:val="nil"/>
                  </w:tcBorders>
                  <w:vAlign w:val="center"/>
                </w:tcPr>
                <w:p w14:paraId="171168F1">
                  <w:pPr>
                    <w:snapToGrid w:val="0"/>
                    <w:jc w:val="center"/>
                    <w:rPr>
                      <w:color w:val="auto"/>
                      <w:kern w:val="0"/>
                      <w:sz w:val="22"/>
                      <w:szCs w:val="22"/>
                      <w:highlight w:val="none"/>
                    </w:rPr>
                  </w:pPr>
                  <w:r>
                    <w:rPr>
                      <w:rFonts w:hint="eastAsia"/>
                      <w:color w:val="auto"/>
                      <w:kern w:val="0"/>
                      <w:sz w:val="22"/>
                      <w:szCs w:val="22"/>
                      <w:highlight w:val="none"/>
                    </w:rPr>
                    <w:t>NH</w:t>
                  </w:r>
                  <w:r>
                    <w:rPr>
                      <w:rFonts w:hint="eastAsia"/>
                      <w:color w:val="auto"/>
                      <w:kern w:val="0"/>
                      <w:sz w:val="22"/>
                      <w:szCs w:val="22"/>
                      <w:highlight w:val="none"/>
                      <w:vertAlign w:val="subscript"/>
                    </w:rPr>
                    <w:t>3</w:t>
                  </w:r>
                  <w:r>
                    <w:rPr>
                      <w:rFonts w:hint="eastAsia"/>
                      <w:color w:val="auto"/>
                      <w:kern w:val="0"/>
                      <w:sz w:val="22"/>
                      <w:szCs w:val="22"/>
                      <w:highlight w:val="none"/>
                    </w:rPr>
                    <w:t>-N</w:t>
                  </w:r>
                </w:p>
              </w:tc>
              <w:tc>
                <w:tcPr>
                  <w:tcW w:w="1174" w:type="dxa"/>
                  <w:tcBorders>
                    <w:top w:val="single" w:color="auto" w:sz="4" w:space="0"/>
                    <w:left w:val="single" w:color="auto" w:sz="4" w:space="0"/>
                    <w:bottom w:val="single" w:color="auto" w:sz="4" w:space="0"/>
                    <w:right w:val="single" w:color="auto" w:sz="4" w:space="0"/>
                    <w:tl2br w:val="nil"/>
                    <w:tr2bl w:val="nil"/>
                  </w:tcBorders>
                  <w:vAlign w:val="center"/>
                </w:tcPr>
                <w:p w14:paraId="0A8CE287">
                  <w:pPr>
                    <w:snapToGrid w:val="0"/>
                    <w:jc w:val="center"/>
                    <w:rPr>
                      <w:rFonts w:hint="default" w:eastAsia="宋体"/>
                      <w:color w:val="auto"/>
                      <w:kern w:val="0"/>
                      <w:sz w:val="22"/>
                      <w:szCs w:val="22"/>
                      <w:highlight w:val="none"/>
                      <w:lang w:val="en-US" w:eastAsia="zh-CN"/>
                    </w:rPr>
                  </w:pPr>
                  <w:r>
                    <w:rPr>
                      <w:rFonts w:hint="eastAsia"/>
                      <w:color w:val="auto"/>
                      <w:kern w:val="0"/>
                      <w:sz w:val="22"/>
                      <w:szCs w:val="22"/>
                      <w:highlight w:val="none"/>
                      <w:lang w:val="en-US" w:eastAsia="zh-CN"/>
                    </w:rPr>
                    <w:t>0.244（0.027）</w:t>
                  </w:r>
                </w:p>
              </w:tc>
              <w:tc>
                <w:tcPr>
                  <w:tcW w:w="1358" w:type="dxa"/>
                  <w:tcBorders>
                    <w:top w:val="single" w:color="auto" w:sz="4" w:space="0"/>
                    <w:left w:val="single" w:color="auto" w:sz="4" w:space="0"/>
                    <w:bottom w:val="single" w:color="auto" w:sz="4" w:space="0"/>
                    <w:right w:val="single" w:color="auto" w:sz="4" w:space="0"/>
                    <w:tl2br w:val="nil"/>
                    <w:tr2bl w:val="nil"/>
                  </w:tcBorders>
                  <w:vAlign w:val="center"/>
                </w:tcPr>
                <w:p w14:paraId="430BED4E">
                  <w:pPr>
                    <w:snapToGrid w:val="0"/>
                    <w:jc w:val="center"/>
                    <w:rPr>
                      <w:color w:val="auto"/>
                      <w:kern w:val="0"/>
                      <w:sz w:val="22"/>
                      <w:szCs w:val="22"/>
                      <w:highlight w:val="none"/>
                    </w:rPr>
                  </w:pPr>
                  <w:r>
                    <w:rPr>
                      <w:rFonts w:hint="eastAsia"/>
                      <w:color w:val="auto"/>
                      <w:kern w:val="0"/>
                      <w:sz w:val="22"/>
                      <w:szCs w:val="22"/>
                      <w:highlight w:val="none"/>
                    </w:rPr>
                    <w:t>/</w:t>
                  </w:r>
                </w:p>
              </w:tc>
              <w:tc>
                <w:tcPr>
                  <w:tcW w:w="1881" w:type="dxa"/>
                  <w:vMerge w:val="continue"/>
                  <w:tcBorders>
                    <w:left w:val="single" w:color="auto" w:sz="4" w:space="0"/>
                    <w:right w:val="single" w:color="auto" w:sz="4" w:space="0"/>
                    <w:tl2br w:val="nil"/>
                    <w:tr2bl w:val="nil"/>
                  </w:tcBorders>
                  <w:vAlign w:val="center"/>
                </w:tcPr>
                <w:p w14:paraId="0069BDF0">
                  <w:pPr>
                    <w:snapToGrid w:val="0"/>
                    <w:jc w:val="center"/>
                    <w:rPr>
                      <w:color w:val="auto"/>
                      <w:kern w:val="0"/>
                      <w:sz w:val="22"/>
                      <w:szCs w:val="22"/>
                      <w:highlight w:val="none"/>
                    </w:rPr>
                  </w:pPr>
                </w:p>
              </w:tc>
            </w:tr>
            <w:tr w14:paraId="715F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vMerge w:val="continue"/>
                  <w:tcBorders>
                    <w:left w:val="single" w:color="auto" w:sz="4" w:space="0"/>
                    <w:right w:val="single" w:color="auto" w:sz="4" w:space="0"/>
                    <w:tl2br w:val="nil"/>
                    <w:tr2bl w:val="nil"/>
                  </w:tcBorders>
                  <w:vAlign w:val="center"/>
                </w:tcPr>
                <w:p w14:paraId="6249298E">
                  <w:pPr>
                    <w:snapToGrid w:val="0"/>
                    <w:jc w:val="center"/>
                    <w:rPr>
                      <w:color w:val="auto"/>
                      <w:kern w:val="0"/>
                      <w:sz w:val="22"/>
                      <w:szCs w:val="22"/>
                      <w:highlight w:val="none"/>
                    </w:rPr>
                  </w:pPr>
                </w:p>
              </w:tc>
              <w:tc>
                <w:tcPr>
                  <w:tcW w:w="856" w:type="dxa"/>
                  <w:vMerge w:val="continue"/>
                  <w:tcBorders>
                    <w:left w:val="single" w:color="auto" w:sz="4" w:space="0"/>
                    <w:right w:val="single" w:color="auto" w:sz="4" w:space="0"/>
                    <w:tl2br w:val="nil"/>
                    <w:tr2bl w:val="nil"/>
                  </w:tcBorders>
                  <w:vAlign w:val="center"/>
                </w:tcPr>
                <w:p w14:paraId="747AE91C">
                  <w:pPr>
                    <w:snapToGrid w:val="0"/>
                    <w:jc w:val="center"/>
                    <w:rPr>
                      <w:color w:val="auto"/>
                      <w:kern w:val="0"/>
                      <w:sz w:val="22"/>
                      <w:szCs w:val="22"/>
                      <w:highlight w:val="none"/>
                    </w:rPr>
                  </w:pPr>
                </w:p>
              </w:tc>
              <w:tc>
                <w:tcPr>
                  <w:tcW w:w="1447" w:type="dxa"/>
                  <w:tcBorders>
                    <w:top w:val="single" w:color="auto" w:sz="4" w:space="0"/>
                    <w:left w:val="single" w:color="auto" w:sz="4" w:space="0"/>
                    <w:bottom w:val="single" w:color="auto" w:sz="4" w:space="0"/>
                    <w:right w:val="single" w:color="auto" w:sz="4" w:space="0"/>
                    <w:tl2br w:val="nil"/>
                    <w:tr2bl w:val="nil"/>
                  </w:tcBorders>
                  <w:vAlign w:val="center"/>
                </w:tcPr>
                <w:p w14:paraId="0EFCB0C3">
                  <w:pPr>
                    <w:snapToGrid w:val="0"/>
                    <w:jc w:val="center"/>
                    <w:rPr>
                      <w:color w:val="auto"/>
                      <w:kern w:val="0"/>
                      <w:sz w:val="22"/>
                      <w:szCs w:val="22"/>
                      <w:highlight w:val="none"/>
                    </w:rPr>
                  </w:pPr>
                  <w:r>
                    <w:rPr>
                      <w:rFonts w:hint="eastAsia"/>
                      <w:color w:val="auto"/>
                      <w:kern w:val="0"/>
                      <w:sz w:val="22"/>
                      <w:szCs w:val="22"/>
                      <w:highlight w:val="none"/>
                    </w:rPr>
                    <w:t>SS</w:t>
                  </w:r>
                </w:p>
              </w:tc>
              <w:tc>
                <w:tcPr>
                  <w:tcW w:w="1174" w:type="dxa"/>
                  <w:tcBorders>
                    <w:top w:val="single" w:color="auto" w:sz="4" w:space="0"/>
                    <w:left w:val="single" w:color="auto" w:sz="4" w:space="0"/>
                    <w:bottom w:val="single" w:color="auto" w:sz="4" w:space="0"/>
                    <w:right w:val="single" w:color="auto" w:sz="4" w:space="0"/>
                    <w:tl2br w:val="nil"/>
                    <w:tr2bl w:val="nil"/>
                  </w:tcBorders>
                  <w:vAlign w:val="center"/>
                </w:tcPr>
                <w:p w14:paraId="29720F49">
                  <w:pPr>
                    <w:snapToGrid w:val="0"/>
                    <w:jc w:val="center"/>
                    <w:rPr>
                      <w:rFonts w:hint="default" w:eastAsia="宋体"/>
                      <w:color w:val="auto"/>
                      <w:kern w:val="0"/>
                      <w:sz w:val="22"/>
                      <w:szCs w:val="22"/>
                      <w:highlight w:val="none"/>
                      <w:lang w:val="en-US" w:eastAsia="zh-CN"/>
                    </w:rPr>
                  </w:pPr>
                  <w:r>
                    <w:rPr>
                      <w:rFonts w:hint="eastAsia"/>
                      <w:color w:val="auto"/>
                      <w:kern w:val="0"/>
                      <w:sz w:val="22"/>
                      <w:szCs w:val="22"/>
                      <w:highlight w:val="none"/>
                      <w:lang w:val="en-US" w:eastAsia="zh-CN"/>
                    </w:rPr>
                    <w:t>2.169（0.054）</w:t>
                  </w:r>
                </w:p>
              </w:tc>
              <w:tc>
                <w:tcPr>
                  <w:tcW w:w="1358" w:type="dxa"/>
                  <w:tcBorders>
                    <w:top w:val="single" w:color="auto" w:sz="4" w:space="0"/>
                    <w:left w:val="single" w:color="auto" w:sz="4" w:space="0"/>
                    <w:bottom w:val="single" w:color="auto" w:sz="4" w:space="0"/>
                    <w:right w:val="single" w:color="auto" w:sz="4" w:space="0"/>
                    <w:tl2br w:val="nil"/>
                    <w:tr2bl w:val="nil"/>
                  </w:tcBorders>
                  <w:vAlign w:val="center"/>
                </w:tcPr>
                <w:p w14:paraId="10FD855C">
                  <w:pPr>
                    <w:snapToGrid w:val="0"/>
                    <w:jc w:val="center"/>
                    <w:rPr>
                      <w:color w:val="auto"/>
                      <w:kern w:val="0"/>
                      <w:sz w:val="22"/>
                      <w:szCs w:val="22"/>
                      <w:highlight w:val="none"/>
                    </w:rPr>
                  </w:pPr>
                  <w:r>
                    <w:rPr>
                      <w:rFonts w:hint="eastAsia"/>
                      <w:color w:val="auto"/>
                      <w:kern w:val="0"/>
                      <w:sz w:val="22"/>
                      <w:szCs w:val="22"/>
                      <w:highlight w:val="none"/>
                    </w:rPr>
                    <w:t>/</w:t>
                  </w:r>
                </w:p>
              </w:tc>
              <w:tc>
                <w:tcPr>
                  <w:tcW w:w="1881" w:type="dxa"/>
                  <w:vMerge w:val="continue"/>
                  <w:tcBorders>
                    <w:left w:val="single" w:color="auto" w:sz="4" w:space="0"/>
                    <w:right w:val="single" w:color="auto" w:sz="4" w:space="0"/>
                    <w:tl2br w:val="nil"/>
                    <w:tr2bl w:val="nil"/>
                  </w:tcBorders>
                  <w:vAlign w:val="center"/>
                </w:tcPr>
                <w:p w14:paraId="53F0A6D8">
                  <w:pPr>
                    <w:snapToGrid w:val="0"/>
                    <w:jc w:val="center"/>
                    <w:rPr>
                      <w:color w:val="auto"/>
                      <w:kern w:val="0"/>
                      <w:sz w:val="22"/>
                      <w:szCs w:val="22"/>
                      <w:highlight w:val="none"/>
                    </w:rPr>
                  </w:pPr>
                </w:p>
              </w:tc>
            </w:tr>
            <w:tr w14:paraId="4A77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vMerge w:val="continue"/>
                  <w:tcBorders>
                    <w:left w:val="single" w:color="auto" w:sz="4" w:space="0"/>
                    <w:bottom w:val="single" w:color="auto" w:sz="4" w:space="0"/>
                    <w:right w:val="single" w:color="auto" w:sz="4" w:space="0"/>
                    <w:tl2br w:val="nil"/>
                    <w:tr2bl w:val="nil"/>
                  </w:tcBorders>
                  <w:vAlign w:val="center"/>
                </w:tcPr>
                <w:p w14:paraId="5946015D">
                  <w:pPr>
                    <w:snapToGrid w:val="0"/>
                    <w:jc w:val="center"/>
                    <w:rPr>
                      <w:color w:val="auto"/>
                      <w:kern w:val="0"/>
                      <w:sz w:val="22"/>
                      <w:szCs w:val="22"/>
                      <w:highlight w:val="none"/>
                    </w:rPr>
                  </w:pPr>
                </w:p>
              </w:tc>
              <w:tc>
                <w:tcPr>
                  <w:tcW w:w="856" w:type="dxa"/>
                  <w:vMerge w:val="continue"/>
                  <w:tcBorders>
                    <w:left w:val="single" w:color="auto" w:sz="4" w:space="0"/>
                    <w:bottom w:val="single" w:color="auto" w:sz="4" w:space="0"/>
                    <w:right w:val="single" w:color="auto" w:sz="4" w:space="0"/>
                    <w:tl2br w:val="nil"/>
                    <w:tr2bl w:val="nil"/>
                  </w:tcBorders>
                  <w:vAlign w:val="center"/>
                </w:tcPr>
                <w:p w14:paraId="14FD4453">
                  <w:pPr>
                    <w:snapToGrid w:val="0"/>
                    <w:jc w:val="center"/>
                    <w:rPr>
                      <w:color w:val="auto"/>
                      <w:kern w:val="0"/>
                      <w:sz w:val="22"/>
                      <w:szCs w:val="22"/>
                      <w:highlight w:val="none"/>
                    </w:rPr>
                  </w:pPr>
                </w:p>
              </w:tc>
              <w:tc>
                <w:tcPr>
                  <w:tcW w:w="1447" w:type="dxa"/>
                  <w:tcBorders>
                    <w:top w:val="single" w:color="auto" w:sz="4" w:space="0"/>
                    <w:left w:val="single" w:color="auto" w:sz="4" w:space="0"/>
                    <w:bottom w:val="single" w:color="auto" w:sz="4" w:space="0"/>
                    <w:right w:val="single" w:color="auto" w:sz="4" w:space="0"/>
                    <w:tl2br w:val="nil"/>
                    <w:tr2bl w:val="nil"/>
                  </w:tcBorders>
                  <w:vAlign w:val="center"/>
                </w:tcPr>
                <w:p w14:paraId="1FFB1550">
                  <w:pPr>
                    <w:snapToGrid w:val="0"/>
                    <w:jc w:val="center"/>
                    <w:rPr>
                      <w:color w:val="auto"/>
                      <w:kern w:val="0"/>
                      <w:sz w:val="22"/>
                      <w:szCs w:val="22"/>
                      <w:highlight w:val="none"/>
                    </w:rPr>
                  </w:pPr>
                  <w:r>
                    <w:rPr>
                      <w:rFonts w:hint="eastAsia"/>
                      <w:color w:val="auto"/>
                      <w:kern w:val="0"/>
                      <w:sz w:val="22"/>
                      <w:szCs w:val="22"/>
                      <w:highlight w:val="none"/>
                    </w:rPr>
                    <w:t>石油类</w:t>
                  </w:r>
                </w:p>
              </w:tc>
              <w:tc>
                <w:tcPr>
                  <w:tcW w:w="1174" w:type="dxa"/>
                  <w:tcBorders>
                    <w:top w:val="single" w:color="auto" w:sz="4" w:space="0"/>
                    <w:left w:val="single" w:color="auto" w:sz="4" w:space="0"/>
                    <w:bottom w:val="single" w:color="auto" w:sz="4" w:space="0"/>
                    <w:right w:val="single" w:color="auto" w:sz="4" w:space="0"/>
                    <w:tl2br w:val="nil"/>
                    <w:tr2bl w:val="nil"/>
                  </w:tcBorders>
                  <w:vAlign w:val="center"/>
                </w:tcPr>
                <w:p w14:paraId="3447D6C7">
                  <w:pPr>
                    <w:snapToGrid w:val="0"/>
                    <w:jc w:val="center"/>
                    <w:rPr>
                      <w:rFonts w:hint="default" w:eastAsia="宋体"/>
                      <w:color w:val="auto"/>
                      <w:kern w:val="0"/>
                      <w:sz w:val="22"/>
                      <w:szCs w:val="22"/>
                      <w:highlight w:val="none"/>
                      <w:lang w:val="en-US" w:eastAsia="zh-CN"/>
                    </w:rPr>
                  </w:pPr>
                  <w:r>
                    <w:rPr>
                      <w:rFonts w:hint="eastAsia"/>
                      <w:color w:val="auto"/>
                      <w:kern w:val="0"/>
                      <w:sz w:val="22"/>
                      <w:szCs w:val="22"/>
                      <w:highlight w:val="none"/>
                      <w:lang w:val="en-US" w:eastAsia="zh-CN"/>
                    </w:rPr>
                    <w:t>0.04（0.001）</w:t>
                  </w:r>
                </w:p>
              </w:tc>
              <w:tc>
                <w:tcPr>
                  <w:tcW w:w="1358" w:type="dxa"/>
                  <w:tcBorders>
                    <w:top w:val="single" w:color="auto" w:sz="4" w:space="0"/>
                    <w:left w:val="single" w:color="auto" w:sz="4" w:space="0"/>
                    <w:bottom w:val="single" w:color="auto" w:sz="4" w:space="0"/>
                    <w:right w:val="single" w:color="auto" w:sz="4" w:space="0"/>
                    <w:tl2br w:val="nil"/>
                    <w:tr2bl w:val="nil"/>
                  </w:tcBorders>
                  <w:vAlign w:val="center"/>
                </w:tcPr>
                <w:p w14:paraId="7F4FEFEE">
                  <w:pPr>
                    <w:snapToGrid w:val="0"/>
                    <w:jc w:val="center"/>
                    <w:rPr>
                      <w:color w:val="auto"/>
                      <w:kern w:val="0"/>
                      <w:sz w:val="22"/>
                      <w:szCs w:val="22"/>
                      <w:highlight w:val="none"/>
                    </w:rPr>
                  </w:pPr>
                  <w:r>
                    <w:rPr>
                      <w:rFonts w:hint="eastAsia"/>
                      <w:color w:val="auto"/>
                      <w:kern w:val="0"/>
                      <w:sz w:val="22"/>
                      <w:szCs w:val="22"/>
                      <w:highlight w:val="none"/>
                    </w:rPr>
                    <w:t>/</w:t>
                  </w:r>
                </w:p>
              </w:tc>
              <w:tc>
                <w:tcPr>
                  <w:tcW w:w="1881" w:type="dxa"/>
                  <w:vMerge w:val="continue"/>
                  <w:tcBorders>
                    <w:left w:val="single" w:color="auto" w:sz="4" w:space="0"/>
                    <w:bottom w:val="single" w:color="auto" w:sz="4" w:space="0"/>
                    <w:right w:val="single" w:color="auto" w:sz="4" w:space="0"/>
                    <w:tl2br w:val="nil"/>
                    <w:tr2bl w:val="nil"/>
                  </w:tcBorders>
                  <w:vAlign w:val="center"/>
                </w:tcPr>
                <w:p w14:paraId="7099E576">
                  <w:pPr>
                    <w:snapToGrid w:val="0"/>
                    <w:jc w:val="center"/>
                    <w:rPr>
                      <w:color w:val="auto"/>
                      <w:kern w:val="0"/>
                      <w:sz w:val="22"/>
                      <w:szCs w:val="22"/>
                      <w:highlight w:val="none"/>
                    </w:rPr>
                  </w:pPr>
                </w:p>
              </w:tc>
            </w:tr>
            <w:tr w14:paraId="0CA7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vMerge w:val="restart"/>
                  <w:tcBorders>
                    <w:left w:val="single" w:color="auto" w:sz="4" w:space="0"/>
                    <w:right w:val="single" w:color="auto" w:sz="4" w:space="0"/>
                    <w:tl2br w:val="nil"/>
                    <w:tr2bl w:val="nil"/>
                  </w:tcBorders>
                  <w:vAlign w:val="center"/>
                </w:tcPr>
                <w:p w14:paraId="4C177925">
                  <w:pPr>
                    <w:snapToGrid w:val="0"/>
                    <w:jc w:val="center"/>
                    <w:rPr>
                      <w:color w:val="auto"/>
                      <w:kern w:val="0"/>
                      <w:sz w:val="22"/>
                      <w:szCs w:val="22"/>
                      <w:highlight w:val="none"/>
                    </w:rPr>
                  </w:pPr>
                  <w:r>
                    <w:rPr>
                      <w:rFonts w:hint="eastAsia"/>
                      <w:color w:val="auto"/>
                      <w:kern w:val="0"/>
                      <w:sz w:val="22"/>
                      <w:szCs w:val="22"/>
                      <w:highlight w:val="none"/>
                    </w:rPr>
                    <w:t>固废</w:t>
                  </w:r>
                </w:p>
              </w:tc>
              <w:tc>
                <w:tcPr>
                  <w:tcW w:w="856" w:type="dxa"/>
                  <w:vMerge w:val="restart"/>
                  <w:tcBorders>
                    <w:left w:val="single" w:color="auto" w:sz="4" w:space="0"/>
                    <w:right w:val="single" w:color="auto" w:sz="4" w:space="0"/>
                    <w:tl2br w:val="nil"/>
                    <w:tr2bl w:val="nil"/>
                  </w:tcBorders>
                  <w:vAlign w:val="center"/>
                </w:tcPr>
                <w:p w14:paraId="5B2CECAB">
                  <w:pPr>
                    <w:snapToGrid w:val="0"/>
                    <w:jc w:val="center"/>
                    <w:rPr>
                      <w:color w:val="auto"/>
                      <w:kern w:val="0"/>
                      <w:sz w:val="22"/>
                      <w:szCs w:val="22"/>
                      <w:highlight w:val="none"/>
                    </w:rPr>
                  </w:pPr>
                  <w:r>
                    <w:rPr>
                      <w:rFonts w:hint="eastAsia"/>
                      <w:color w:val="auto"/>
                      <w:kern w:val="0"/>
                      <w:sz w:val="22"/>
                      <w:szCs w:val="22"/>
                      <w:highlight w:val="none"/>
                    </w:rPr>
                    <w:t>一般固废</w:t>
                  </w:r>
                </w:p>
              </w:tc>
              <w:tc>
                <w:tcPr>
                  <w:tcW w:w="1447" w:type="dxa"/>
                  <w:tcBorders>
                    <w:top w:val="single" w:color="auto" w:sz="4" w:space="0"/>
                    <w:left w:val="single" w:color="auto" w:sz="4" w:space="0"/>
                    <w:bottom w:val="single" w:color="auto" w:sz="4" w:space="0"/>
                    <w:right w:val="single" w:color="auto" w:sz="4" w:space="0"/>
                    <w:tl2br w:val="nil"/>
                    <w:tr2bl w:val="nil"/>
                  </w:tcBorders>
                  <w:vAlign w:val="center"/>
                </w:tcPr>
                <w:p w14:paraId="2C94C482">
                  <w:pPr>
                    <w:snapToGrid w:val="0"/>
                    <w:jc w:val="center"/>
                    <w:rPr>
                      <w:color w:val="auto"/>
                      <w:kern w:val="0"/>
                      <w:sz w:val="22"/>
                      <w:szCs w:val="22"/>
                      <w:highlight w:val="none"/>
                    </w:rPr>
                  </w:pPr>
                  <w:r>
                    <w:rPr>
                      <w:rFonts w:hint="eastAsia"/>
                      <w:color w:val="auto"/>
                      <w:kern w:val="0"/>
                      <w:sz w:val="22"/>
                      <w:szCs w:val="22"/>
                      <w:highlight w:val="none"/>
                    </w:rPr>
                    <w:t>金属废料</w:t>
                  </w:r>
                </w:p>
              </w:tc>
              <w:tc>
                <w:tcPr>
                  <w:tcW w:w="1174" w:type="dxa"/>
                  <w:tcBorders>
                    <w:top w:val="single" w:color="auto" w:sz="4" w:space="0"/>
                    <w:left w:val="single" w:color="auto" w:sz="4" w:space="0"/>
                    <w:bottom w:val="single" w:color="auto" w:sz="4" w:space="0"/>
                    <w:right w:val="single" w:color="auto" w:sz="4" w:space="0"/>
                    <w:tl2br w:val="nil"/>
                    <w:tr2bl w:val="nil"/>
                  </w:tcBorders>
                  <w:vAlign w:val="center"/>
                </w:tcPr>
                <w:p w14:paraId="5826D969">
                  <w:pPr>
                    <w:snapToGrid w:val="0"/>
                    <w:jc w:val="center"/>
                    <w:rPr>
                      <w:color w:val="auto"/>
                      <w:kern w:val="0"/>
                      <w:sz w:val="22"/>
                      <w:szCs w:val="22"/>
                      <w:highlight w:val="none"/>
                    </w:rPr>
                  </w:pPr>
                  <w:r>
                    <w:rPr>
                      <w:rFonts w:hint="eastAsia"/>
                      <w:color w:val="auto"/>
                      <w:kern w:val="0"/>
                      <w:sz w:val="22"/>
                      <w:szCs w:val="22"/>
                      <w:highlight w:val="none"/>
                    </w:rPr>
                    <w:t>16</w:t>
                  </w:r>
                </w:p>
              </w:tc>
              <w:tc>
                <w:tcPr>
                  <w:tcW w:w="1358" w:type="dxa"/>
                  <w:tcBorders>
                    <w:top w:val="single" w:color="auto" w:sz="4" w:space="0"/>
                    <w:left w:val="single" w:color="auto" w:sz="4" w:space="0"/>
                    <w:bottom w:val="single" w:color="auto" w:sz="4" w:space="0"/>
                    <w:right w:val="single" w:color="auto" w:sz="4" w:space="0"/>
                    <w:tl2br w:val="nil"/>
                    <w:tr2bl w:val="nil"/>
                  </w:tcBorders>
                  <w:vAlign w:val="center"/>
                </w:tcPr>
                <w:p w14:paraId="284AC280">
                  <w:pPr>
                    <w:snapToGrid w:val="0"/>
                    <w:jc w:val="center"/>
                    <w:rPr>
                      <w:color w:val="auto"/>
                      <w:kern w:val="0"/>
                      <w:sz w:val="22"/>
                      <w:szCs w:val="22"/>
                      <w:highlight w:val="none"/>
                    </w:rPr>
                  </w:pPr>
                  <w:r>
                    <w:rPr>
                      <w:rFonts w:hint="eastAsia"/>
                      <w:color w:val="auto"/>
                      <w:kern w:val="0"/>
                      <w:sz w:val="22"/>
                      <w:szCs w:val="22"/>
                      <w:highlight w:val="none"/>
                    </w:rPr>
                    <w:t>/</w:t>
                  </w:r>
                </w:p>
              </w:tc>
              <w:tc>
                <w:tcPr>
                  <w:tcW w:w="1881" w:type="dxa"/>
                  <w:vMerge w:val="restart"/>
                  <w:tcBorders>
                    <w:top w:val="single" w:color="auto" w:sz="4" w:space="0"/>
                    <w:left w:val="single" w:color="auto" w:sz="4" w:space="0"/>
                    <w:right w:val="single" w:color="auto" w:sz="4" w:space="0"/>
                    <w:tl2br w:val="nil"/>
                    <w:tr2bl w:val="nil"/>
                  </w:tcBorders>
                  <w:vAlign w:val="center"/>
                </w:tcPr>
                <w:p w14:paraId="7FB7F118">
                  <w:pPr>
                    <w:snapToGrid w:val="0"/>
                    <w:jc w:val="center"/>
                    <w:rPr>
                      <w:color w:val="auto"/>
                      <w:kern w:val="0"/>
                      <w:sz w:val="22"/>
                      <w:szCs w:val="22"/>
                      <w:highlight w:val="none"/>
                    </w:rPr>
                  </w:pPr>
                  <w:r>
                    <w:rPr>
                      <w:rFonts w:hint="eastAsia"/>
                      <w:color w:val="auto"/>
                      <w:kern w:val="0"/>
                      <w:sz w:val="22"/>
                      <w:szCs w:val="22"/>
                      <w:highlight w:val="none"/>
                    </w:rPr>
                    <w:t>交由重庆佳和再生资源公司回收利用</w:t>
                  </w:r>
                </w:p>
              </w:tc>
            </w:tr>
            <w:tr w14:paraId="7973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vMerge w:val="continue"/>
                  <w:tcBorders>
                    <w:left w:val="single" w:color="auto" w:sz="4" w:space="0"/>
                    <w:right w:val="single" w:color="auto" w:sz="4" w:space="0"/>
                    <w:tl2br w:val="nil"/>
                    <w:tr2bl w:val="nil"/>
                  </w:tcBorders>
                  <w:vAlign w:val="center"/>
                </w:tcPr>
                <w:p w14:paraId="5DEBC984">
                  <w:pPr>
                    <w:snapToGrid w:val="0"/>
                    <w:jc w:val="center"/>
                    <w:rPr>
                      <w:color w:val="auto"/>
                      <w:kern w:val="0"/>
                      <w:sz w:val="22"/>
                      <w:szCs w:val="22"/>
                      <w:highlight w:val="none"/>
                    </w:rPr>
                  </w:pPr>
                </w:p>
              </w:tc>
              <w:tc>
                <w:tcPr>
                  <w:tcW w:w="856" w:type="dxa"/>
                  <w:vMerge w:val="continue"/>
                  <w:tcBorders>
                    <w:left w:val="single" w:color="auto" w:sz="4" w:space="0"/>
                    <w:right w:val="single" w:color="auto" w:sz="4" w:space="0"/>
                    <w:tl2br w:val="nil"/>
                    <w:tr2bl w:val="nil"/>
                  </w:tcBorders>
                  <w:vAlign w:val="center"/>
                </w:tcPr>
                <w:p w14:paraId="30AFEDB3">
                  <w:pPr>
                    <w:snapToGrid w:val="0"/>
                    <w:jc w:val="center"/>
                    <w:rPr>
                      <w:color w:val="auto"/>
                      <w:kern w:val="0"/>
                      <w:sz w:val="22"/>
                      <w:szCs w:val="22"/>
                      <w:highlight w:val="none"/>
                    </w:rPr>
                  </w:pPr>
                </w:p>
              </w:tc>
              <w:tc>
                <w:tcPr>
                  <w:tcW w:w="1447" w:type="dxa"/>
                  <w:tcBorders>
                    <w:top w:val="single" w:color="auto" w:sz="4" w:space="0"/>
                    <w:left w:val="single" w:color="auto" w:sz="4" w:space="0"/>
                    <w:bottom w:val="single" w:color="auto" w:sz="4" w:space="0"/>
                    <w:right w:val="single" w:color="auto" w:sz="4" w:space="0"/>
                    <w:tl2br w:val="nil"/>
                    <w:tr2bl w:val="nil"/>
                  </w:tcBorders>
                  <w:vAlign w:val="center"/>
                </w:tcPr>
                <w:p w14:paraId="25A43690">
                  <w:pPr>
                    <w:snapToGrid w:val="0"/>
                    <w:jc w:val="center"/>
                    <w:rPr>
                      <w:color w:val="auto"/>
                      <w:kern w:val="0"/>
                      <w:sz w:val="22"/>
                      <w:szCs w:val="22"/>
                      <w:highlight w:val="none"/>
                    </w:rPr>
                  </w:pPr>
                  <w:r>
                    <w:rPr>
                      <w:rFonts w:hint="eastAsia"/>
                      <w:color w:val="auto"/>
                      <w:kern w:val="0"/>
                      <w:sz w:val="22"/>
                      <w:szCs w:val="22"/>
                      <w:highlight w:val="none"/>
                    </w:rPr>
                    <w:t>废包装材料</w:t>
                  </w:r>
                </w:p>
              </w:tc>
              <w:tc>
                <w:tcPr>
                  <w:tcW w:w="1174" w:type="dxa"/>
                  <w:tcBorders>
                    <w:top w:val="single" w:color="auto" w:sz="4" w:space="0"/>
                    <w:left w:val="single" w:color="auto" w:sz="4" w:space="0"/>
                    <w:bottom w:val="single" w:color="auto" w:sz="4" w:space="0"/>
                    <w:right w:val="single" w:color="auto" w:sz="4" w:space="0"/>
                    <w:tl2br w:val="nil"/>
                    <w:tr2bl w:val="nil"/>
                  </w:tcBorders>
                  <w:vAlign w:val="center"/>
                </w:tcPr>
                <w:p w14:paraId="420FEBEB">
                  <w:pPr>
                    <w:snapToGrid w:val="0"/>
                    <w:jc w:val="center"/>
                    <w:rPr>
                      <w:color w:val="auto"/>
                      <w:kern w:val="0"/>
                      <w:sz w:val="22"/>
                      <w:szCs w:val="22"/>
                      <w:highlight w:val="none"/>
                    </w:rPr>
                  </w:pPr>
                  <w:r>
                    <w:rPr>
                      <w:rFonts w:hint="eastAsia"/>
                      <w:color w:val="auto"/>
                      <w:kern w:val="0"/>
                      <w:sz w:val="22"/>
                      <w:szCs w:val="22"/>
                      <w:highlight w:val="none"/>
                    </w:rPr>
                    <w:t>2.5</w:t>
                  </w:r>
                </w:p>
              </w:tc>
              <w:tc>
                <w:tcPr>
                  <w:tcW w:w="1358" w:type="dxa"/>
                  <w:tcBorders>
                    <w:top w:val="single" w:color="auto" w:sz="4" w:space="0"/>
                    <w:left w:val="single" w:color="auto" w:sz="4" w:space="0"/>
                    <w:bottom w:val="single" w:color="auto" w:sz="4" w:space="0"/>
                    <w:right w:val="single" w:color="auto" w:sz="4" w:space="0"/>
                    <w:tl2br w:val="nil"/>
                    <w:tr2bl w:val="nil"/>
                  </w:tcBorders>
                  <w:vAlign w:val="center"/>
                </w:tcPr>
                <w:p w14:paraId="3F9A904F">
                  <w:pPr>
                    <w:snapToGrid w:val="0"/>
                    <w:jc w:val="center"/>
                    <w:rPr>
                      <w:color w:val="auto"/>
                      <w:kern w:val="0"/>
                      <w:sz w:val="22"/>
                      <w:szCs w:val="22"/>
                      <w:highlight w:val="none"/>
                    </w:rPr>
                  </w:pPr>
                  <w:r>
                    <w:rPr>
                      <w:rFonts w:hint="eastAsia"/>
                      <w:color w:val="auto"/>
                      <w:kern w:val="0"/>
                      <w:sz w:val="22"/>
                      <w:szCs w:val="22"/>
                      <w:highlight w:val="none"/>
                    </w:rPr>
                    <w:t>/</w:t>
                  </w:r>
                </w:p>
              </w:tc>
              <w:tc>
                <w:tcPr>
                  <w:tcW w:w="1881" w:type="dxa"/>
                  <w:vMerge w:val="continue"/>
                  <w:tcBorders>
                    <w:left w:val="single" w:color="auto" w:sz="4" w:space="0"/>
                    <w:right w:val="single" w:color="auto" w:sz="4" w:space="0"/>
                    <w:tl2br w:val="nil"/>
                    <w:tr2bl w:val="nil"/>
                  </w:tcBorders>
                  <w:vAlign w:val="center"/>
                </w:tcPr>
                <w:p w14:paraId="32C3E3EE">
                  <w:pPr>
                    <w:snapToGrid w:val="0"/>
                    <w:jc w:val="center"/>
                    <w:rPr>
                      <w:color w:val="auto"/>
                      <w:kern w:val="0"/>
                      <w:sz w:val="22"/>
                      <w:szCs w:val="22"/>
                      <w:highlight w:val="none"/>
                    </w:rPr>
                  </w:pPr>
                </w:p>
              </w:tc>
            </w:tr>
            <w:tr w14:paraId="674A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vMerge w:val="continue"/>
                  <w:tcBorders>
                    <w:left w:val="single" w:color="auto" w:sz="4" w:space="0"/>
                    <w:right w:val="single" w:color="auto" w:sz="4" w:space="0"/>
                    <w:tl2br w:val="nil"/>
                    <w:tr2bl w:val="nil"/>
                  </w:tcBorders>
                  <w:vAlign w:val="center"/>
                </w:tcPr>
                <w:p w14:paraId="4A0C01CC">
                  <w:pPr>
                    <w:snapToGrid w:val="0"/>
                    <w:jc w:val="center"/>
                    <w:rPr>
                      <w:color w:val="auto"/>
                      <w:kern w:val="0"/>
                      <w:sz w:val="22"/>
                      <w:szCs w:val="22"/>
                      <w:highlight w:val="none"/>
                    </w:rPr>
                  </w:pPr>
                </w:p>
              </w:tc>
              <w:tc>
                <w:tcPr>
                  <w:tcW w:w="856" w:type="dxa"/>
                  <w:vMerge w:val="continue"/>
                  <w:tcBorders>
                    <w:left w:val="single" w:color="auto" w:sz="4" w:space="0"/>
                    <w:right w:val="single" w:color="auto" w:sz="4" w:space="0"/>
                    <w:tl2br w:val="nil"/>
                    <w:tr2bl w:val="nil"/>
                  </w:tcBorders>
                  <w:vAlign w:val="center"/>
                </w:tcPr>
                <w:p w14:paraId="41B270B3">
                  <w:pPr>
                    <w:snapToGrid w:val="0"/>
                    <w:jc w:val="center"/>
                    <w:rPr>
                      <w:color w:val="auto"/>
                      <w:kern w:val="0"/>
                      <w:sz w:val="22"/>
                      <w:szCs w:val="22"/>
                      <w:highlight w:val="none"/>
                    </w:rPr>
                  </w:pPr>
                </w:p>
              </w:tc>
              <w:tc>
                <w:tcPr>
                  <w:tcW w:w="1447" w:type="dxa"/>
                  <w:tcBorders>
                    <w:top w:val="single" w:color="auto" w:sz="4" w:space="0"/>
                    <w:left w:val="single" w:color="auto" w:sz="4" w:space="0"/>
                    <w:bottom w:val="single" w:color="auto" w:sz="4" w:space="0"/>
                    <w:right w:val="single" w:color="auto" w:sz="4" w:space="0"/>
                    <w:tl2br w:val="nil"/>
                    <w:tr2bl w:val="nil"/>
                  </w:tcBorders>
                  <w:vAlign w:val="center"/>
                </w:tcPr>
                <w:p w14:paraId="340C0301">
                  <w:pPr>
                    <w:snapToGrid w:val="0"/>
                    <w:jc w:val="center"/>
                    <w:rPr>
                      <w:color w:val="auto"/>
                      <w:kern w:val="0"/>
                      <w:sz w:val="22"/>
                      <w:szCs w:val="22"/>
                      <w:highlight w:val="none"/>
                    </w:rPr>
                  </w:pPr>
                  <w:r>
                    <w:rPr>
                      <w:rFonts w:hint="eastAsia"/>
                      <w:color w:val="auto"/>
                      <w:kern w:val="0"/>
                      <w:sz w:val="22"/>
                      <w:szCs w:val="22"/>
                      <w:highlight w:val="none"/>
                    </w:rPr>
                    <w:t>不合格次品</w:t>
                  </w:r>
                </w:p>
              </w:tc>
              <w:tc>
                <w:tcPr>
                  <w:tcW w:w="1174" w:type="dxa"/>
                  <w:tcBorders>
                    <w:top w:val="single" w:color="auto" w:sz="4" w:space="0"/>
                    <w:left w:val="single" w:color="auto" w:sz="4" w:space="0"/>
                    <w:bottom w:val="single" w:color="auto" w:sz="4" w:space="0"/>
                    <w:right w:val="single" w:color="auto" w:sz="4" w:space="0"/>
                    <w:tl2br w:val="nil"/>
                    <w:tr2bl w:val="nil"/>
                  </w:tcBorders>
                  <w:vAlign w:val="center"/>
                </w:tcPr>
                <w:p w14:paraId="230E97E5">
                  <w:pPr>
                    <w:snapToGrid w:val="0"/>
                    <w:jc w:val="center"/>
                    <w:rPr>
                      <w:color w:val="auto"/>
                      <w:kern w:val="0"/>
                      <w:sz w:val="22"/>
                      <w:szCs w:val="22"/>
                      <w:highlight w:val="none"/>
                    </w:rPr>
                  </w:pPr>
                  <w:r>
                    <w:rPr>
                      <w:rFonts w:hint="eastAsia"/>
                      <w:color w:val="auto"/>
                      <w:kern w:val="0"/>
                      <w:sz w:val="22"/>
                      <w:szCs w:val="22"/>
                      <w:highlight w:val="none"/>
                    </w:rPr>
                    <w:t>0.8</w:t>
                  </w:r>
                </w:p>
              </w:tc>
              <w:tc>
                <w:tcPr>
                  <w:tcW w:w="1358" w:type="dxa"/>
                  <w:tcBorders>
                    <w:top w:val="single" w:color="auto" w:sz="4" w:space="0"/>
                    <w:left w:val="single" w:color="auto" w:sz="4" w:space="0"/>
                    <w:bottom w:val="single" w:color="auto" w:sz="4" w:space="0"/>
                    <w:right w:val="single" w:color="auto" w:sz="4" w:space="0"/>
                    <w:tl2br w:val="nil"/>
                    <w:tr2bl w:val="nil"/>
                  </w:tcBorders>
                  <w:vAlign w:val="center"/>
                </w:tcPr>
                <w:p w14:paraId="47A9E56A">
                  <w:pPr>
                    <w:snapToGrid w:val="0"/>
                    <w:jc w:val="center"/>
                    <w:rPr>
                      <w:color w:val="auto"/>
                      <w:kern w:val="0"/>
                      <w:sz w:val="22"/>
                      <w:szCs w:val="22"/>
                      <w:highlight w:val="none"/>
                    </w:rPr>
                  </w:pPr>
                  <w:r>
                    <w:rPr>
                      <w:rFonts w:hint="eastAsia"/>
                      <w:color w:val="auto"/>
                      <w:kern w:val="0"/>
                      <w:sz w:val="22"/>
                      <w:szCs w:val="22"/>
                      <w:highlight w:val="none"/>
                    </w:rPr>
                    <w:t>/</w:t>
                  </w:r>
                </w:p>
              </w:tc>
              <w:tc>
                <w:tcPr>
                  <w:tcW w:w="1881" w:type="dxa"/>
                  <w:vMerge w:val="continue"/>
                  <w:tcBorders>
                    <w:left w:val="single" w:color="auto" w:sz="4" w:space="0"/>
                    <w:bottom w:val="single" w:color="auto" w:sz="4" w:space="0"/>
                    <w:right w:val="single" w:color="auto" w:sz="4" w:space="0"/>
                    <w:tl2br w:val="nil"/>
                    <w:tr2bl w:val="nil"/>
                  </w:tcBorders>
                  <w:vAlign w:val="center"/>
                </w:tcPr>
                <w:p w14:paraId="7C5C3478">
                  <w:pPr>
                    <w:snapToGrid w:val="0"/>
                    <w:jc w:val="center"/>
                    <w:rPr>
                      <w:color w:val="auto"/>
                      <w:kern w:val="0"/>
                      <w:sz w:val="22"/>
                      <w:szCs w:val="22"/>
                      <w:highlight w:val="none"/>
                    </w:rPr>
                  </w:pPr>
                </w:p>
              </w:tc>
            </w:tr>
            <w:tr w14:paraId="11C6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vMerge w:val="continue"/>
                  <w:tcBorders>
                    <w:left w:val="single" w:color="auto" w:sz="4" w:space="0"/>
                    <w:right w:val="single" w:color="auto" w:sz="4" w:space="0"/>
                    <w:tl2br w:val="nil"/>
                    <w:tr2bl w:val="nil"/>
                  </w:tcBorders>
                  <w:vAlign w:val="center"/>
                </w:tcPr>
                <w:p w14:paraId="125F976C">
                  <w:pPr>
                    <w:snapToGrid w:val="0"/>
                    <w:jc w:val="center"/>
                    <w:rPr>
                      <w:color w:val="auto"/>
                      <w:kern w:val="0"/>
                      <w:sz w:val="22"/>
                      <w:szCs w:val="22"/>
                      <w:highlight w:val="none"/>
                    </w:rPr>
                  </w:pPr>
                </w:p>
              </w:tc>
              <w:tc>
                <w:tcPr>
                  <w:tcW w:w="856" w:type="dxa"/>
                  <w:vMerge w:val="continue"/>
                  <w:tcBorders>
                    <w:left w:val="single" w:color="auto" w:sz="4" w:space="0"/>
                    <w:bottom w:val="single" w:color="auto" w:sz="4" w:space="0"/>
                    <w:right w:val="single" w:color="auto" w:sz="4" w:space="0"/>
                    <w:tl2br w:val="nil"/>
                    <w:tr2bl w:val="nil"/>
                  </w:tcBorders>
                  <w:vAlign w:val="center"/>
                </w:tcPr>
                <w:p w14:paraId="5F3FE8ED">
                  <w:pPr>
                    <w:snapToGrid w:val="0"/>
                    <w:jc w:val="center"/>
                    <w:rPr>
                      <w:color w:val="auto"/>
                      <w:kern w:val="0"/>
                      <w:sz w:val="22"/>
                      <w:szCs w:val="22"/>
                      <w:highlight w:val="none"/>
                    </w:rPr>
                  </w:pPr>
                </w:p>
              </w:tc>
              <w:tc>
                <w:tcPr>
                  <w:tcW w:w="1447" w:type="dxa"/>
                  <w:tcBorders>
                    <w:top w:val="single" w:color="auto" w:sz="4" w:space="0"/>
                    <w:left w:val="single" w:color="auto" w:sz="4" w:space="0"/>
                    <w:bottom w:val="single" w:color="auto" w:sz="4" w:space="0"/>
                    <w:right w:val="single" w:color="auto" w:sz="4" w:space="0"/>
                    <w:tl2br w:val="nil"/>
                    <w:tr2bl w:val="nil"/>
                  </w:tcBorders>
                  <w:vAlign w:val="center"/>
                </w:tcPr>
                <w:p w14:paraId="7643ED46">
                  <w:pPr>
                    <w:snapToGrid w:val="0"/>
                    <w:jc w:val="center"/>
                    <w:rPr>
                      <w:color w:val="auto"/>
                      <w:kern w:val="0"/>
                      <w:sz w:val="22"/>
                      <w:szCs w:val="22"/>
                      <w:highlight w:val="none"/>
                    </w:rPr>
                  </w:pPr>
                  <w:r>
                    <w:rPr>
                      <w:rFonts w:hint="eastAsia"/>
                      <w:color w:val="auto"/>
                      <w:kern w:val="0"/>
                      <w:sz w:val="22"/>
                      <w:szCs w:val="22"/>
                      <w:highlight w:val="none"/>
                    </w:rPr>
                    <w:t>生化池污泥</w:t>
                  </w:r>
                </w:p>
              </w:tc>
              <w:tc>
                <w:tcPr>
                  <w:tcW w:w="1174" w:type="dxa"/>
                  <w:tcBorders>
                    <w:top w:val="single" w:color="auto" w:sz="4" w:space="0"/>
                    <w:left w:val="single" w:color="auto" w:sz="4" w:space="0"/>
                    <w:bottom w:val="single" w:color="auto" w:sz="4" w:space="0"/>
                    <w:right w:val="single" w:color="auto" w:sz="4" w:space="0"/>
                    <w:tl2br w:val="nil"/>
                    <w:tr2bl w:val="nil"/>
                  </w:tcBorders>
                  <w:vAlign w:val="center"/>
                </w:tcPr>
                <w:p w14:paraId="49E05E9F">
                  <w:pPr>
                    <w:snapToGrid w:val="0"/>
                    <w:jc w:val="center"/>
                    <w:rPr>
                      <w:color w:val="auto"/>
                      <w:kern w:val="0"/>
                      <w:sz w:val="22"/>
                      <w:szCs w:val="22"/>
                      <w:highlight w:val="none"/>
                    </w:rPr>
                  </w:pPr>
                  <w:r>
                    <w:rPr>
                      <w:rFonts w:hint="eastAsia"/>
                      <w:color w:val="auto"/>
                      <w:kern w:val="0"/>
                      <w:sz w:val="22"/>
                      <w:szCs w:val="22"/>
                      <w:highlight w:val="none"/>
                    </w:rPr>
                    <w:t>2</w:t>
                  </w:r>
                </w:p>
              </w:tc>
              <w:tc>
                <w:tcPr>
                  <w:tcW w:w="1358" w:type="dxa"/>
                  <w:tcBorders>
                    <w:top w:val="single" w:color="auto" w:sz="4" w:space="0"/>
                    <w:left w:val="single" w:color="auto" w:sz="4" w:space="0"/>
                    <w:bottom w:val="single" w:color="auto" w:sz="4" w:space="0"/>
                    <w:right w:val="single" w:color="auto" w:sz="4" w:space="0"/>
                    <w:tl2br w:val="nil"/>
                    <w:tr2bl w:val="nil"/>
                  </w:tcBorders>
                  <w:vAlign w:val="center"/>
                </w:tcPr>
                <w:p w14:paraId="50B3A8B4">
                  <w:pPr>
                    <w:snapToGrid w:val="0"/>
                    <w:jc w:val="center"/>
                    <w:rPr>
                      <w:color w:val="auto"/>
                      <w:kern w:val="0"/>
                      <w:sz w:val="22"/>
                      <w:szCs w:val="22"/>
                      <w:highlight w:val="none"/>
                    </w:rPr>
                  </w:pPr>
                  <w:r>
                    <w:rPr>
                      <w:rFonts w:hint="eastAsia"/>
                      <w:color w:val="auto"/>
                      <w:kern w:val="0"/>
                      <w:sz w:val="22"/>
                      <w:szCs w:val="22"/>
                      <w:highlight w:val="none"/>
                    </w:rPr>
                    <w:t>/</w:t>
                  </w:r>
                </w:p>
              </w:tc>
              <w:tc>
                <w:tcPr>
                  <w:tcW w:w="1881" w:type="dxa"/>
                  <w:tcBorders>
                    <w:left w:val="single" w:color="auto" w:sz="4" w:space="0"/>
                    <w:bottom w:val="single" w:color="auto" w:sz="4" w:space="0"/>
                    <w:right w:val="single" w:color="auto" w:sz="4" w:space="0"/>
                    <w:tl2br w:val="nil"/>
                    <w:tr2bl w:val="nil"/>
                  </w:tcBorders>
                  <w:vAlign w:val="center"/>
                </w:tcPr>
                <w:p w14:paraId="40A24B0E">
                  <w:pPr>
                    <w:snapToGrid w:val="0"/>
                    <w:jc w:val="center"/>
                    <w:rPr>
                      <w:color w:val="auto"/>
                      <w:kern w:val="0"/>
                      <w:sz w:val="22"/>
                      <w:szCs w:val="22"/>
                      <w:highlight w:val="none"/>
                    </w:rPr>
                  </w:pPr>
                  <w:r>
                    <w:rPr>
                      <w:rFonts w:hint="eastAsia"/>
                      <w:color w:val="auto"/>
                      <w:kern w:val="0"/>
                      <w:sz w:val="22"/>
                      <w:szCs w:val="22"/>
                      <w:highlight w:val="none"/>
                    </w:rPr>
                    <w:t>交由环卫部门统一处置</w:t>
                  </w:r>
                </w:p>
              </w:tc>
            </w:tr>
            <w:tr w14:paraId="49FE5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vMerge w:val="continue"/>
                  <w:tcBorders>
                    <w:left w:val="single" w:color="auto" w:sz="4" w:space="0"/>
                    <w:right w:val="single" w:color="auto" w:sz="4" w:space="0"/>
                    <w:tl2br w:val="nil"/>
                    <w:tr2bl w:val="nil"/>
                  </w:tcBorders>
                  <w:vAlign w:val="center"/>
                </w:tcPr>
                <w:p w14:paraId="0531D135">
                  <w:pPr>
                    <w:snapToGrid w:val="0"/>
                    <w:jc w:val="center"/>
                    <w:rPr>
                      <w:color w:val="auto"/>
                      <w:kern w:val="0"/>
                      <w:sz w:val="22"/>
                      <w:szCs w:val="22"/>
                      <w:highlight w:val="none"/>
                    </w:rPr>
                  </w:pPr>
                </w:p>
              </w:tc>
              <w:tc>
                <w:tcPr>
                  <w:tcW w:w="856" w:type="dxa"/>
                  <w:vMerge w:val="restart"/>
                  <w:tcBorders>
                    <w:left w:val="single" w:color="auto" w:sz="4" w:space="0"/>
                    <w:right w:val="single" w:color="auto" w:sz="4" w:space="0"/>
                    <w:tl2br w:val="nil"/>
                    <w:tr2bl w:val="nil"/>
                  </w:tcBorders>
                  <w:vAlign w:val="center"/>
                </w:tcPr>
                <w:p w14:paraId="3AF37060">
                  <w:pPr>
                    <w:snapToGrid w:val="0"/>
                    <w:jc w:val="center"/>
                    <w:rPr>
                      <w:color w:val="auto"/>
                      <w:kern w:val="0"/>
                      <w:sz w:val="22"/>
                      <w:szCs w:val="22"/>
                      <w:highlight w:val="none"/>
                    </w:rPr>
                  </w:pPr>
                  <w:r>
                    <w:rPr>
                      <w:rFonts w:hint="eastAsia"/>
                      <w:color w:val="auto"/>
                      <w:kern w:val="0"/>
                      <w:sz w:val="22"/>
                      <w:szCs w:val="22"/>
                      <w:highlight w:val="none"/>
                    </w:rPr>
                    <w:t>危险废物</w:t>
                  </w:r>
                </w:p>
              </w:tc>
              <w:tc>
                <w:tcPr>
                  <w:tcW w:w="1447" w:type="dxa"/>
                  <w:tcBorders>
                    <w:top w:val="single" w:color="auto" w:sz="4" w:space="0"/>
                    <w:left w:val="single" w:color="auto" w:sz="4" w:space="0"/>
                    <w:bottom w:val="single" w:color="auto" w:sz="4" w:space="0"/>
                    <w:right w:val="single" w:color="auto" w:sz="4" w:space="0"/>
                    <w:tl2br w:val="nil"/>
                    <w:tr2bl w:val="nil"/>
                  </w:tcBorders>
                  <w:vAlign w:val="center"/>
                </w:tcPr>
                <w:p w14:paraId="7713A998">
                  <w:pPr>
                    <w:snapToGrid w:val="0"/>
                    <w:jc w:val="center"/>
                    <w:rPr>
                      <w:color w:val="auto"/>
                      <w:kern w:val="0"/>
                      <w:sz w:val="22"/>
                      <w:szCs w:val="22"/>
                      <w:highlight w:val="none"/>
                    </w:rPr>
                  </w:pPr>
                  <w:r>
                    <w:rPr>
                      <w:rFonts w:hint="eastAsia"/>
                      <w:color w:val="auto"/>
                      <w:kern w:val="0"/>
                      <w:sz w:val="22"/>
                      <w:szCs w:val="22"/>
                      <w:highlight w:val="none"/>
                    </w:rPr>
                    <w:t>废润滑油</w:t>
                  </w:r>
                </w:p>
              </w:tc>
              <w:tc>
                <w:tcPr>
                  <w:tcW w:w="1174" w:type="dxa"/>
                  <w:tcBorders>
                    <w:top w:val="single" w:color="auto" w:sz="4" w:space="0"/>
                    <w:left w:val="single" w:color="auto" w:sz="4" w:space="0"/>
                    <w:bottom w:val="single" w:color="auto" w:sz="4" w:space="0"/>
                    <w:right w:val="single" w:color="auto" w:sz="4" w:space="0"/>
                    <w:tl2br w:val="nil"/>
                    <w:tr2bl w:val="nil"/>
                  </w:tcBorders>
                  <w:vAlign w:val="center"/>
                </w:tcPr>
                <w:p w14:paraId="6E265797">
                  <w:pPr>
                    <w:snapToGrid w:val="0"/>
                    <w:jc w:val="center"/>
                    <w:rPr>
                      <w:color w:val="auto"/>
                      <w:kern w:val="0"/>
                      <w:sz w:val="22"/>
                      <w:szCs w:val="22"/>
                      <w:highlight w:val="none"/>
                    </w:rPr>
                  </w:pPr>
                  <w:r>
                    <w:rPr>
                      <w:rFonts w:hint="eastAsia"/>
                      <w:color w:val="auto"/>
                      <w:kern w:val="0"/>
                      <w:sz w:val="22"/>
                      <w:szCs w:val="22"/>
                      <w:highlight w:val="none"/>
                    </w:rPr>
                    <w:t>0.12</w:t>
                  </w:r>
                </w:p>
              </w:tc>
              <w:tc>
                <w:tcPr>
                  <w:tcW w:w="1358" w:type="dxa"/>
                  <w:tcBorders>
                    <w:top w:val="single" w:color="auto" w:sz="4" w:space="0"/>
                    <w:left w:val="single" w:color="auto" w:sz="4" w:space="0"/>
                    <w:bottom w:val="single" w:color="auto" w:sz="4" w:space="0"/>
                    <w:right w:val="single" w:color="auto" w:sz="4" w:space="0"/>
                    <w:tl2br w:val="nil"/>
                    <w:tr2bl w:val="nil"/>
                  </w:tcBorders>
                  <w:vAlign w:val="center"/>
                </w:tcPr>
                <w:p w14:paraId="72E8DFF9">
                  <w:pPr>
                    <w:snapToGrid w:val="0"/>
                    <w:jc w:val="center"/>
                    <w:rPr>
                      <w:color w:val="auto"/>
                      <w:kern w:val="0"/>
                      <w:sz w:val="22"/>
                      <w:szCs w:val="22"/>
                      <w:highlight w:val="none"/>
                    </w:rPr>
                  </w:pPr>
                  <w:r>
                    <w:rPr>
                      <w:rFonts w:hint="eastAsia"/>
                      <w:color w:val="auto"/>
                      <w:kern w:val="0"/>
                      <w:sz w:val="22"/>
                      <w:szCs w:val="22"/>
                      <w:highlight w:val="none"/>
                    </w:rPr>
                    <w:t>/</w:t>
                  </w:r>
                </w:p>
              </w:tc>
              <w:tc>
                <w:tcPr>
                  <w:tcW w:w="1881" w:type="dxa"/>
                  <w:vMerge w:val="restart"/>
                  <w:tcBorders>
                    <w:top w:val="single" w:color="auto" w:sz="4" w:space="0"/>
                    <w:left w:val="single" w:color="auto" w:sz="4" w:space="0"/>
                    <w:right w:val="single" w:color="auto" w:sz="4" w:space="0"/>
                    <w:tl2br w:val="nil"/>
                    <w:tr2bl w:val="nil"/>
                  </w:tcBorders>
                  <w:vAlign w:val="center"/>
                </w:tcPr>
                <w:p w14:paraId="78525754">
                  <w:pPr>
                    <w:snapToGrid w:val="0"/>
                    <w:jc w:val="center"/>
                    <w:rPr>
                      <w:color w:val="auto"/>
                      <w:kern w:val="0"/>
                      <w:sz w:val="22"/>
                      <w:szCs w:val="22"/>
                      <w:highlight w:val="none"/>
                    </w:rPr>
                  </w:pPr>
                  <w:r>
                    <w:rPr>
                      <w:rFonts w:hint="eastAsia"/>
                      <w:color w:val="auto"/>
                      <w:kern w:val="0"/>
                      <w:sz w:val="22"/>
                      <w:szCs w:val="22"/>
                      <w:highlight w:val="none"/>
                    </w:rPr>
                    <w:t>交由有资质单位（重庆伟世鑫盛环保科技有限公司）处置</w:t>
                  </w:r>
                </w:p>
              </w:tc>
            </w:tr>
            <w:tr w14:paraId="01D2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vMerge w:val="continue"/>
                  <w:tcBorders>
                    <w:left w:val="single" w:color="auto" w:sz="4" w:space="0"/>
                    <w:right w:val="single" w:color="auto" w:sz="4" w:space="0"/>
                    <w:tl2br w:val="nil"/>
                    <w:tr2bl w:val="nil"/>
                  </w:tcBorders>
                  <w:vAlign w:val="center"/>
                </w:tcPr>
                <w:p w14:paraId="528DC63D">
                  <w:pPr>
                    <w:snapToGrid w:val="0"/>
                    <w:jc w:val="center"/>
                    <w:rPr>
                      <w:color w:val="auto"/>
                      <w:kern w:val="0"/>
                      <w:sz w:val="22"/>
                      <w:szCs w:val="22"/>
                      <w:highlight w:val="none"/>
                    </w:rPr>
                  </w:pPr>
                </w:p>
              </w:tc>
              <w:tc>
                <w:tcPr>
                  <w:tcW w:w="856" w:type="dxa"/>
                  <w:vMerge w:val="continue"/>
                  <w:tcBorders>
                    <w:left w:val="single" w:color="auto" w:sz="4" w:space="0"/>
                    <w:bottom w:val="single" w:color="auto" w:sz="4" w:space="0"/>
                    <w:right w:val="single" w:color="auto" w:sz="4" w:space="0"/>
                    <w:tl2br w:val="nil"/>
                    <w:tr2bl w:val="nil"/>
                  </w:tcBorders>
                  <w:vAlign w:val="center"/>
                </w:tcPr>
                <w:p w14:paraId="298E02B2">
                  <w:pPr>
                    <w:snapToGrid w:val="0"/>
                    <w:jc w:val="center"/>
                    <w:rPr>
                      <w:color w:val="auto"/>
                      <w:kern w:val="0"/>
                      <w:sz w:val="22"/>
                      <w:szCs w:val="22"/>
                      <w:highlight w:val="none"/>
                    </w:rPr>
                  </w:pPr>
                </w:p>
              </w:tc>
              <w:tc>
                <w:tcPr>
                  <w:tcW w:w="1447" w:type="dxa"/>
                  <w:tcBorders>
                    <w:top w:val="single" w:color="auto" w:sz="4" w:space="0"/>
                    <w:left w:val="single" w:color="auto" w:sz="4" w:space="0"/>
                    <w:bottom w:val="single" w:color="auto" w:sz="4" w:space="0"/>
                    <w:right w:val="single" w:color="auto" w:sz="4" w:space="0"/>
                    <w:tl2br w:val="nil"/>
                    <w:tr2bl w:val="nil"/>
                  </w:tcBorders>
                  <w:vAlign w:val="center"/>
                </w:tcPr>
                <w:p w14:paraId="51FE7FCB">
                  <w:pPr>
                    <w:snapToGrid w:val="0"/>
                    <w:jc w:val="center"/>
                    <w:rPr>
                      <w:color w:val="auto"/>
                      <w:kern w:val="0"/>
                      <w:sz w:val="22"/>
                      <w:szCs w:val="22"/>
                      <w:highlight w:val="none"/>
                    </w:rPr>
                  </w:pPr>
                  <w:r>
                    <w:rPr>
                      <w:rFonts w:hint="eastAsia"/>
                      <w:color w:val="auto"/>
                      <w:kern w:val="0"/>
                      <w:sz w:val="22"/>
                      <w:szCs w:val="22"/>
                      <w:highlight w:val="none"/>
                    </w:rPr>
                    <w:t>废含油纱布手套</w:t>
                  </w:r>
                </w:p>
              </w:tc>
              <w:tc>
                <w:tcPr>
                  <w:tcW w:w="1174" w:type="dxa"/>
                  <w:tcBorders>
                    <w:top w:val="single" w:color="auto" w:sz="4" w:space="0"/>
                    <w:left w:val="single" w:color="auto" w:sz="4" w:space="0"/>
                    <w:bottom w:val="single" w:color="auto" w:sz="4" w:space="0"/>
                    <w:right w:val="single" w:color="auto" w:sz="4" w:space="0"/>
                    <w:tl2br w:val="nil"/>
                    <w:tr2bl w:val="nil"/>
                  </w:tcBorders>
                  <w:vAlign w:val="center"/>
                </w:tcPr>
                <w:p w14:paraId="3C476F41">
                  <w:pPr>
                    <w:snapToGrid w:val="0"/>
                    <w:jc w:val="center"/>
                    <w:rPr>
                      <w:color w:val="auto"/>
                      <w:kern w:val="0"/>
                      <w:sz w:val="22"/>
                      <w:szCs w:val="22"/>
                      <w:highlight w:val="none"/>
                    </w:rPr>
                  </w:pPr>
                  <w:r>
                    <w:rPr>
                      <w:rFonts w:hint="eastAsia"/>
                      <w:color w:val="auto"/>
                      <w:kern w:val="0"/>
                      <w:sz w:val="22"/>
                      <w:szCs w:val="22"/>
                      <w:highlight w:val="none"/>
                    </w:rPr>
                    <w:t>0.016</w:t>
                  </w:r>
                </w:p>
              </w:tc>
              <w:tc>
                <w:tcPr>
                  <w:tcW w:w="1358" w:type="dxa"/>
                  <w:tcBorders>
                    <w:top w:val="single" w:color="auto" w:sz="4" w:space="0"/>
                    <w:left w:val="single" w:color="auto" w:sz="4" w:space="0"/>
                    <w:bottom w:val="single" w:color="auto" w:sz="4" w:space="0"/>
                    <w:right w:val="single" w:color="auto" w:sz="4" w:space="0"/>
                    <w:tl2br w:val="nil"/>
                    <w:tr2bl w:val="nil"/>
                  </w:tcBorders>
                  <w:vAlign w:val="center"/>
                </w:tcPr>
                <w:p w14:paraId="3C3BAB74">
                  <w:pPr>
                    <w:snapToGrid w:val="0"/>
                    <w:jc w:val="center"/>
                    <w:rPr>
                      <w:color w:val="auto"/>
                      <w:kern w:val="0"/>
                      <w:sz w:val="22"/>
                      <w:szCs w:val="22"/>
                      <w:highlight w:val="none"/>
                    </w:rPr>
                  </w:pPr>
                  <w:r>
                    <w:rPr>
                      <w:rFonts w:hint="eastAsia"/>
                      <w:color w:val="auto"/>
                      <w:kern w:val="0"/>
                      <w:sz w:val="22"/>
                      <w:szCs w:val="22"/>
                      <w:highlight w:val="none"/>
                    </w:rPr>
                    <w:t>/</w:t>
                  </w:r>
                </w:p>
              </w:tc>
              <w:tc>
                <w:tcPr>
                  <w:tcW w:w="1881" w:type="dxa"/>
                  <w:vMerge w:val="continue"/>
                  <w:tcBorders>
                    <w:left w:val="single" w:color="auto" w:sz="4" w:space="0"/>
                    <w:bottom w:val="single" w:color="auto" w:sz="4" w:space="0"/>
                    <w:right w:val="single" w:color="auto" w:sz="4" w:space="0"/>
                    <w:tl2br w:val="nil"/>
                    <w:tr2bl w:val="nil"/>
                  </w:tcBorders>
                  <w:vAlign w:val="center"/>
                </w:tcPr>
                <w:p w14:paraId="443BBDB7">
                  <w:pPr>
                    <w:snapToGrid w:val="0"/>
                    <w:jc w:val="center"/>
                    <w:rPr>
                      <w:color w:val="auto"/>
                      <w:kern w:val="0"/>
                      <w:sz w:val="22"/>
                      <w:szCs w:val="22"/>
                      <w:highlight w:val="none"/>
                    </w:rPr>
                  </w:pPr>
                </w:p>
              </w:tc>
            </w:tr>
            <w:tr w14:paraId="1DF06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vMerge w:val="continue"/>
                  <w:tcBorders>
                    <w:left w:val="single" w:color="auto" w:sz="4" w:space="0"/>
                    <w:bottom w:val="single" w:color="auto" w:sz="4" w:space="0"/>
                    <w:right w:val="single" w:color="auto" w:sz="4" w:space="0"/>
                    <w:tl2br w:val="nil"/>
                    <w:tr2bl w:val="nil"/>
                  </w:tcBorders>
                  <w:vAlign w:val="center"/>
                </w:tcPr>
                <w:p w14:paraId="2C20D3C3">
                  <w:pPr>
                    <w:snapToGrid w:val="0"/>
                    <w:jc w:val="center"/>
                    <w:rPr>
                      <w:color w:val="auto"/>
                      <w:kern w:val="0"/>
                      <w:sz w:val="22"/>
                      <w:szCs w:val="22"/>
                      <w:highlight w:val="none"/>
                    </w:rPr>
                  </w:pPr>
                </w:p>
              </w:tc>
              <w:tc>
                <w:tcPr>
                  <w:tcW w:w="856" w:type="dxa"/>
                  <w:tcBorders>
                    <w:left w:val="single" w:color="auto" w:sz="4" w:space="0"/>
                    <w:bottom w:val="single" w:color="auto" w:sz="4" w:space="0"/>
                    <w:right w:val="single" w:color="auto" w:sz="4" w:space="0"/>
                    <w:tl2br w:val="nil"/>
                    <w:tr2bl w:val="nil"/>
                  </w:tcBorders>
                  <w:vAlign w:val="center"/>
                </w:tcPr>
                <w:p w14:paraId="0422DCD4">
                  <w:pPr>
                    <w:snapToGrid w:val="0"/>
                    <w:jc w:val="center"/>
                    <w:rPr>
                      <w:color w:val="auto"/>
                      <w:kern w:val="0"/>
                      <w:sz w:val="22"/>
                      <w:szCs w:val="22"/>
                      <w:highlight w:val="none"/>
                    </w:rPr>
                  </w:pPr>
                  <w:r>
                    <w:rPr>
                      <w:rFonts w:hint="eastAsia"/>
                      <w:color w:val="auto"/>
                      <w:kern w:val="0"/>
                      <w:sz w:val="22"/>
                      <w:szCs w:val="22"/>
                      <w:highlight w:val="none"/>
                    </w:rPr>
                    <w:t>生活垃圾</w:t>
                  </w:r>
                </w:p>
              </w:tc>
              <w:tc>
                <w:tcPr>
                  <w:tcW w:w="1447" w:type="dxa"/>
                  <w:tcBorders>
                    <w:top w:val="single" w:color="auto" w:sz="4" w:space="0"/>
                    <w:left w:val="single" w:color="auto" w:sz="4" w:space="0"/>
                    <w:bottom w:val="single" w:color="auto" w:sz="4" w:space="0"/>
                    <w:right w:val="single" w:color="auto" w:sz="4" w:space="0"/>
                    <w:tl2br w:val="nil"/>
                    <w:tr2bl w:val="nil"/>
                  </w:tcBorders>
                  <w:vAlign w:val="center"/>
                </w:tcPr>
                <w:p w14:paraId="20F4AE0D">
                  <w:pPr>
                    <w:snapToGrid w:val="0"/>
                    <w:jc w:val="center"/>
                    <w:rPr>
                      <w:color w:val="auto"/>
                      <w:kern w:val="0"/>
                      <w:sz w:val="22"/>
                      <w:szCs w:val="22"/>
                      <w:highlight w:val="none"/>
                    </w:rPr>
                  </w:pPr>
                  <w:r>
                    <w:rPr>
                      <w:rFonts w:hint="eastAsia"/>
                      <w:color w:val="auto"/>
                      <w:kern w:val="0"/>
                      <w:sz w:val="22"/>
                      <w:szCs w:val="22"/>
                      <w:highlight w:val="none"/>
                    </w:rPr>
                    <w:t>生活垃圾</w:t>
                  </w:r>
                </w:p>
              </w:tc>
              <w:tc>
                <w:tcPr>
                  <w:tcW w:w="1174" w:type="dxa"/>
                  <w:tcBorders>
                    <w:top w:val="single" w:color="auto" w:sz="4" w:space="0"/>
                    <w:left w:val="single" w:color="auto" w:sz="4" w:space="0"/>
                    <w:bottom w:val="single" w:color="auto" w:sz="4" w:space="0"/>
                    <w:right w:val="single" w:color="auto" w:sz="4" w:space="0"/>
                    <w:tl2br w:val="nil"/>
                    <w:tr2bl w:val="nil"/>
                  </w:tcBorders>
                  <w:vAlign w:val="center"/>
                </w:tcPr>
                <w:p w14:paraId="517876A8">
                  <w:pPr>
                    <w:snapToGrid w:val="0"/>
                    <w:jc w:val="center"/>
                    <w:rPr>
                      <w:color w:val="auto"/>
                      <w:kern w:val="0"/>
                      <w:sz w:val="22"/>
                      <w:szCs w:val="22"/>
                      <w:highlight w:val="none"/>
                    </w:rPr>
                  </w:pPr>
                  <w:r>
                    <w:rPr>
                      <w:rFonts w:hint="eastAsia"/>
                      <w:color w:val="auto"/>
                      <w:kern w:val="0"/>
                      <w:sz w:val="22"/>
                      <w:szCs w:val="22"/>
                      <w:highlight w:val="none"/>
                    </w:rPr>
                    <w:t>60</w:t>
                  </w:r>
                </w:p>
              </w:tc>
              <w:tc>
                <w:tcPr>
                  <w:tcW w:w="1358" w:type="dxa"/>
                  <w:tcBorders>
                    <w:top w:val="single" w:color="auto" w:sz="4" w:space="0"/>
                    <w:left w:val="single" w:color="auto" w:sz="4" w:space="0"/>
                    <w:bottom w:val="single" w:color="auto" w:sz="4" w:space="0"/>
                    <w:right w:val="single" w:color="auto" w:sz="4" w:space="0"/>
                    <w:tl2br w:val="nil"/>
                    <w:tr2bl w:val="nil"/>
                  </w:tcBorders>
                  <w:vAlign w:val="center"/>
                </w:tcPr>
                <w:p w14:paraId="2395CE63">
                  <w:pPr>
                    <w:snapToGrid w:val="0"/>
                    <w:jc w:val="center"/>
                    <w:rPr>
                      <w:color w:val="auto"/>
                      <w:kern w:val="0"/>
                      <w:sz w:val="22"/>
                      <w:szCs w:val="22"/>
                      <w:highlight w:val="none"/>
                    </w:rPr>
                  </w:pPr>
                  <w:r>
                    <w:rPr>
                      <w:rFonts w:hint="eastAsia"/>
                      <w:color w:val="auto"/>
                      <w:kern w:val="0"/>
                      <w:sz w:val="22"/>
                      <w:szCs w:val="22"/>
                      <w:highlight w:val="none"/>
                    </w:rPr>
                    <w:t>/</w:t>
                  </w:r>
                </w:p>
              </w:tc>
              <w:tc>
                <w:tcPr>
                  <w:tcW w:w="1881" w:type="dxa"/>
                  <w:tcBorders>
                    <w:top w:val="single" w:color="auto" w:sz="4" w:space="0"/>
                    <w:left w:val="single" w:color="auto" w:sz="4" w:space="0"/>
                    <w:bottom w:val="single" w:color="auto" w:sz="4" w:space="0"/>
                    <w:right w:val="single" w:color="auto" w:sz="4" w:space="0"/>
                    <w:tl2br w:val="nil"/>
                    <w:tr2bl w:val="nil"/>
                  </w:tcBorders>
                  <w:vAlign w:val="center"/>
                </w:tcPr>
                <w:p w14:paraId="70DCA239">
                  <w:pPr>
                    <w:snapToGrid w:val="0"/>
                    <w:jc w:val="center"/>
                    <w:rPr>
                      <w:color w:val="auto"/>
                      <w:kern w:val="0"/>
                      <w:sz w:val="22"/>
                      <w:szCs w:val="22"/>
                      <w:highlight w:val="none"/>
                    </w:rPr>
                  </w:pPr>
                  <w:r>
                    <w:rPr>
                      <w:rFonts w:hint="eastAsia"/>
                      <w:color w:val="auto"/>
                      <w:kern w:val="0"/>
                      <w:sz w:val="22"/>
                      <w:szCs w:val="22"/>
                      <w:highlight w:val="none"/>
                    </w:rPr>
                    <w:t>交由环卫部门统一处置</w:t>
                  </w:r>
                </w:p>
              </w:tc>
            </w:tr>
            <w:tr w14:paraId="793F9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376" w:type="dxa"/>
                  <w:gridSpan w:val="6"/>
                  <w:tcBorders>
                    <w:top w:val="single" w:color="auto" w:sz="4" w:space="0"/>
                    <w:left w:val="single" w:color="auto" w:sz="4" w:space="0"/>
                    <w:bottom w:val="single" w:color="auto" w:sz="4" w:space="0"/>
                    <w:right w:val="single" w:color="auto" w:sz="4" w:space="0"/>
                    <w:tl2br w:val="nil"/>
                    <w:tr2bl w:val="nil"/>
                  </w:tcBorders>
                  <w:vAlign w:val="center"/>
                </w:tcPr>
                <w:p w14:paraId="5823AC1C">
                  <w:pPr>
                    <w:snapToGrid w:val="0"/>
                    <w:rPr>
                      <w:rFonts w:hint="eastAsia" w:eastAsia="宋体"/>
                      <w:color w:val="auto"/>
                      <w:kern w:val="0"/>
                      <w:sz w:val="22"/>
                      <w:szCs w:val="22"/>
                      <w:highlight w:val="none"/>
                      <w:lang w:val="en-US" w:eastAsia="zh-CN"/>
                    </w:rPr>
                  </w:pPr>
                  <w:r>
                    <w:rPr>
                      <w:rFonts w:hint="eastAsia"/>
                      <w:color w:val="auto"/>
                      <w:kern w:val="0"/>
                      <w:sz w:val="22"/>
                      <w:szCs w:val="22"/>
                      <w:highlight w:val="none"/>
                    </w:rPr>
                    <w:t>注：废水污染物括号外为排入市政管网、括号内为排入外环境的总量。</w:t>
                  </w:r>
                </w:p>
              </w:tc>
            </w:tr>
          </w:tbl>
          <w:p w14:paraId="4877D1DC">
            <w:pPr>
              <w:keepNext/>
              <w:keepLines/>
              <w:autoSpaceDE w:val="0"/>
              <w:autoSpaceDN w:val="0"/>
              <w:adjustRightInd w:val="0"/>
              <w:snapToGrid w:val="0"/>
              <w:ind w:firstLine="522" w:firstLineChars="200"/>
              <w:jc w:val="left"/>
              <w:textAlignment w:val="baseline"/>
              <w:outlineLvl w:val="0"/>
              <w:rPr>
                <w:rFonts w:hAnsi="宋体"/>
                <w:b/>
                <w:bCs/>
                <w:color w:val="auto"/>
                <w:kern w:val="0"/>
                <w:sz w:val="26"/>
                <w:szCs w:val="26"/>
                <w:highlight w:val="none"/>
              </w:rPr>
            </w:pPr>
          </w:p>
          <w:p w14:paraId="4440CFA8">
            <w:pPr>
              <w:keepNext/>
              <w:keepLines/>
              <w:autoSpaceDE w:val="0"/>
              <w:autoSpaceDN w:val="0"/>
              <w:adjustRightInd w:val="0"/>
              <w:spacing w:line="480" w:lineRule="exact"/>
              <w:ind w:firstLine="522" w:firstLineChars="200"/>
              <w:jc w:val="left"/>
              <w:textAlignment w:val="baseline"/>
              <w:outlineLvl w:val="0"/>
              <w:rPr>
                <w:rFonts w:hAnsi="宋体"/>
                <w:b/>
                <w:bCs/>
                <w:color w:val="auto"/>
                <w:kern w:val="0"/>
                <w:sz w:val="26"/>
                <w:szCs w:val="26"/>
                <w:highlight w:val="none"/>
              </w:rPr>
            </w:pPr>
            <w:r>
              <w:rPr>
                <w:rFonts w:hint="eastAsia" w:hAnsi="宋体"/>
                <w:b/>
                <w:bCs/>
                <w:color w:val="auto"/>
                <w:kern w:val="0"/>
                <w:sz w:val="26"/>
                <w:szCs w:val="26"/>
                <w:highlight w:val="none"/>
              </w:rPr>
              <w:t>2.11.4与本项目有关的主要环境问题</w:t>
            </w:r>
          </w:p>
          <w:p w14:paraId="4D13422E">
            <w:pPr>
              <w:keepNext/>
              <w:keepLines/>
              <w:autoSpaceDE w:val="0"/>
              <w:autoSpaceDN w:val="0"/>
              <w:adjustRightInd w:val="0"/>
              <w:spacing w:line="480" w:lineRule="exact"/>
              <w:ind w:firstLine="520" w:firstLineChars="200"/>
              <w:jc w:val="left"/>
              <w:textAlignment w:val="baseline"/>
              <w:outlineLvl w:val="0"/>
              <w:rPr>
                <w:rFonts w:hAnsi="宋体"/>
                <w:color w:val="auto"/>
                <w:kern w:val="0"/>
                <w:sz w:val="26"/>
                <w:szCs w:val="26"/>
                <w:highlight w:val="none"/>
              </w:rPr>
            </w:pPr>
            <w:r>
              <w:rPr>
                <w:rFonts w:hint="eastAsia" w:hAnsi="宋体"/>
                <w:color w:val="auto"/>
                <w:kern w:val="0"/>
                <w:sz w:val="26"/>
                <w:szCs w:val="26"/>
                <w:highlight w:val="none"/>
              </w:rPr>
              <w:t>与本项目有关的主要环境问题为：</w:t>
            </w:r>
          </w:p>
          <w:p w14:paraId="59106510">
            <w:pPr>
              <w:keepNext/>
              <w:keepLines/>
              <w:autoSpaceDE w:val="0"/>
              <w:autoSpaceDN w:val="0"/>
              <w:adjustRightInd w:val="0"/>
              <w:spacing w:line="480" w:lineRule="exact"/>
              <w:ind w:firstLine="520" w:firstLineChars="200"/>
              <w:jc w:val="left"/>
              <w:textAlignment w:val="baseline"/>
              <w:outlineLvl w:val="0"/>
              <w:rPr>
                <w:rFonts w:hAnsi="宋体"/>
                <w:color w:val="auto"/>
                <w:kern w:val="0"/>
                <w:sz w:val="26"/>
                <w:szCs w:val="26"/>
                <w:highlight w:val="none"/>
              </w:rPr>
            </w:pPr>
            <w:r>
              <w:rPr>
                <w:rFonts w:hint="eastAsia" w:hAnsi="宋体"/>
                <w:color w:val="auto"/>
                <w:kern w:val="0"/>
                <w:sz w:val="26"/>
                <w:szCs w:val="26"/>
                <w:highlight w:val="none"/>
              </w:rPr>
              <w:t>（1）油料库防渗</w:t>
            </w:r>
            <w:r>
              <w:rPr>
                <w:rFonts w:hint="eastAsia" w:hAnsi="宋体"/>
                <w:color w:val="auto"/>
                <w:kern w:val="0"/>
                <w:sz w:val="26"/>
                <w:szCs w:val="26"/>
                <w:highlight w:val="none"/>
                <w:lang w:eastAsia="zh-CN"/>
              </w:rPr>
              <w:t>措施、</w:t>
            </w:r>
            <w:r>
              <w:rPr>
                <w:rFonts w:hint="eastAsia" w:hAnsi="宋体"/>
                <w:color w:val="auto"/>
                <w:kern w:val="0"/>
                <w:sz w:val="26"/>
                <w:szCs w:val="26"/>
                <w:highlight w:val="none"/>
              </w:rPr>
              <w:t>液体泄漏堵截设施不到位。本次评价对其提出整改完善要求：油料库按照重点防渗区采取防渗措施，并设置液体泄漏堵截设施。</w:t>
            </w:r>
          </w:p>
          <w:p w14:paraId="069945DA">
            <w:pPr>
              <w:keepNext/>
              <w:keepLines/>
              <w:autoSpaceDE w:val="0"/>
              <w:autoSpaceDN w:val="0"/>
              <w:adjustRightInd w:val="0"/>
              <w:spacing w:line="480" w:lineRule="exact"/>
              <w:ind w:firstLine="520" w:firstLineChars="200"/>
              <w:jc w:val="left"/>
              <w:textAlignment w:val="baseline"/>
              <w:outlineLvl w:val="0"/>
              <w:rPr>
                <w:rFonts w:hAnsi="宋体"/>
                <w:color w:val="auto"/>
                <w:kern w:val="0"/>
                <w:sz w:val="26"/>
                <w:szCs w:val="26"/>
                <w:highlight w:val="none"/>
              </w:rPr>
            </w:pPr>
            <w:r>
              <w:rPr>
                <w:rFonts w:hint="eastAsia" w:hAnsi="宋体"/>
                <w:color w:val="auto"/>
                <w:kern w:val="0"/>
                <w:sz w:val="26"/>
                <w:szCs w:val="26"/>
                <w:highlight w:val="none"/>
              </w:rPr>
              <w:t>（2）</w:t>
            </w:r>
            <w:r>
              <w:rPr>
                <w:rFonts w:hint="eastAsia" w:hAnsi="宋体"/>
                <w:color w:val="auto"/>
                <w:kern w:val="0"/>
                <w:sz w:val="26"/>
                <w:szCs w:val="26"/>
                <w:highlight w:val="none"/>
                <w:lang w:eastAsia="zh-CN"/>
              </w:rPr>
              <w:t>根据《危险废物贮存污染控制标准》（GB18597-2023），</w:t>
            </w:r>
            <w:r>
              <w:rPr>
                <w:rFonts w:hint="eastAsia" w:hAnsi="宋体"/>
                <w:color w:val="auto"/>
                <w:kern w:val="0"/>
                <w:sz w:val="26"/>
                <w:szCs w:val="26"/>
                <w:highlight w:val="none"/>
              </w:rPr>
              <w:t>危险废物贮存点防渗</w:t>
            </w:r>
            <w:r>
              <w:rPr>
                <w:rFonts w:hint="eastAsia" w:hAnsi="宋体"/>
                <w:color w:val="auto"/>
                <w:kern w:val="0"/>
                <w:sz w:val="26"/>
                <w:szCs w:val="26"/>
                <w:highlight w:val="none"/>
                <w:lang w:eastAsia="zh-CN"/>
              </w:rPr>
              <w:t>措施及</w:t>
            </w:r>
            <w:r>
              <w:rPr>
                <w:rFonts w:hint="eastAsia" w:hAnsi="宋体"/>
                <w:color w:val="auto"/>
                <w:kern w:val="0"/>
                <w:sz w:val="26"/>
                <w:szCs w:val="26"/>
                <w:highlight w:val="none"/>
              </w:rPr>
              <w:t>液体泄漏堵截设施</w:t>
            </w:r>
            <w:r>
              <w:rPr>
                <w:rFonts w:hint="eastAsia" w:hAnsi="宋体"/>
                <w:color w:val="auto"/>
                <w:kern w:val="0"/>
                <w:sz w:val="26"/>
                <w:szCs w:val="26"/>
                <w:highlight w:val="none"/>
                <w:lang w:eastAsia="zh-CN"/>
              </w:rPr>
              <w:t>不到位</w:t>
            </w:r>
            <w:r>
              <w:rPr>
                <w:rFonts w:hint="eastAsia" w:hAnsi="宋体"/>
                <w:color w:val="auto"/>
                <w:kern w:val="0"/>
                <w:sz w:val="26"/>
                <w:szCs w:val="26"/>
                <w:highlight w:val="none"/>
              </w:rPr>
              <w:t>。本次评价对其提出整改完善要求：危险废物贮存点按照《危险废物贮存污染控制标准》（GB18597-2023）相关建设要求进行整改，采取防渗措施（渗透系数≤1×10</w:t>
            </w:r>
            <w:bookmarkStart w:id="61" w:name="hmcheck_64dc31d3142e4b26ae76d79089609968"/>
            <w:r>
              <w:rPr>
                <w:rFonts w:hint="eastAsia" w:hAnsi="宋体"/>
                <w:color w:val="auto"/>
                <w:kern w:val="0"/>
                <w:sz w:val="26"/>
                <w:szCs w:val="26"/>
                <w:highlight w:val="none"/>
                <w:shd w:val="clear" w:fill="FFAFAA"/>
                <w:vertAlign w:val="superscript"/>
              </w:rPr>
              <w:t>-</w:t>
            </w:r>
            <w:bookmarkEnd w:id="61"/>
            <w:r>
              <w:rPr>
                <w:rFonts w:hint="eastAsia" w:hAnsi="宋体"/>
                <w:color w:val="auto"/>
                <w:kern w:val="0"/>
                <w:sz w:val="26"/>
                <w:szCs w:val="26"/>
                <w:highlight w:val="none"/>
                <w:vertAlign w:val="superscript"/>
              </w:rPr>
              <w:t>7</w:t>
            </w:r>
            <w:r>
              <w:rPr>
                <w:rFonts w:hint="eastAsia" w:hAnsi="宋体"/>
                <w:color w:val="auto"/>
                <w:kern w:val="0"/>
                <w:sz w:val="26"/>
                <w:szCs w:val="26"/>
                <w:highlight w:val="none"/>
              </w:rPr>
              <w:t>cm/s）、并设置液体泄漏堵截设施。</w:t>
            </w:r>
          </w:p>
        </w:tc>
      </w:tr>
    </w:tbl>
    <w:p w14:paraId="58B32620">
      <w:pPr>
        <w:pStyle w:val="15"/>
        <w:jc w:val="center"/>
        <w:rPr>
          <w:rFonts w:ascii="黑体" w:hAnsi="黑体" w:eastAsia="黑体"/>
          <w:snapToGrid w:val="0"/>
          <w:color w:val="auto"/>
          <w:sz w:val="36"/>
          <w:szCs w:val="36"/>
          <w:highlight w:val="none"/>
        </w:rPr>
        <w:sectPr>
          <w:footerReference r:id="rId6" w:type="default"/>
          <w:pgSz w:w="11906" w:h="16838"/>
          <w:pgMar w:top="1701" w:right="1531" w:bottom="1701" w:left="1531" w:header="851" w:footer="851" w:gutter="0"/>
          <w:cols w:space="720" w:num="1"/>
          <w:docGrid w:linePitch="312" w:charSpace="0"/>
        </w:sectPr>
      </w:pPr>
    </w:p>
    <w:p w14:paraId="405A94F2">
      <w:pPr>
        <w:pStyle w:val="15"/>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三、区域环境质量现状、环境保护目标及评价标准</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67C1D2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800" w:type="dxa"/>
            <w:vAlign w:val="center"/>
          </w:tcPr>
          <w:p w14:paraId="586255B2">
            <w:pPr>
              <w:adjustRightInd w:val="0"/>
              <w:snapToGrid w:val="0"/>
              <w:jc w:val="center"/>
              <w:rPr>
                <w:rFonts w:ascii="宋体" w:hAnsi="宋体" w:cs="宋体"/>
                <w:color w:val="auto"/>
                <w:kern w:val="0"/>
                <w:sz w:val="26"/>
                <w:szCs w:val="26"/>
                <w:highlight w:val="none"/>
              </w:rPr>
            </w:pPr>
            <w:r>
              <w:rPr>
                <w:rFonts w:hint="eastAsia" w:ascii="宋体" w:hAnsi="宋体" w:cs="宋体"/>
                <w:color w:val="auto"/>
                <w:kern w:val="0"/>
                <w:sz w:val="26"/>
                <w:szCs w:val="26"/>
                <w:highlight w:val="none"/>
              </w:rPr>
              <w:t>区域</w:t>
            </w:r>
          </w:p>
          <w:p w14:paraId="41857153">
            <w:pPr>
              <w:adjustRightInd w:val="0"/>
              <w:snapToGrid w:val="0"/>
              <w:jc w:val="center"/>
              <w:rPr>
                <w:rFonts w:ascii="宋体" w:hAnsi="宋体" w:cs="宋体"/>
                <w:color w:val="auto"/>
                <w:kern w:val="0"/>
                <w:sz w:val="26"/>
                <w:szCs w:val="26"/>
                <w:highlight w:val="none"/>
              </w:rPr>
            </w:pPr>
            <w:r>
              <w:rPr>
                <w:rFonts w:hint="eastAsia" w:ascii="宋体" w:hAnsi="宋体" w:cs="宋体"/>
                <w:color w:val="auto"/>
                <w:kern w:val="0"/>
                <w:sz w:val="26"/>
                <w:szCs w:val="26"/>
                <w:highlight w:val="none"/>
              </w:rPr>
              <w:t>环境</w:t>
            </w:r>
          </w:p>
          <w:p w14:paraId="0760363A">
            <w:pPr>
              <w:adjustRightInd w:val="0"/>
              <w:snapToGrid w:val="0"/>
              <w:jc w:val="center"/>
              <w:rPr>
                <w:rFonts w:ascii="宋体" w:hAnsi="宋体" w:cs="宋体"/>
                <w:color w:val="auto"/>
                <w:kern w:val="0"/>
                <w:sz w:val="26"/>
                <w:szCs w:val="26"/>
                <w:highlight w:val="none"/>
              </w:rPr>
            </w:pPr>
            <w:r>
              <w:rPr>
                <w:rFonts w:hint="eastAsia" w:ascii="宋体" w:hAnsi="宋体" w:cs="宋体"/>
                <w:color w:val="auto"/>
                <w:kern w:val="0"/>
                <w:sz w:val="26"/>
                <w:szCs w:val="26"/>
                <w:highlight w:val="none"/>
              </w:rPr>
              <w:t>质量</w:t>
            </w:r>
          </w:p>
          <w:p w14:paraId="06855099">
            <w:pPr>
              <w:adjustRightInd w:val="0"/>
              <w:snapToGrid w:val="0"/>
              <w:jc w:val="center"/>
              <w:rPr>
                <w:rFonts w:ascii="宋体" w:hAnsi="宋体" w:cs="宋体"/>
                <w:color w:val="auto"/>
                <w:kern w:val="0"/>
                <w:szCs w:val="21"/>
                <w:highlight w:val="none"/>
              </w:rPr>
            </w:pPr>
            <w:r>
              <w:rPr>
                <w:rFonts w:hint="eastAsia" w:ascii="宋体" w:hAnsi="宋体" w:cs="宋体"/>
                <w:color w:val="auto"/>
                <w:kern w:val="0"/>
                <w:sz w:val="26"/>
                <w:szCs w:val="26"/>
                <w:highlight w:val="none"/>
              </w:rPr>
              <w:t>现状</w:t>
            </w:r>
          </w:p>
        </w:tc>
        <w:tc>
          <w:tcPr>
            <w:tcW w:w="8190" w:type="dxa"/>
            <w:vAlign w:val="center"/>
          </w:tcPr>
          <w:p w14:paraId="416143AE">
            <w:pPr>
              <w:adjustRightInd w:val="0"/>
              <w:snapToGrid w:val="0"/>
              <w:spacing w:line="480" w:lineRule="exact"/>
              <w:ind w:firstLine="522" w:firstLineChars="200"/>
              <w:jc w:val="left"/>
              <w:rPr>
                <w:b/>
                <w:color w:val="auto"/>
                <w:kern w:val="0"/>
                <w:sz w:val="26"/>
                <w:szCs w:val="26"/>
                <w:highlight w:val="none"/>
              </w:rPr>
            </w:pPr>
            <w:r>
              <w:rPr>
                <w:b/>
                <w:color w:val="auto"/>
                <w:kern w:val="0"/>
                <w:sz w:val="26"/>
                <w:szCs w:val="26"/>
                <w:highlight w:val="none"/>
              </w:rPr>
              <w:t>3.1.1大气环境</w:t>
            </w:r>
          </w:p>
          <w:p w14:paraId="19D77183">
            <w:pPr>
              <w:snapToGrid w:val="0"/>
              <w:spacing w:line="480" w:lineRule="exact"/>
              <w:ind w:firstLine="522" w:firstLineChars="200"/>
              <w:rPr>
                <w:rFonts w:hint="eastAsia" w:eastAsia="宋体"/>
                <w:b/>
                <w:bCs/>
                <w:color w:val="auto"/>
                <w:sz w:val="26"/>
                <w:szCs w:val="26"/>
                <w:highlight w:val="none"/>
                <w:lang w:eastAsia="zh-CN"/>
              </w:rPr>
            </w:pPr>
            <w:r>
              <w:rPr>
                <w:b/>
                <w:bCs/>
                <w:color w:val="auto"/>
                <w:sz w:val="26"/>
                <w:szCs w:val="26"/>
                <w:highlight w:val="none"/>
              </w:rPr>
              <w:t>（1）环境空气质量达标区判定</w:t>
            </w:r>
            <w:r>
              <w:rPr>
                <w:rFonts w:hint="eastAsia"/>
                <w:b/>
                <w:bCs/>
                <w:color w:val="auto"/>
                <w:sz w:val="26"/>
                <w:szCs w:val="26"/>
                <w:highlight w:val="none"/>
                <w:lang w:eastAsia="zh-CN"/>
              </w:rPr>
              <w:t>及基本因子质量现状</w:t>
            </w:r>
          </w:p>
          <w:p w14:paraId="7D4429B0">
            <w:pPr>
              <w:snapToGrid w:val="0"/>
              <w:spacing w:line="480" w:lineRule="exact"/>
              <w:ind w:firstLine="520" w:firstLineChars="200"/>
              <w:rPr>
                <w:color w:val="auto"/>
                <w:sz w:val="26"/>
                <w:szCs w:val="26"/>
                <w:highlight w:val="none"/>
              </w:rPr>
            </w:pPr>
            <w:r>
              <w:rPr>
                <w:color w:val="auto"/>
                <w:sz w:val="26"/>
                <w:szCs w:val="26"/>
                <w:highlight w:val="none"/>
              </w:rPr>
              <w:t>本项目位于</w:t>
            </w:r>
            <w:r>
              <w:rPr>
                <w:rFonts w:hint="eastAsia"/>
                <w:color w:val="auto"/>
                <w:sz w:val="26"/>
                <w:szCs w:val="26"/>
                <w:highlight w:val="none"/>
              </w:rPr>
              <w:t>合川区土场镇，</w:t>
            </w:r>
            <w:r>
              <w:rPr>
                <w:color w:val="auto"/>
                <w:sz w:val="26"/>
                <w:szCs w:val="26"/>
                <w:highlight w:val="none"/>
              </w:rPr>
              <w:t>根据《重庆市人民政府关于印发重庆市环境空气质量功能区划分规定的通知》</w:t>
            </w:r>
            <w:r>
              <w:rPr>
                <w:rFonts w:hint="eastAsia"/>
                <w:color w:val="auto"/>
                <w:sz w:val="26"/>
                <w:szCs w:val="26"/>
                <w:highlight w:val="none"/>
                <w:lang w:eastAsia="zh-CN"/>
              </w:rPr>
              <w:t>（</w:t>
            </w:r>
            <w:r>
              <w:rPr>
                <w:color w:val="auto"/>
                <w:sz w:val="26"/>
                <w:szCs w:val="26"/>
                <w:highlight w:val="none"/>
              </w:rPr>
              <w:t>渝府发</w:t>
            </w:r>
            <w:r>
              <w:rPr>
                <w:rFonts w:hint="eastAsia"/>
                <w:color w:val="auto"/>
                <w:sz w:val="26"/>
                <w:szCs w:val="26"/>
                <w:highlight w:val="none"/>
                <w:lang w:eastAsia="zh-CN"/>
              </w:rPr>
              <w:t>〔2016〕19号）</w:t>
            </w:r>
            <w:r>
              <w:rPr>
                <w:color w:val="auto"/>
                <w:sz w:val="26"/>
                <w:szCs w:val="26"/>
                <w:highlight w:val="none"/>
              </w:rPr>
              <w:t>等相关文件规定，项目所在区域环境空气功能区划为二类区，环境空气质量执行《环境空气质量标准》（GB3095-2012）二级标准。</w:t>
            </w:r>
          </w:p>
          <w:p w14:paraId="1C6CE285">
            <w:pPr>
              <w:snapToGrid w:val="0"/>
              <w:spacing w:line="480" w:lineRule="exact"/>
              <w:ind w:firstLine="520" w:firstLineChars="200"/>
              <w:rPr>
                <w:color w:val="auto"/>
                <w:sz w:val="26"/>
                <w:szCs w:val="26"/>
                <w:highlight w:val="none"/>
              </w:rPr>
            </w:pPr>
            <w:r>
              <w:rPr>
                <w:color w:val="auto"/>
                <w:sz w:val="26"/>
                <w:szCs w:val="26"/>
                <w:highlight w:val="none"/>
              </w:rPr>
              <w:t>本项目所在区域基本污染物PM</w:t>
            </w:r>
            <w:r>
              <w:rPr>
                <w:color w:val="auto"/>
                <w:sz w:val="26"/>
                <w:szCs w:val="26"/>
                <w:highlight w:val="none"/>
                <w:vertAlign w:val="subscript"/>
              </w:rPr>
              <w:t>2.5</w:t>
            </w:r>
            <w:r>
              <w:rPr>
                <w:color w:val="auto"/>
                <w:sz w:val="26"/>
                <w:szCs w:val="26"/>
                <w:highlight w:val="none"/>
              </w:rPr>
              <w:t>、PM</w:t>
            </w:r>
            <w:r>
              <w:rPr>
                <w:color w:val="auto"/>
                <w:sz w:val="26"/>
                <w:szCs w:val="26"/>
                <w:highlight w:val="none"/>
                <w:vertAlign w:val="subscript"/>
              </w:rPr>
              <w:t>10</w:t>
            </w:r>
            <w:r>
              <w:rPr>
                <w:color w:val="auto"/>
                <w:sz w:val="26"/>
                <w:szCs w:val="26"/>
                <w:highlight w:val="none"/>
              </w:rPr>
              <w:t>、SO</w:t>
            </w:r>
            <w:r>
              <w:rPr>
                <w:color w:val="auto"/>
                <w:sz w:val="26"/>
                <w:szCs w:val="26"/>
                <w:highlight w:val="none"/>
                <w:vertAlign w:val="subscript"/>
              </w:rPr>
              <w:t>2</w:t>
            </w:r>
            <w:r>
              <w:rPr>
                <w:color w:val="auto"/>
                <w:sz w:val="26"/>
                <w:szCs w:val="26"/>
                <w:highlight w:val="none"/>
              </w:rPr>
              <w:t>、NO</w:t>
            </w:r>
            <w:r>
              <w:rPr>
                <w:color w:val="auto"/>
                <w:sz w:val="26"/>
                <w:szCs w:val="26"/>
                <w:highlight w:val="none"/>
                <w:vertAlign w:val="subscript"/>
              </w:rPr>
              <w:t>2</w:t>
            </w:r>
            <w:r>
              <w:rPr>
                <w:color w:val="auto"/>
                <w:sz w:val="26"/>
                <w:szCs w:val="26"/>
                <w:highlight w:val="none"/>
              </w:rPr>
              <w:t>、O</w:t>
            </w:r>
            <w:r>
              <w:rPr>
                <w:color w:val="auto"/>
                <w:sz w:val="26"/>
                <w:szCs w:val="26"/>
                <w:highlight w:val="none"/>
                <w:vertAlign w:val="subscript"/>
              </w:rPr>
              <w:t>3</w:t>
            </w:r>
            <w:r>
              <w:rPr>
                <w:color w:val="auto"/>
                <w:sz w:val="26"/>
                <w:szCs w:val="26"/>
                <w:highlight w:val="none"/>
              </w:rPr>
              <w:t>、CO引用合川区</w:t>
            </w:r>
            <w:r>
              <w:rPr>
                <w:rFonts w:hint="eastAsia"/>
                <w:color w:val="auto"/>
                <w:sz w:val="26"/>
                <w:szCs w:val="26"/>
                <w:highlight w:val="none"/>
                <w:lang w:val="en-US" w:eastAsia="zh-CN"/>
              </w:rPr>
              <w:t>2024年</w:t>
            </w:r>
            <w:r>
              <w:rPr>
                <w:color w:val="auto"/>
                <w:sz w:val="26"/>
                <w:szCs w:val="26"/>
                <w:highlight w:val="none"/>
              </w:rPr>
              <w:t>的环境空气质量</w:t>
            </w:r>
            <w:r>
              <w:rPr>
                <w:rFonts w:hint="eastAsia"/>
                <w:color w:val="auto"/>
                <w:sz w:val="26"/>
                <w:szCs w:val="26"/>
                <w:highlight w:val="none"/>
                <w:lang w:eastAsia="zh-CN"/>
              </w:rPr>
              <w:t>例行监测</w:t>
            </w:r>
            <w:r>
              <w:rPr>
                <w:color w:val="auto"/>
                <w:sz w:val="26"/>
                <w:szCs w:val="26"/>
                <w:highlight w:val="none"/>
              </w:rPr>
              <w:t>数据进行分析。区域</w:t>
            </w:r>
            <w:r>
              <w:rPr>
                <w:bCs/>
                <w:color w:val="auto"/>
                <w:sz w:val="26"/>
                <w:szCs w:val="26"/>
                <w:highlight w:val="none"/>
              </w:rPr>
              <w:t>空气质量现状评价见表3.1-1</w:t>
            </w:r>
            <w:r>
              <w:rPr>
                <w:color w:val="auto"/>
                <w:sz w:val="26"/>
                <w:szCs w:val="26"/>
                <w:highlight w:val="none"/>
              </w:rPr>
              <w:t>。</w:t>
            </w:r>
          </w:p>
          <w:p w14:paraId="31A8D5CF">
            <w:pPr>
              <w:snapToGrid w:val="0"/>
              <w:ind w:firstLine="480" w:firstLineChars="200"/>
              <w:rPr>
                <w:color w:val="auto"/>
                <w:sz w:val="24"/>
                <w:highlight w:val="none"/>
              </w:rPr>
            </w:pPr>
          </w:p>
          <w:p w14:paraId="38D307D5">
            <w:pPr>
              <w:tabs>
                <w:tab w:val="left" w:pos="9000"/>
              </w:tabs>
              <w:snapToGrid w:val="0"/>
              <w:jc w:val="center"/>
              <w:rPr>
                <w:color w:val="auto"/>
                <w:sz w:val="26"/>
                <w:szCs w:val="26"/>
                <w:highlight w:val="none"/>
              </w:rPr>
            </w:pPr>
            <w:r>
              <w:rPr>
                <w:color w:val="auto"/>
                <w:sz w:val="26"/>
                <w:szCs w:val="26"/>
                <w:highlight w:val="none"/>
              </w:rPr>
              <w:t>表3.1-1   区域环境空气质量现状评价表    单位：μg/m</w:t>
            </w:r>
            <w:r>
              <w:rPr>
                <w:color w:val="auto"/>
                <w:sz w:val="26"/>
                <w:szCs w:val="26"/>
                <w:highlight w:val="none"/>
                <w:vertAlign w:val="superscript"/>
              </w:rPr>
              <w:t>3</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938"/>
              <w:gridCol w:w="2665"/>
              <w:gridCol w:w="1137"/>
              <w:gridCol w:w="1147"/>
              <w:gridCol w:w="1050"/>
              <w:gridCol w:w="1027"/>
            </w:tblGrid>
            <w:tr w14:paraId="0623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3" w:hRule="atLeast"/>
                <w:jc w:val="center"/>
              </w:trPr>
              <w:tc>
                <w:tcPr>
                  <w:tcW w:w="938" w:type="dxa"/>
                  <w:vAlign w:val="center"/>
                </w:tcPr>
                <w:p w14:paraId="4BCF83EB">
                  <w:pPr>
                    <w:pStyle w:val="53"/>
                    <w:adjustRightInd w:val="0"/>
                    <w:snapToGrid w:val="0"/>
                    <w:spacing w:before="0" w:after="0"/>
                    <w:rPr>
                      <w:color w:val="auto"/>
                      <w:sz w:val="22"/>
                      <w:szCs w:val="22"/>
                      <w:highlight w:val="none"/>
                    </w:rPr>
                  </w:pPr>
                  <w:r>
                    <w:rPr>
                      <w:color w:val="auto"/>
                      <w:sz w:val="22"/>
                      <w:szCs w:val="22"/>
                      <w:highlight w:val="none"/>
                    </w:rPr>
                    <w:t>评价因子</w:t>
                  </w:r>
                </w:p>
              </w:tc>
              <w:tc>
                <w:tcPr>
                  <w:tcW w:w="2665" w:type="dxa"/>
                  <w:vAlign w:val="center"/>
                </w:tcPr>
                <w:p w14:paraId="5FE68048">
                  <w:pPr>
                    <w:pStyle w:val="53"/>
                    <w:adjustRightInd w:val="0"/>
                    <w:snapToGrid w:val="0"/>
                    <w:spacing w:before="0" w:after="0"/>
                    <w:rPr>
                      <w:color w:val="auto"/>
                      <w:sz w:val="22"/>
                      <w:szCs w:val="22"/>
                      <w:highlight w:val="none"/>
                    </w:rPr>
                  </w:pPr>
                  <w:r>
                    <w:rPr>
                      <w:color w:val="auto"/>
                      <w:sz w:val="22"/>
                      <w:szCs w:val="22"/>
                      <w:highlight w:val="none"/>
                    </w:rPr>
                    <w:t>平均时段</w:t>
                  </w:r>
                </w:p>
              </w:tc>
              <w:tc>
                <w:tcPr>
                  <w:tcW w:w="1137" w:type="dxa"/>
                  <w:vAlign w:val="center"/>
                </w:tcPr>
                <w:p w14:paraId="0E411418">
                  <w:pPr>
                    <w:pStyle w:val="53"/>
                    <w:adjustRightInd w:val="0"/>
                    <w:snapToGrid w:val="0"/>
                    <w:spacing w:before="0" w:after="0"/>
                    <w:rPr>
                      <w:color w:val="auto"/>
                      <w:sz w:val="22"/>
                      <w:szCs w:val="22"/>
                      <w:highlight w:val="none"/>
                    </w:rPr>
                  </w:pPr>
                  <w:r>
                    <w:rPr>
                      <w:color w:val="auto"/>
                      <w:sz w:val="22"/>
                      <w:szCs w:val="22"/>
                      <w:highlight w:val="none"/>
                    </w:rPr>
                    <w:t>现状浓度μg/m</w:t>
                  </w:r>
                  <w:r>
                    <w:rPr>
                      <w:color w:val="auto"/>
                      <w:sz w:val="22"/>
                      <w:szCs w:val="22"/>
                      <w:highlight w:val="none"/>
                      <w:vertAlign w:val="superscript"/>
                    </w:rPr>
                    <w:t>3</w:t>
                  </w:r>
                </w:p>
              </w:tc>
              <w:tc>
                <w:tcPr>
                  <w:tcW w:w="1147" w:type="dxa"/>
                  <w:vAlign w:val="center"/>
                </w:tcPr>
                <w:p w14:paraId="4C61061B">
                  <w:pPr>
                    <w:pStyle w:val="53"/>
                    <w:adjustRightInd w:val="0"/>
                    <w:snapToGrid w:val="0"/>
                    <w:spacing w:before="0" w:after="0"/>
                    <w:rPr>
                      <w:color w:val="auto"/>
                      <w:sz w:val="22"/>
                      <w:szCs w:val="22"/>
                      <w:highlight w:val="none"/>
                      <w:vertAlign w:val="superscript"/>
                    </w:rPr>
                  </w:pPr>
                  <w:r>
                    <w:rPr>
                      <w:color w:val="auto"/>
                      <w:sz w:val="22"/>
                      <w:szCs w:val="22"/>
                      <w:highlight w:val="none"/>
                    </w:rPr>
                    <w:t>标准限值μg/m</w:t>
                  </w:r>
                  <w:r>
                    <w:rPr>
                      <w:color w:val="auto"/>
                      <w:sz w:val="22"/>
                      <w:szCs w:val="22"/>
                      <w:highlight w:val="none"/>
                      <w:vertAlign w:val="superscript"/>
                    </w:rPr>
                    <w:t>3</w:t>
                  </w:r>
                </w:p>
              </w:tc>
              <w:tc>
                <w:tcPr>
                  <w:tcW w:w="1050" w:type="dxa"/>
                  <w:vAlign w:val="center"/>
                </w:tcPr>
                <w:p w14:paraId="606360F1">
                  <w:pPr>
                    <w:pStyle w:val="7"/>
                    <w:adjustRightInd w:val="0"/>
                    <w:spacing w:before="0" w:after="0" w:line="240" w:lineRule="auto"/>
                    <w:ind w:right="0"/>
                    <w:jc w:val="center"/>
                    <w:rPr>
                      <w:color w:val="auto"/>
                      <w:sz w:val="22"/>
                      <w:szCs w:val="22"/>
                      <w:highlight w:val="none"/>
                    </w:rPr>
                  </w:pPr>
                  <w:r>
                    <w:rPr>
                      <w:color w:val="auto"/>
                      <w:sz w:val="22"/>
                      <w:szCs w:val="22"/>
                      <w:highlight w:val="none"/>
                    </w:rPr>
                    <w:t>占标率%</w:t>
                  </w:r>
                </w:p>
              </w:tc>
              <w:tc>
                <w:tcPr>
                  <w:tcW w:w="1027" w:type="dxa"/>
                  <w:vAlign w:val="center"/>
                </w:tcPr>
                <w:p w14:paraId="0188EFBD">
                  <w:pPr>
                    <w:pStyle w:val="7"/>
                    <w:adjustRightInd w:val="0"/>
                    <w:spacing w:before="0" w:after="0" w:line="240" w:lineRule="auto"/>
                    <w:ind w:right="0"/>
                    <w:jc w:val="center"/>
                    <w:rPr>
                      <w:color w:val="auto"/>
                      <w:sz w:val="22"/>
                      <w:szCs w:val="22"/>
                      <w:highlight w:val="none"/>
                    </w:rPr>
                  </w:pPr>
                  <w:r>
                    <w:rPr>
                      <w:color w:val="auto"/>
                      <w:sz w:val="22"/>
                      <w:szCs w:val="22"/>
                      <w:highlight w:val="none"/>
                    </w:rPr>
                    <w:t>达标情况</w:t>
                  </w:r>
                </w:p>
              </w:tc>
            </w:tr>
            <w:tr w14:paraId="12BC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3" w:hRule="atLeast"/>
                <w:jc w:val="center"/>
              </w:trPr>
              <w:tc>
                <w:tcPr>
                  <w:tcW w:w="938" w:type="dxa"/>
                  <w:vAlign w:val="center"/>
                </w:tcPr>
                <w:p w14:paraId="7CF96BF8">
                  <w:pPr>
                    <w:pStyle w:val="53"/>
                    <w:adjustRightInd w:val="0"/>
                    <w:snapToGrid w:val="0"/>
                    <w:spacing w:before="0" w:after="0"/>
                    <w:rPr>
                      <w:color w:val="auto"/>
                      <w:sz w:val="22"/>
                      <w:szCs w:val="22"/>
                      <w:highlight w:val="none"/>
                    </w:rPr>
                  </w:pPr>
                  <w:r>
                    <w:rPr>
                      <w:color w:val="auto"/>
                      <w:sz w:val="22"/>
                      <w:szCs w:val="22"/>
                      <w:highlight w:val="none"/>
                    </w:rPr>
                    <w:t>SO</w:t>
                  </w:r>
                  <w:r>
                    <w:rPr>
                      <w:color w:val="auto"/>
                      <w:sz w:val="22"/>
                      <w:szCs w:val="22"/>
                      <w:highlight w:val="none"/>
                      <w:vertAlign w:val="subscript"/>
                    </w:rPr>
                    <w:t>2</w:t>
                  </w:r>
                </w:p>
              </w:tc>
              <w:tc>
                <w:tcPr>
                  <w:tcW w:w="2665" w:type="dxa"/>
                  <w:vMerge w:val="restart"/>
                  <w:vAlign w:val="center"/>
                </w:tcPr>
                <w:p w14:paraId="1DD8AD81">
                  <w:pPr>
                    <w:pStyle w:val="53"/>
                    <w:adjustRightInd w:val="0"/>
                    <w:snapToGrid w:val="0"/>
                    <w:spacing w:before="0" w:after="0"/>
                    <w:rPr>
                      <w:color w:val="auto"/>
                      <w:sz w:val="22"/>
                      <w:szCs w:val="22"/>
                      <w:highlight w:val="none"/>
                    </w:rPr>
                  </w:pPr>
                  <w:r>
                    <w:rPr>
                      <w:color w:val="auto"/>
                      <w:sz w:val="22"/>
                      <w:szCs w:val="22"/>
                      <w:highlight w:val="none"/>
                    </w:rPr>
                    <w:t>年平均浓度</w:t>
                  </w:r>
                </w:p>
              </w:tc>
              <w:tc>
                <w:tcPr>
                  <w:tcW w:w="1137" w:type="dxa"/>
                  <w:vAlign w:val="center"/>
                </w:tcPr>
                <w:p w14:paraId="574F4FA2">
                  <w:pPr>
                    <w:pStyle w:val="53"/>
                    <w:adjustRightInd w:val="0"/>
                    <w:snapToGrid w:val="0"/>
                    <w:spacing w:before="0" w:after="0"/>
                    <w:rPr>
                      <w:rFonts w:hint="eastAsia" w:eastAsia="宋体"/>
                      <w:color w:val="auto"/>
                      <w:sz w:val="22"/>
                      <w:szCs w:val="22"/>
                      <w:highlight w:val="none"/>
                      <w:lang w:eastAsia="zh-CN"/>
                    </w:rPr>
                  </w:pPr>
                  <w:r>
                    <w:rPr>
                      <w:rFonts w:hint="eastAsia"/>
                      <w:bCs/>
                      <w:color w:val="auto"/>
                      <w:sz w:val="22"/>
                      <w:szCs w:val="22"/>
                      <w:highlight w:val="none"/>
                      <w:lang w:val="en-US" w:eastAsia="zh-CN"/>
                    </w:rPr>
                    <w:t>9</w:t>
                  </w:r>
                </w:p>
              </w:tc>
              <w:tc>
                <w:tcPr>
                  <w:tcW w:w="1147" w:type="dxa"/>
                  <w:vAlign w:val="center"/>
                </w:tcPr>
                <w:p w14:paraId="361E314D">
                  <w:pPr>
                    <w:pStyle w:val="50"/>
                    <w:adjustRightInd w:val="0"/>
                    <w:snapToGrid w:val="0"/>
                    <w:spacing w:line="240" w:lineRule="auto"/>
                    <w:ind w:firstLine="0" w:firstLineChars="0"/>
                    <w:jc w:val="center"/>
                    <w:rPr>
                      <w:rFonts w:ascii="Times New Roman" w:hAnsi="Times New Roman" w:cs="Times New Roman"/>
                      <w:bCs/>
                      <w:color w:val="auto"/>
                      <w:sz w:val="22"/>
                      <w:szCs w:val="22"/>
                      <w:highlight w:val="none"/>
                      <w:lang w:val="en-GB"/>
                    </w:rPr>
                  </w:pPr>
                  <w:r>
                    <w:rPr>
                      <w:rFonts w:ascii="Times New Roman" w:hAnsi="Times New Roman" w:cs="Times New Roman"/>
                      <w:color w:val="auto"/>
                      <w:sz w:val="22"/>
                      <w:szCs w:val="22"/>
                      <w:highlight w:val="none"/>
                    </w:rPr>
                    <w:t>60</w:t>
                  </w:r>
                </w:p>
              </w:tc>
              <w:tc>
                <w:tcPr>
                  <w:tcW w:w="1050" w:type="dxa"/>
                  <w:vAlign w:val="center"/>
                </w:tcPr>
                <w:p w14:paraId="438C4731">
                  <w:pPr>
                    <w:pStyle w:val="53"/>
                    <w:adjustRightInd w:val="0"/>
                    <w:snapToGrid w:val="0"/>
                    <w:spacing w:before="0" w:after="0"/>
                    <w:rPr>
                      <w:rFonts w:hint="default" w:eastAsia="宋体"/>
                      <w:color w:val="auto"/>
                      <w:sz w:val="22"/>
                      <w:szCs w:val="22"/>
                      <w:highlight w:val="none"/>
                      <w:lang w:val="en-US" w:eastAsia="zh-CN"/>
                    </w:rPr>
                  </w:pPr>
                  <w:r>
                    <w:rPr>
                      <w:rFonts w:hint="eastAsia"/>
                      <w:color w:val="auto"/>
                      <w:sz w:val="22"/>
                      <w:szCs w:val="22"/>
                      <w:highlight w:val="none"/>
                      <w:lang w:val="en-US" w:eastAsia="zh-CN"/>
                    </w:rPr>
                    <w:t>15.0</w:t>
                  </w:r>
                </w:p>
              </w:tc>
              <w:tc>
                <w:tcPr>
                  <w:tcW w:w="1027" w:type="dxa"/>
                  <w:vAlign w:val="center"/>
                </w:tcPr>
                <w:p w14:paraId="5FC481B9">
                  <w:pPr>
                    <w:pStyle w:val="53"/>
                    <w:adjustRightInd w:val="0"/>
                    <w:snapToGrid w:val="0"/>
                    <w:spacing w:before="0" w:after="0"/>
                    <w:rPr>
                      <w:color w:val="auto"/>
                      <w:sz w:val="22"/>
                      <w:szCs w:val="22"/>
                      <w:highlight w:val="none"/>
                    </w:rPr>
                  </w:pPr>
                  <w:r>
                    <w:rPr>
                      <w:color w:val="auto"/>
                      <w:sz w:val="22"/>
                      <w:szCs w:val="22"/>
                      <w:highlight w:val="none"/>
                    </w:rPr>
                    <w:t>达标</w:t>
                  </w:r>
                </w:p>
              </w:tc>
            </w:tr>
            <w:tr w14:paraId="47EC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3" w:hRule="atLeast"/>
                <w:jc w:val="center"/>
              </w:trPr>
              <w:tc>
                <w:tcPr>
                  <w:tcW w:w="938" w:type="dxa"/>
                  <w:vAlign w:val="center"/>
                </w:tcPr>
                <w:p w14:paraId="4727F9B5">
                  <w:pPr>
                    <w:pStyle w:val="53"/>
                    <w:adjustRightInd w:val="0"/>
                    <w:snapToGrid w:val="0"/>
                    <w:spacing w:before="0" w:after="0"/>
                    <w:rPr>
                      <w:color w:val="auto"/>
                      <w:sz w:val="22"/>
                      <w:szCs w:val="22"/>
                      <w:highlight w:val="none"/>
                    </w:rPr>
                  </w:pPr>
                  <w:r>
                    <w:rPr>
                      <w:color w:val="auto"/>
                      <w:sz w:val="22"/>
                      <w:szCs w:val="22"/>
                      <w:highlight w:val="none"/>
                    </w:rPr>
                    <w:t>NO</w:t>
                  </w:r>
                  <w:r>
                    <w:rPr>
                      <w:color w:val="auto"/>
                      <w:sz w:val="22"/>
                      <w:szCs w:val="22"/>
                      <w:highlight w:val="none"/>
                      <w:vertAlign w:val="subscript"/>
                    </w:rPr>
                    <w:t>2</w:t>
                  </w:r>
                </w:p>
              </w:tc>
              <w:tc>
                <w:tcPr>
                  <w:tcW w:w="2665" w:type="dxa"/>
                  <w:vMerge w:val="continue"/>
                  <w:vAlign w:val="center"/>
                </w:tcPr>
                <w:p w14:paraId="2340CFF0">
                  <w:pPr>
                    <w:pStyle w:val="53"/>
                    <w:adjustRightInd w:val="0"/>
                    <w:snapToGrid w:val="0"/>
                    <w:spacing w:before="0" w:after="0"/>
                    <w:rPr>
                      <w:color w:val="auto"/>
                      <w:sz w:val="22"/>
                      <w:szCs w:val="22"/>
                      <w:highlight w:val="none"/>
                    </w:rPr>
                  </w:pPr>
                </w:p>
              </w:tc>
              <w:tc>
                <w:tcPr>
                  <w:tcW w:w="1137" w:type="dxa"/>
                  <w:vAlign w:val="center"/>
                </w:tcPr>
                <w:p w14:paraId="33713DE4">
                  <w:pPr>
                    <w:pStyle w:val="53"/>
                    <w:adjustRightInd w:val="0"/>
                    <w:snapToGrid w:val="0"/>
                    <w:spacing w:before="0" w:after="0"/>
                    <w:rPr>
                      <w:rFonts w:hint="default" w:eastAsia="宋体"/>
                      <w:color w:val="auto"/>
                      <w:sz w:val="22"/>
                      <w:szCs w:val="22"/>
                      <w:highlight w:val="none"/>
                      <w:lang w:val="en-US" w:eastAsia="zh-CN"/>
                    </w:rPr>
                  </w:pPr>
                  <w:r>
                    <w:rPr>
                      <w:rFonts w:hint="eastAsia"/>
                      <w:bCs/>
                      <w:color w:val="auto"/>
                      <w:sz w:val="22"/>
                      <w:szCs w:val="22"/>
                      <w:highlight w:val="none"/>
                      <w:lang w:val="en-US" w:eastAsia="zh-CN"/>
                    </w:rPr>
                    <w:t>20</w:t>
                  </w:r>
                </w:p>
              </w:tc>
              <w:tc>
                <w:tcPr>
                  <w:tcW w:w="1147" w:type="dxa"/>
                  <w:vAlign w:val="center"/>
                </w:tcPr>
                <w:p w14:paraId="1C5B5CAC">
                  <w:pPr>
                    <w:adjustRightInd w:val="0"/>
                    <w:snapToGrid w:val="0"/>
                    <w:jc w:val="center"/>
                    <w:rPr>
                      <w:bCs/>
                      <w:color w:val="auto"/>
                      <w:sz w:val="22"/>
                      <w:szCs w:val="22"/>
                      <w:highlight w:val="none"/>
                      <w:lang w:val="en-GB"/>
                    </w:rPr>
                  </w:pPr>
                  <w:r>
                    <w:rPr>
                      <w:color w:val="auto"/>
                      <w:sz w:val="22"/>
                      <w:szCs w:val="22"/>
                      <w:highlight w:val="none"/>
                    </w:rPr>
                    <w:t>40</w:t>
                  </w:r>
                </w:p>
              </w:tc>
              <w:tc>
                <w:tcPr>
                  <w:tcW w:w="1050" w:type="dxa"/>
                  <w:vAlign w:val="center"/>
                </w:tcPr>
                <w:p w14:paraId="4824F577">
                  <w:pPr>
                    <w:pStyle w:val="53"/>
                    <w:adjustRightInd w:val="0"/>
                    <w:snapToGrid w:val="0"/>
                    <w:spacing w:before="0" w:after="0"/>
                    <w:rPr>
                      <w:rFonts w:hint="default" w:eastAsia="宋体"/>
                      <w:color w:val="auto"/>
                      <w:sz w:val="22"/>
                      <w:szCs w:val="22"/>
                      <w:highlight w:val="none"/>
                      <w:lang w:val="en-US" w:eastAsia="zh-CN"/>
                    </w:rPr>
                  </w:pPr>
                  <w:r>
                    <w:rPr>
                      <w:rFonts w:hint="eastAsia"/>
                      <w:color w:val="auto"/>
                      <w:sz w:val="22"/>
                      <w:szCs w:val="22"/>
                      <w:highlight w:val="none"/>
                      <w:lang w:val="en-US" w:eastAsia="zh-CN"/>
                    </w:rPr>
                    <w:t>50.0</w:t>
                  </w:r>
                </w:p>
              </w:tc>
              <w:tc>
                <w:tcPr>
                  <w:tcW w:w="1027" w:type="dxa"/>
                  <w:vAlign w:val="center"/>
                </w:tcPr>
                <w:p w14:paraId="1F6103F2">
                  <w:pPr>
                    <w:pStyle w:val="53"/>
                    <w:adjustRightInd w:val="0"/>
                    <w:snapToGrid w:val="0"/>
                    <w:spacing w:before="0" w:after="0"/>
                    <w:rPr>
                      <w:color w:val="auto"/>
                      <w:sz w:val="22"/>
                      <w:szCs w:val="22"/>
                      <w:highlight w:val="none"/>
                    </w:rPr>
                  </w:pPr>
                  <w:r>
                    <w:rPr>
                      <w:color w:val="auto"/>
                      <w:sz w:val="22"/>
                      <w:szCs w:val="22"/>
                      <w:highlight w:val="none"/>
                    </w:rPr>
                    <w:t>达标</w:t>
                  </w:r>
                </w:p>
              </w:tc>
            </w:tr>
            <w:tr w14:paraId="4DEC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3" w:hRule="atLeast"/>
                <w:jc w:val="center"/>
              </w:trPr>
              <w:tc>
                <w:tcPr>
                  <w:tcW w:w="938" w:type="dxa"/>
                  <w:vAlign w:val="center"/>
                </w:tcPr>
                <w:p w14:paraId="0EB7B20A">
                  <w:pPr>
                    <w:pStyle w:val="53"/>
                    <w:adjustRightInd w:val="0"/>
                    <w:snapToGrid w:val="0"/>
                    <w:spacing w:before="0" w:after="0"/>
                    <w:rPr>
                      <w:color w:val="auto"/>
                      <w:sz w:val="22"/>
                      <w:szCs w:val="22"/>
                      <w:highlight w:val="none"/>
                    </w:rPr>
                  </w:pPr>
                  <w:r>
                    <w:rPr>
                      <w:color w:val="auto"/>
                      <w:sz w:val="22"/>
                      <w:szCs w:val="22"/>
                      <w:highlight w:val="none"/>
                    </w:rPr>
                    <w:t>PM</w:t>
                  </w:r>
                  <w:r>
                    <w:rPr>
                      <w:color w:val="auto"/>
                      <w:sz w:val="22"/>
                      <w:szCs w:val="22"/>
                      <w:highlight w:val="none"/>
                      <w:vertAlign w:val="subscript"/>
                    </w:rPr>
                    <w:t>10</w:t>
                  </w:r>
                </w:p>
              </w:tc>
              <w:tc>
                <w:tcPr>
                  <w:tcW w:w="2665" w:type="dxa"/>
                  <w:vMerge w:val="continue"/>
                  <w:vAlign w:val="center"/>
                </w:tcPr>
                <w:p w14:paraId="7B9FD1B7">
                  <w:pPr>
                    <w:pStyle w:val="53"/>
                    <w:adjustRightInd w:val="0"/>
                    <w:snapToGrid w:val="0"/>
                    <w:spacing w:before="0" w:after="0"/>
                    <w:rPr>
                      <w:color w:val="auto"/>
                      <w:sz w:val="22"/>
                      <w:szCs w:val="22"/>
                      <w:highlight w:val="none"/>
                    </w:rPr>
                  </w:pPr>
                </w:p>
              </w:tc>
              <w:tc>
                <w:tcPr>
                  <w:tcW w:w="1137" w:type="dxa"/>
                  <w:vAlign w:val="center"/>
                </w:tcPr>
                <w:p w14:paraId="78216FBE">
                  <w:pPr>
                    <w:pStyle w:val="53"/>
                    <w:adjustRightInd w:val="0"/>
                    <w:snapToGrid w:val="0"/>
                    <w:spacing w:before="0" w:after="0"/>
                    <w:rPr>
                      <w:rFonts w:hint="default" w:eastAsia="宋体"/>
                      <w:color w:val="auto"/>
                      <w:sz w:val="22"/>
                      <w:szCs w:val="22"/>
                      <w:highlight w:val="none"/>
                      <w:lang w:val="en-US" w:eastAsia="zh-CN"/>
                    </w:rPr>
                  </w:pPr>
                  <w:r>
                    <w:rPr>
                      <w:rFonts w:hint="eastAsia"/>
                      <w:color w:val="auto"/>
                      <w:sz w:val="22"/>
                      <w:szCs w:val="22"/>
                      <w:highlight w:val="none"/>
                      <w:lang w:val="en-US" w:eastAsia="zh-CN"/>
                    </w:rPr>
                    <w:t>52</w:t>
                  </w:r>
                </w:p>
              </w:tc>
              <w:tc>
                <w:tcPr>
                  <w:tcW w:w="1147" w:type="dxa"/>
                  <w:vAlign w:val="center"/>
                </w:tcPr>
                <w:p w14:paraId="3A28412C">
                  <w:pPr>
                    <w:adjustRightInd w:val="0"/>
                    <w:snapToGrid w:val="0"/>
                    <w:jc w:val="center"/>
                    <w:rPr>
                      <w:bCs/>
                      <w:color w:val="auto"/>
                      <w:sz w:val="22"/>
                      <w:szCs w:val="22"/>
                      <w:highlight w:val="none"/>
                      <w:lang w:val="en-GB"/>
                    </w:rPr>
                  </w:pPr>
                  <w:r>
                    <w:rPr>
                      <w:color w:val="auto"/>
                      <w:sz w:val="22"/>
                      <w:szCs w:val="22"/>
                      <w:highlight w:val="none"/>
                    </w:rPr>
                    <w:t>70</w:t>
                  </w:r>
                </w:p>
              </w:tc>
              <w:tc>
                <w:tcPr>
                  <w:tcW w:w="1050" w:type="dxa"/>
                  <w:vAlign w:val="center"/>
                </w:tcPr>
                <w:p w14:paraId="63E4D285">
                  <w:pPr>
                    <w:pStyle w:val="53"/>
                    <w:adjustRightInd w:val="0"/>
                    <w:snapToGrid w:val="0"/>
                    <w:spacing w:before="0" w:after="0"/>
                    <w:rPr>
                      <w:rFonts w:hint="default" w:eastAsia="宋体"/>
                      <w:color w:val="auto"/>
                      <w:sz w:val="22"/>
                      <w:szCs w:val="22"/>
                      <w:highlight w:val="none"/>
                      <w:lang w:val="en-US" w:eastAsia="zh-CN"/>
                    </w:rPr>
                  </w:pPr>
                  <w:r>
                    <w:rPr>
                      <w:rFonts w:hint="eastAsia"/>
                      <w:color w:val="auto"/>
                      <w:sz w:val="22"/>
                      <w:szCs w:val="22"/>
                      <w:highlight w:val="none"/>
                      <w:lang w:val="en-US" w:eastAsia="zh-CN"/>
                    </w:rPr>
                    <w:t>74.3</w:t>
                  </w:r>
                </w:p>
              </w:tc>
              <w:tc>
                <w:tcPr>
                  <w:tcW w:w="1027" w:type="dxa"/>
                  <w:vAlign w:val="center"/>
                </w:tcPr>
                <w:p w14:paraId="7469529B">
                  <w:pPr>
                    <w:pStyle w:val="53"/>
                    <w:adjustRightInd w:val="0"/>
                    <w:snapToGrid w:val="0"/>
                    <w:spacing w:before="0" w:after="0"/>
                    <w:rPr>
                      <w:color w:val="auto"/>
                      <w:sz w:val="22"/>
                      <w:szCs w:val="22"/>
                      <w:highlight w:val="none"/>
                    </w:rPr>
                  </w:pPr>
                  <w:r>
                    <w:rPr>
                      <w:color w:val="auto"/>
                      <w:sz w:val="22"/>
                      <w:szCs w:val="22"/>
                      <w:highlight w:val="none"/>
                    </w:rPr>
                    <w:t>达标</w:t>
                  </w:r>
                </w:p>
              </w:tc>
            </w:tr>
            <w:tr w14:paraId="5591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3" w:hRule="atLeast"/>
                <w:jc w:val="center"/>
              </w:trPr>
              <w:tc>
                <w:tcPr>
                  <w:tcW w:w="938" w:type="dxa"/>
                  <w:vAlign w:val="center"/>
                </w:tcPr>
                <w:p w14:paraId="1610ACEA">
                  <w:pPr>
                    <w:pStyle w:val="53"/>
                    <w:adjustRightInd w:val="0"/>
                    <w:snapToGrid w:val="0"/>
                    <w:spacing w:before="0" w:after="0"/>
                    <w:rPr>
                      <w:color w:val="auto"/>
                      <w:sz w:val="22"/>
                      <w:szCs w:val="22"/>
                      <w:highlight w:val="none"/>
                    </w:rPr>
                  </w:pPr>
                  <w:r>
                    <w:rPr>
                      <w:color w:val="auto"/>
                      <w:sz w:val="22"/>
                      <w:szCs w:val="22"/>
                      <w:highlight w:val="none"/>
                    </w:rPr>
                    <w:t>PM</w:t>
                  </w:r>
                  <w:r>
                    <w:rPr>
                      <w:color w:val="auto"/>
                      <w:sz w:val="22"/>
                      <w:szCs w:val="22"/>
                      <w:highlight w:val="none"/>
                      <w:vertAlign w:val="subscript"/>
                    </w:rPr>
                    <w:t>2.5</w:t>
                  </w:r>
                </w:p>
              </w:tc>
              <w:tc>
                <w:tcPr>
                  <w:tcW w:w="2665" w:type="dxa"/>
                  <w:vMerge w:val="continue"/>
                  <w:vAlign w:val="center"/>
                </w:tcPr>
                <w:p w14:paraId="3AF0D893">
                  <w:pPr>
                    <w:pStyle w:val="53"/>
                    <w:adjustRightInd w:val="0"/>
                    <w:snapToGrid w:val="0"/>
                    <w:spacing w:before="0" w:after="0"/>
                    <w:rPr>
                      <w:color w:val="auto"/>
                      <w:sz w:val="22"/>
                      <w:szCs w:val="22"/>
                      <w:highlight w:val="none"/>
                    </w:rPr>
                  </w:pPr>
                </w:p>
              </w:tc>
              <w:tc>
                <w:tcPr>
                  <w:tcW w:w="1137" w:type="dxa"/>
                  <w:vAlign w:val="center"/>
                </w:tcPr>
                <w:p w14:paraId="3FF93375">
                  <w:pPr>
                    <w:pStyle w:val="53"/>
                    <w:adjustRightInd w:val="0"/>
                    <w:snapToGrid w:val="0"/>
                    <w:spacing w:before="0" w:after="0"/>
                    <w:rPr>
                      <w:rFonts w:hint="default" w:eastAsia="宋体"/>
                      <w:color w:val="auto"/>
                      <w:sz w:val="22"/>
                      <w:szCs w:val="22"/>
                      <w:highlight w:val="none"/>
                      <w:lang w:val="en-US" w:eastAsia="zh-CN"/>
                    </w:rPr>
                  </w:pPr>
                  <w:r>
                    <w:rPr>
                      <w:rFonts w:hint="eastAsia"/>
                      <w:color w:val="auto"/>
                      <w:sz w:val="22"/>
                      <w:szCs w:val="22"/>
                      <w:highlight w:val="none"/>
                      <w:lang w:val="en-US" w:eastAsia="zh-CN"/>
                    </w:rPr>
                    <w:t>44</w:t>
                  </w:r>
                </w:p>
              </w:tc>
              <w:tc>
                <w:tcPr>
                  <w:tcW w:w="1147" w:type="dxa"/>
                  <w:vAlign w:val="center"/>
                </w:tcPr>
                <w:p w14:paraId="200830DA">
                  <w:pPr>
                    <w:adjustRightInd w:val="0"/>
                    <w:snapToGrid w:val="0"/>
                    <w:jc w:val="center"/>
                    <w:rPr>
                      <w:bCs/>
                      <w:color w:val="auto"/>
                      <w:sz w:val="22"/>
                      <w:szCs w:val="22"/>
                      <w:highlight w:val="none"/>
                      <w:lang w:val="en-GB"/>
                    </w:rPr>
                  </w:pPr>
                  <w:r>
                    <w:rPr>
                      <w:bCs/>
                      <w:color w:val="auto"/>
                      <w:sz w:val="22"/>
                      <w:szCs w:val="22"/>
                      <w:highlight w:val="none"/>
                    </w:rPr>
                    <w:t>35</w:t>
                  </w:r>
                </w:p>
              </w:tc>
              <w:tc>
                <w:tcPr>
                  <w:tcW w:w="1050" w:type="dxa"/>
                  <w:vAlign w:val="center"/>
                </w:tcPr>
                <w:p w14:paraId="3BAD2A17">
                  <w:pPr>
                    <w:pStyle w:val="53"/>
                    <w:adjustRightInd w:val="0"/>
                    <w:snapToGrid w:val="0"/>
                    <w:spacing w:before="0" w:after="0"/>
                    <w:rPr>
                      <w:rFonts w:hint="default" w:eastAsia="宋体"/>
                      <w:color w:val="auto"/>
                      <w:sz w:val="22"/>
                      <w:szCs w:val="22"/>
                      <w:highlight w:val="none"/>
                      <w:lang w:val="en-US" w:eastAsia="zh-CN"/>
                    </w:rPr>
                  </w:pPr>
                  <w:r>
                    <w:rPr>
                      <w:rFonts w:hint="eastAsia"/>
                      <w:color w:val="auto"/>
                      <w:sz w:val="22"/>
                      <w:szCs w:val="22"/>
                      <w:highlight w:val="none"/>
                      <w:lang w:val="en-US" w:eastAsia="zh-CN"/>
                    </w:rPr>
                    <w:t>125.7</w:t>
                  </w:r>
                </w:p>
              </w:tc>
              <w:tc>
                <w:tcPr>
                  <w:tcW w:w="1027" w:type="dxa"/>
                  <w:vAlign w:val="center"/>
                </w:tcPr>
                <w:p w14:paraId="63F41F01">
                  <w:pPr>
                    <w:pStyle w:val="53"/>
                    <w:adjustRightInd w:val="0"/>
                    <w:snapToGrid w:val="0"/>
                    <w:spacing w:before="0" w:after="0"/>
                    <w:rPr>
                      <w:b/>
                      <w:bCs/>
                      <w:color w:val="auto"/>
                      <w:sz w:val="22"/>
                      <w:szCs w:val="22"/>
                      <w:highlight w:val="none"/>
                    </w:rPr>
                  </w:pPr>
                  <w:r>
                    <w:rPr>
                      <w:rFonts w:hint="eastAsia"/>
                      <w:b/>
                      <w:bCs/>
                      <w:color w:val="auto"/>
                      <w:sz w:val="22"/>
                      <w:szCs w:val="22"/>
                      <w:highlight w:val="none"/>
                    </w:rPr>
                    <w:t>不</w:t>
                  </w:r>
                  <w:r>
                    <w:rPr>
                      <w:b/>
                      <w:bCs/>
                      <w:color w:val="auto"/>
                      <w:sz w:val="22"/>
                      <w:szCs w:val="22"/>
                      <w:highlight w:val="none"/>
                    </w:rPr>
                    <w:t>达标</w:t>
                  </w:r>
                </w:p>
              </w:tc>
            </w:tr>
            <w:tr w14:paraId="7529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3" w:hRule="atLeast"/>
                <w:jc w:val="center"/>
              </w:trPr>
              <w:tc>
                <w:tcPr>
                  <w:tcW w:w="938" w:type="dxa"/>
                  <w:vAlign w:val="center"/>
                </w:tcPr>
                <w:p w14:paraId="64EB7261">
                  <w:pPr>
                    <w:pStyle w:val="53"/>
                    <w:adjustRightInd w:val="0"/>
                    <w:snapToGrid w:val="0"/>
                    <w:spacing w:before="0" w:after="0"/>
                    <w:rPr>
                      <w:color w:val="auto"/>
                      <w:sz w:val="22"/>
                      <w:szCs w:val="22"/>
                      <w:highlight w:val="none"/>
                    </w:rPr>
                  </w:pPr>
                  <w:r>
                    <w:rPr>
                      <w:color w:val="auto"/>
                      <w:sz w:val="22"/>
                      <w:szCs w:val="22"/>
                      <w:highlight w:val="none"/>
                    </w:rPr>
                    <w:t>CO</w:t>
                  </w:r>
                </w:p>
              </w:tc>
              <w:tc>
                <w:tcPr>
                  <w:tcW w:w="2665" w:type="dxa"/>
                  <w:vAlign w:val="center"/>
                </w:tcPr>
                <w:p w14:paraId="0046EEF1">
                  <w:pPr>
                    <w:pStyle w:val="53"/>
                    <w:adjustRightInd w:val="0"/>
                    <w:snapToGrid w:val="0"/>
                    <w:spacing w:before="0" w:after="0"/>
                    <w:rPr>
                      <w:color w:val="auto"/>
                      <w:sz w:val="22"/>
                      <w:szCs w:val="22"/>
                      <w:highlight w:val="none"/>
                    </w:rPr>
                  </w:pPr>
                  <w:r>
                    <w:rPr>
                      <w:rFonts w:hint="eastAsia"/>
                      <w:color w:val="auto"/>
                      <w:sz w:val="22"/>
                      <w:szCs w:val="22"/>
                      <w:highlight w:val="none"/>
                    </w:rPr>
                    <w:t>日均浓度的第95百分位数</w:t>
                  </w:r>
                </w:p>
              </w:tc>
              <w:tc>
                <w:tcPr>
                  <w:tcW w:w="1137" w:type="dxa"/>
                  <w:vAlign w:val="center"/>
                </w:tcPr>
                <w:p w14:paraId="031A11EF">
                  <w:pPr>
                    <w:pStyle w:val="53"/>
                    <w:adjustRightInd w:val="0"/>
                    <w:snapToGrid w:val="0"/>
                    <w:spacing w:before="0" w:after="0"/>
                    <w:rPr>
                      <w:color w:val="auto"/>
                      <w:sz w:val="22"/>
                      <w:szCs w:val="22"/>
                      <w:highlight w:val="none"/>
                    </w:rPr>
                  </w:pPr>
                  <w:r>
                    <w:rPr>
                      <w:bCs/>
                      <w:color w:val="auto"/>
                      <w:sz w:val="22"/>
                      <w:szCs w:val="22"/>
                      <w:highlight w:val="none"/>
                      <w:lang w:val="en-GB"/>
                    </w:rPr>
                    <w:t>1</w:t>
                  </w:r>
                  <w:r>
                    <w:rPr>
                      <w:color w:val="auto"/>
                      <w:sz w:val="22"/>
                      <w:szCs w:val="22"/>
                      <w:highlight w:val="none"/>
                    </w:rPr>
                    <w:t>mg/m</w:t>
                  </w:r>
                  <w:r>
                    <w:rPr>
                      <w:color w:val="auto"/>
                      <w:sz w:val="22"/>
                      <w:szCs w:val="22"/>
                      <w:highlight w:val="none"/>
                      <w:vertAlign w:val="superscript"/>
                    </w:rPr>
                    <w:t>3</w:t>
                  </w:r>
                </w:p>
              </w:tc>
              <w:tc>
                <w:tcPr>
                  <w:tcW w:w="1147" w:type="dxa"/>
                  <w:vAlign w:val="center"/>
                </w:tcPr>
                <w:p w14:paraId="3F6B8595">
                  <w:pPr>
                    <w:adjustRightInd w:val="0"/>
                    <w:snapToGrid w:val="0"/>
                    <w:jc w:val="center"/>
                    <w:rPr>
                      <w:bCs/>
                      <w:color w:val="auto"/>
                      <w:sz w:val="22"/>
                      <w:szCs w:val="22"/>
                      <w:highlight w:val="none"/>
                      <w:lang w:val="en-GB"/>
                    </w:rPr>
                  </w:pPr>
                  <w:r>
                    <w:rPr>
                      <w:bCs/>
                      <w:color w:val="auto"/>
                      <w:sz w:val="22"/>
                      <w:szCs w:val="22"/>
                      <w:highlight w:val="none"/>
                      <w:lang w:val="en-GB"/>
                    </w:rPr>
                    <w:t>4</w:t>
                  </w:r>
                  <w:r>
                    <w:rPr>
                      <w:color w:val="auto"/>
                      <w:sz w:val="22"/>
                      <w:szCs w:val="22"/>
                      <w:highlight w:val="none"/>
                    </w:rPr>
                    <w:t>mg/m</w:t>
                  </w:r>
                  <w:r>
                    <w:rPr>
                      <w:color w:val="auto"/>
                      <w:sz w:val="22"/>
                      <w:szCs w:val="22"/>
                      <w:highlight w:val="none"/>
                      <w:vertAlign w:val="superscript"/>
                    </w:rPr>
                    <w:t>3</w:t>
                  </w:r>
                </w:p>
              </w:tc>
              <w:tc>
                <w:tcPr>
                  <w:tcW w:w="1050" w:type="dxa"/>
                  <w:vAlign w:val="center"/>
                </w:tcPr>
                <w:p w14:paraId="244033B5">
                  <w:pPr>
                    <w:pStyle w:val="53"/>
                    <w:adjustRightInd w:val="0"/>
                    <w:snapToGrid w:val="0"/>
                    <w:spacing w:before="0" w:after="0"/>
                    <w:rPr>
                      <w:color w:val="auto"/>
                      <w:sz w:val="22"/>
                      <w:szCs w:val="22"/>
                      <w:highlight w:val="none"/>
                      <w:lang w:val="en-GB"/>
                    </w:rPr>
                  </w:pPr>
                  <w:r>
                    <w:rPr>
                      <w:color w:val="auto"/>
                      <w:sz w:val="22"/>
                      <w:szCs w:val="22"/>
                      <w:highlight w:val="none"/>
                      <w:lang w:val="en-GB"/>
                    </w:rPr>
                    <w:t>25</w:t>
                  </w:r>
                </w:p>
              </w:tc>
              <w:tc>
                <w:tcPr>
                  <w:tcW w:w="1027" w:type="dxa"/>
                  <w:vAlign w:val="center"/>
                </w:tcPr>
                <w:p w14:paraId="27143858">
                  <w:pPr>
                    <w:pStyle w:val="53"/>
                    <w:adjustRightInd w:val="0"/>
                    <w:snapToGrid w:val="0"/>
                    <w:spacing w:before="0" w:after="0"/>
                    <w:rPr>
                      <w:color w:val="auto"/>
                      <w:sz w:val="22"/>
                      <w:szCs w:val="22"/>
                      <w:highlight w:val="none"/>
                    </w:rPr>
                  </w:pPr>
                  <w:r>
                    <w:rPr>
                      <w:color w:val="auto"/>
                      <w:sz w:val="22"/>
                      <w:szCs w:val="22"/>
                      <w:highlight w:val="none"/>
                    </w:rPr>
                    <w:t>达标</w:t>
                  </w:r>
                </w:p>
              </w:tc>
            </w:tr>
            <w:tr w14:paraId="28D0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3" w:hRule="atLeast"/>
                <w:jc w:val="center"/>
              </w:trPr>
              <w:tc>
                <w:tcPr>
                  <w:tcW w:w="938" w:type="dxa"/>
                  <w:vAlign w:val="center"/>
                </w:tcPr>
                <w:p w14:paraId="3B7E63CE">
                  <w:pPr>
                    <w:pStyle w:val="53"/>
                    <w:adjustRightInd w:val="0"/>
                    <w:snapToGrid w:val="0"/>
                    <w:spacing w:before="0" w:after="0"/>
                    <w:rPr>
                      <w:color w:val="auto"/>
                      <w:sz w:val="22"/>
                      <w:szCs w:val="22"/>
                      <w:highlight w:val="none"/>
                      <w:vertAlign w:val="subscript"/>
                    </w:rPr>
                  </w:pPr>
                  <w:r>
                    <w:rPr>
                      <w:color w:val="auto"/>
                      <w:sz w:val="22"/>
                      <w:szCs w:val="22"/>
                      <w:highlight w:val="none"/>
                    </w:rPr>
                    <w:t>O</w:t>
                  </w:r>
                  <w:r>
                    <w:rPr>
                      <w:color w:val="auto"/>
                      <w:sz w:val="22"/>
                      <w:szCs w:val="22"/>
                      <w:highlight w:val="none"/>
                      <w:vertAlign w:val="subscript"/>
                    </w:rPr>
                    <w:t>3</w:t>
                  </w:r>
                </w:p>
              </w:tc>
              <w:tc>
                <w:tcPr>
                  <w:tcW w:w="2665" w:type="dxa"/>
                  <w:vAlign w:val="center"/>
                </w:tcPr>
                <w:p w14:paraId="7ADCCB3A">
                  <w:pPr>
                    <w:pStyle w:val="53"/>
                    <w:adjustRightInd w:val="0"/>
                    <w:snapToGrid w:val="0"/>
                    <w:spacing w:before="0" w:after="0"/>
                    <w:rPr>
                      <w:color w:val="auto"/>
                      <w:sz w:val="22"/>
                      <w:szCs w:val="22"/>
                      <w:highlight w:val="none"/>
                    </w:rPr>
                  </w:pPr>
                  <w:r>
                    <w:rPr>
                      <w:rFonts w:hint="eastAsia"/>
                      <w:color w:val="auto"/>
                      <w:sz w:val="22"/>
                      <w:szCs w:val="22"/>
                      <w:highlight w:val="none"/>
                    </w:rPr>
                    <w:t>日最大8h平均浓度的第90百分位数</w:t>
                  </w:r>
                </w:p>
              </w:tc>
              <w:tc>
                <w:tcPr>
                  <w:tcW w:w="1137" w:type="dxa"/>
                  <w:vAlign w:val="center"/>
                </w:tcPr>
                <w:p w14:paraId="70976E62">
                  <w:pPr>
                    <w:pStyle w:val="53"/>
                    <w:adjustRightInd w:val="0"/>
                    <w:snapToGrid w:val="0"/>
                    <w:spacing w:before="0" w:after="0"/>
                    <w:rPr>
                      <w:rFonts w:hint="default" w:eastAsia="宋体"/>
                      <w:color w:val="auto"/>
                      <w:sz w:val="22"/>
                      <w:szCs w:val="22"/>
                      <w:highlight w:val="none"/>
                      <w:lang w:val="en-US" w:eastAsia="zh-CN"/>
                    </w:rPr>
                  </w:pPr>
                  <w:r>
                    <w:rPr>
                      <w:rFonts w:hint="eastAsia"/>
                      <w:color w:val="auto"/>
                      <w:sz w:val="22"/>
                      <w:szCs w:val="22"/>
                      <w:highlight w:val="none"/>
                      <w:lang w:val="en-US" w:eastAsia="zh-CN"/>
                    </w:rPr>
                    <w:t>120</w:t>
                  </w:r>
                </w:p>
              </w:tc>
              <w:tc>
                <w:tcPr>
                  <w:tcW w:w="1147" w:type="dxa"/>
                  <w:vAlign w:val="center"/>
                </w:tcPr>
                <w:p w14:paraId="65519B6A">
                  <w:pPr>
                    <w:adjustRightInd w:val="0"/>
                    <w:snapToGrid w:val="0"/>
                    <w:jc w:val="center"/>
                    <w:rPr>
                      <w:bCs/>
                      <w:color w:val="auto"/>
                      <w:sz w:val="22"/>
                      <w:szCs w:val="22"/>
                      <w:highlight w:val="none"/>
                      <w:lang w:val="en-GB"/>
                    </w:rPr>
                  </w:pPr>
                  <w:r>
                    <w:rPr>
                      <w:bCs/>
                      <w:color w:val="auto"/>
                      <w:sz w:val="22"/>
                      <w:szCs w:val="22"/>
                      <w:highlight w:val="none"/>
                      <w:lang w:val="en-GB"/>
                    </w:rPr>
                    <w:t>160</w:t>
                  </w:r>
                </w:p>
              </w:tc>
              <w:tc>
                <w:tcPr>
                  <w:tcW w:w="1050" w:type="dxa"/>
                  <w:vAlign w:val="center"/>
                </w:tcPr>
                <w:p w14:paraId="5C88F44B">
                  <w:pPr>
                    <w:pStyle w:val="7"/>
                    <w:adjustRightInd w:val="0"/>
                    <w:spacing w:before="0" w:after="0" w:line="240" w:lineRule="auto"/>
                    <w:ind w:right="0"/>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75.0</w:t>
                  </w:r>
                </w:p>
              </w:tc>
              <w:tc>
                <w:tcPr>
                  <w:tcW w:w="1027" w:type="dxa"/>
                  <w:vAlign w:val="center"/>
                </w:tcPr>
                <w:p w14:paraId="3F4A4A6D">
                  <w:pPr>
                    <w:pStyle w:val="53"/>
                    <w:adjustRightInd w:val="0"/>
                    <w:snapToGrid w:val="0"/>
                    <w:spacing w:before="0" w:after="0"/>
                    <w:rPr>
                      <w:color w:val="auto"/>
                      <w:sz w:val="22"/>
                      <w:szCs w:val="22"/>
                      <w:highlight w:val="none"/>
                    </w:rPr>
                  </w:pPr>
                  <w:r>
                    <w:rPr>
                      <w:color w:val="auto"/>
                      <w:sz w:val="22"/>
                      <w:szCs w:val="22"/>
                      <w:highlight w:val="none"/>
                    </w:rPr>
                    <w:t>达标</w:t>
                  </w:r>
                </w:p>
              </w:tc>
            </w:tr>
          </w:tbl>
          <w:p w14:paraId="5F036A97">
            <w:pPr>
              <w:snapToGrid w:val="0"/>
              <w:ind w:firstLine="504" w:firstLineChars="200"/>
              <w:jc w:val="center"/>
              <w:rPr>
                <w:color w:val="auto"/>
                <w:spacing w:val="6"/>
                <w:sz w:val="24"/>
                <w:highlight w:val="none"/>
              </w:rPr>
            </w:pPr>
            <w:r>
              <w:rPr>
                <w:rFonts w:hint="eastAsia"/>
                <w:color w:val="auto"/>
                <w:spacing w:val="6"/>
                <w:sz w:val="24"/>
                <w:highlight w:val="none"/>
              </w:rPr>
              <w:t xml:space="preserve"> </w:t>
            </w:r>
          </w:p>
          <w:p w14:paraId="13558B6D">
            <w:pPr>
              <w:adjustRightInd w:val="0"/>
              <w:snapToGrid w:val="0"/>
              <w:spacing w:line="480" w:lineRule="exact"/>
              <w:ind w:firstLine="520" w:firstLineChars="200"/>
              <w:rPr>
                <w:color w:val="auto"/>
                <w:kern w:val="0"/>
                <w:sz w:val="26"/>
                <w:szCs w:val="26"/>
                <w:highlight w:val="none"/>
              </w:rPr>
            </w:pPr>
            <w:r>
              <w:rPr>
                <w:color w:val="auto"/>
                <w:kern w:val="0"/>
                <w:sz w:val="26"/>
                <w:szCs w:val="26"/>
                <w:highlight w:val="none"/>
              </w:rPr>
              <w:t>由上表可知，项目所在区域</w:t>
            </w:r>
            <w:r>
              <w:rPr>
                <w:rFonts w:hint="eastAsia"/>
                <w:color w:val="auto"/>
                <w:kern w:val="0"/>
                <w:sz w:val="26"/>
                <w:szCs w:val="26"/>
                <w:highlight w:val="none"/>
              </w:rPr>
              <w:t>PM</w:t>
            </w:r>
            <w:r>
              <w:rPr>
                <w:rFonts w:hint="eastAsia"/>
                <w:color w:val="auto"/>
                <w:kern w:val="0"/>
                <w:sz w:val="26"/>
                <w:szCs w:val="26"/>
                <w:highlight w:val="none"/>
                <w:vertAlign w:val="subscript"/>
              </w:rPr>
              <w:t>2.5</w:t>
            </w:r>
            <w:r>
              <w:rPr>
                <w:rFonts w:hint="eastAsia"/>
                <w:color w:val="auto"/>
                <w:kern w:val="0"/>
                <w:sz w:val="26"/>
                <w:szCs w:val="26"/>
                <w:highlight w:val="none"/>
              </w:rPr>
              <w:t>年评价指标不满足</w:t>
            </w:r>
            <w:r>
              <w:rPr>
                <w:color w:val="auto"/>
                <w:kern w:val="0"/>
                <w:sz w:val="26"/>
                <w:szCs w:val="26"/>
                <w:highlight w:val="none"/>
              </w:rPr>
              <w:t>《环境空气质量标准》（GB3095-2012）二类标准</w:t>
            </w:r>
            <w:r>
              <w:rPr>
                <w:rFonts w:hint="eastAsia"/>
                <w:color w:val="auto"/>
                <w:kern w:val="0"/>
                <w:sz w:val="26"/>
                <w:szCs w:val="26"/>
                <w:highlight w:val="none"/>
              </w:rPr>
              <w:t>，</w:t>
            </w:r>
            <w:r>
              <w:rPr>
                <w:rFonts w:hint="eastAsia"/>
                <w:color w:val="auto"/>
                <w:kern w:val="0"/>
                <w:sz w:val="26"/>
                <w:szCs w:val="26"/>
                <w:highlight w:val="none"/>
                <w:lang w:eastAsia="zh-CN"/>
              </w:rPr>
              <w:t>其余基本因子年评价指标达标，</w:t>
            </w:r>
            <w:r>
              <w:rPr>
                <w:rFonts w:hint="eastAsia"/>
                <w:color w:val="auto"/>
                <w:kern w:val="0"/>
                <w:sz w:val="26"/>
                <w:szCs w:val="26"/>
                <w:highlight w:val="none"/>
              </w:rPr>
              <w:t>评价区域</w:t>
            </w:r>
            <w:r>
              <w:rPr>
                <w:rFonts w:hint="eastAsia"/>
                <w:color w:val="auto"/>
                <w:kern w:val="0"/>
                <w:sz w:val="26"/>
                <w:szCs w:val="26"/>
                <w:highlight w:val="none"/>
                <w:lang w:val="en-US" w:eastAsia="zh-CN"/>
              </w:rPr>
              <w:t>2024</w:t>
            </w:r>
            <w:r>
              <w:rPr>
                <w:rFonts w:hint="eastAsia"/>
                <w:color w:val="auto"/>
                <w:kern w:val="0"/>
                <w:sz w:val="26"/>
                <w:szCs w:val="26"/>
                <w:highlight w:val="none"/>
              </w:rPr>
              <w:t>年为不达标区。</w:t>
            </w:r>
          </w:p>
          <w:p w14:paraId="46844D44">
            <w:pPr>
              <w:snapToGrid w:val="0"/>
              <w:spacing w:line="480" w:lineRule="exact"/>
              <w:ind w:firstLine="520" w:firstLineChars="200"/>
              <w:rPr>
                <w:color w:val="auto"/>
                <w:sz w:val="26"/>
                <w:szCs w:val="26"/>
                <w:highlight w:val="none"/>
              </w:rPr>
            </w:pPr>
            <w:r>
              <w:rPr>
                <w:color w:val="auto"/>
                <w:sz w:val="26"/>
                <w:szCs w:val="26"/>
                <w:highlight w:val="none"/>
              </w:rPr>
              <w:t>合川区已制定区域环境空气质量达标规划，根据《重庆市合川区大气环境质量达标规划》，</w:t>
            </w:r>
            <w:r>
              <w:rPr>
                <w:rFonts w:hint="eastAsia"/>
                <w:color w:val="auto"/>
                <w:sz w:val="26"/>
                <w:szCs w:val="26"/>
                <w:highlight w:val="none"/>
              </w:rPr>
              <w:t>将</w:t>
            </w:r>
            <w:r>
              <w:rPr>
                <w:color w:val="auto"/>
                <w:sz w:val="26"/>
                <w:szCs w:val="26"/>
                <w:highlight w:val="none"/>
              </w:rPr>
              <w:t>针对区域超标</w:t>
            </w:r>
            <w:bookmarkStart w:id="62" w:name="hmcheck_d3ce0dffe51442a2bfbb228e11219c6c"/>
            <w:r>
              <w:rPr>
                <w:color w:val="auto"/>
                <w:sz w:val="26"/>
                <w:szCs w:val="26"/>
                <w:highlight w:val="none"/>
                <w:shd w:val="clear" w:fill="FFAFAA"/>
              </w:rPr>
              <w:t>情况将</w:t>
            </w:r>
            <w:bookmarkEnd w:id="62"/>
            <w:r>
              <w:rPr>
                <w:color w:val="auto"/>
                <w:sz w:val="26"/>
                <w:szCs w:val="26"/>
                <w:highlight w:val="none"/>
              </w:rPr>
              <w:t>开展削减、治理措施行动</w:t>
            </w:r>
            <w:r>
              <w:rPr>
                <w:rFonts w:hint="eastAsia"/>
                <w:color w:val="auto"/>
                <w:sz w:val="26"/>
                <w:szCs w:val="26"/>
                <w:highlight w:val="none"/>
              </w:rPr>
              <w:t>：包括提高能源效率，优化能源结构，优化产业布局，推进绿色发展，加大防治力度，控制工业污染，强化监督管理，控制交通污染，提升管理水平，严格控制扬尘，加大治理力度，控制生活污染，加强综合利用，控制农业污染等。</w:t>
            </w:r>
            <w:r>
              <w:rPr>
                <w:color w:val="auto"/>
                <w:sz w:val="26"/>
                <w:szCs w:val="26"/>
                <w:highlight w:val="none"/>
              </w:rPr>
              <w:t>通过达标规划的实施，合川区区域整体环境质量可逐步改善达标</w:t>
            </w:r>
            <w:r>
              <w:rPr>
                <w:rFonts w:hint="eastAsia"/>
                <w:color w:val="auto"/>
                <w:sz w:val="26"/>
                <w:szCs w:val="26"/>
                <w:highlight w:val="none"/>
              </w:rPr>
              <w:t>，总体目标为：至</w:t>
            </w:r>
            <w:r>
              <w:rPr>
                <w:color w:val="auto"/>
                <w:sz w:val="26"/>
                <w:szCs w:val="26"/>
                <w:highlight w:val="none"/>
              </w:rPr>
              <w:t>2027年，合川区空气质量六指标全部达标，优良天数比率大于85%，重污染天数比例小于1.0%。</w:t>
            </w:r>
          </w:p>
          <w:p w14:paraId="3E940FB3">
            <w:pPr>
              <w:snapToGrid w:val="0"/>
              <w:spacing w:line="480" w:lineRule="exact"/>
              <w:ind w:firstLine="520" w:firstLineChars="200"/>
              <w:rPr>
                <w:color w:val="auto"/>
                <w:sz w:val="26"/>
                <w:szCs w:val="26"/>
                <w:highlight w:val="none"/>
              </w:rPr>
            </w:pPr>
            <w:r>
              <w:rPr>
                <w:color w:val="auto"/>
                <w:sz w:val="26"/>
                <w:szCs w:val="26"/>
                <w:highlight w:val="none"/>
              </w:rPr>
              <w:t>（2）其他污染物环境质量现状</w:t>
            </w:r>
          </w:p>
          <w:p w14:paraId="245AD6E1">
            <w:pPr>
              <w:spacing w:line="480" w:lineRule="exact"/>
              <w:ind w:firstLine="520" w:firstLineChars="200"/>
              <w:rPr>
                <w:color w:val="auto"/>
                <w:sz w:val="24"/>
                <w:highlight w:val="none"/>
              </w:rPr>
            </w:pPr>
            <w:r>
              <w:rPr>
                <w:color w:val="auto"/>
                <w:sz w:val="26"/>
                <w:szCs w:val="26"/>
                <w:highlight w:val="none"/>
              </w:rPr>
              <w:t>本项目运营期排放的</w:t>
            </w:r>
            <w:r>
              <w:rPr>
                <w:rFonts w:hint="eastAsia"/>
                <w:color w:val="auto"/>
                <w:sz w:val="26"/>
                <w:szCs w:val="26"/>
                <w:highlight w:val="none"/>
                <w:lang w:eastAsia="zh-CN"/>
              </w:rPr>
              <w:t>其他</w:t>
            </w:r>
            <w:r>
              <w:rPr>
                <w:rFonts w:hint="eastAsia"/>
                <w:color w:val="auto"/>
                <w:sz w:val="26"/>
                <w:szCs w:val="26"/>
                <w:highlight w:val="none"/>
              </w:rPr>
              <w:t>特征因子非甲烷总烃</w:t>
            </w:r>
            <w:r>
              <w:rPr>
                <w:color w:val="auto"/>
                <w:sz w:val="26"/>
                <w:szCs w:val="26"/>
                <w:highlight w:val="none"/>
              </w:rPr>
              <w:t>引用</w:t>
            </w:r>
            <w:r>
              <w:rPr>
                <w:rFonts w:hint="eastAsia"/>
                <w:color w:val="auto"/>
                <w:sz w:val="26"/>
                <w:szCs w:val="26"/>
                <w:highlight w:val="none"/>
              </w:rPr>
              <w:t>重庆市古德印务有限公司酒品花纸印刷生产项目环境影响评价环境现状监测</w:t>
            </w:r>
            <w:r>
              <w:rPr>
                <w:color w:val="auto"/>
                <w:sz w:val="26"/>
                <w:szCs w:val="26"/>
                <w:highlight w:val="none"/>
              </w:rPr>
              <w:t>（报告编号：渝智海字2023第HJ317号）中的Q1大气监测点位的监测数据</w:t>
            </w:r>
            <w:r>
              <w:rPr>
                <w:rFonts w:hint="eastAsia"/>
                <w:color w:val="auto"/>
                <w:sz w:val="26"/>
                <w:szCs w:val="26"/>
                <w:highlight w:val="none"/>
              </w:rPr>
              <w:t>。</w:t>
            </w:r>
            <w:r>
              <w:rPr>
                <w:color w:val="auto"/>
                <w:sz w:val="26"/>
                <w:szCs w:val="26"/>
                <w:highlight w:val="none"/>
              </w:rPr>
              <w:t>监测点位Q1位于项目</w:t>
            </w:r>
            <w:r>
              <w:rPr>
                <w:rFonts w:hint="eastAsia"/>
                <w:color w:val="auto"/>
                <w:sz w:val="26"/>
                <w:szCs w:val="26"/>
                <w:highlight w:val="none"/>
              </w:rPr>
              <w:t>西</w:t>
            </w:r>
            <w:r>
              <w:rPr>
                <w:color w:val="auto"/>
                <w:sz w:val="26"/>
                <w:szCs w:val="26"/>
                <w:highlight w:val="none"/>
              </w:rPr>
              <w:t>南侧约</w:t>
            </w:r>
            <w:r>
              <w:rPr>
                <w:rFonts w:hint="eastAsia"/>
                <w:color w:val="auto"/>
                <w:sz w:val="26"/>
                <w:szCs w:val="26"/>
                <w:highlight w:val="none"/>
              </w:rPr>
              <w:t>460</w:t>
            </w:r>
            <w:r>
              <w:rPr>
                <w:color w:val="auto"/>
                <w:sz w:val="26"/>
                <w:szCs w:val="26"/>
                <w:highlight w:val="none"/>
              </w:rPr>
              <w:t>m，位于项目周边5km范围内，</w:t>
            </w:r>
            <w:r>
              <w:rPr>
                <w:rFonts w:hint="eastAsia"/>
                <w:color w:val="auto"/>
                <w:sz w:val="26"/>
                <w:szCs w:val="26"/>
                <w:highlight w:val="none"/>
              </w:rPr>
              <w:t>符合《建设项目环境影响报告表编制指南（污染影响类）》要求</w:t>
            </w:r>
            <w:r>
              <w:rPr>
                <w:color w:val="auto"/>
                <w:sz w:val="26"/>
                <w:szCs w:val="26"/>
                <w:highlight w:val="none"/>
              </w:rPr>
              <w:t>。监测数据及评价结果见表3.1-2。</w:t>
            </w:r>
          </w:p>
          <w:p w14:paraId="6BB76B4B">
            <w:pPr>
              <w:ind w:firstLine="480" w:firstLineChars="200"/>
              <w:rPr>
                <w:color w:val="auto"/>
                <w:sz w:val="24"/>
                <w:highlight w:val="none"/>
              </w:rPr>
            </w:pPr>
          </w:p>
          <w:p w14:paraId="140F1C13">
            <w:pPr>
              <w:tabs>
                <w:tab w:val="left" w:pos="9000"/>
              </w:tabs>
              <w:snapToGrid w:val="0"/>
              <w:jc w:val="center"/>
              <w:rPr>
                <w:color w:val="auto"/>
                <w:sz w:val="26"/>
                <w:szCs w:val="26"/>
                <w:highlight w:val="none"/>
              </w:rPr>
            </w:pPr>
            <w:r>
              <w:rPr>
                <w:color w:val="auto"/>
                <w:sz w:val="26"/>
                <w:szCs w:val="26"/>
                <w:highlight w:val="none"/>
              </w:rPr>
              <w:t>表3.1-2   其他污染物环境空气质量状况一览表</w:t>
            </w:r>
          </w:p>
          <w:tbl>
            <w:tblPr>
              <w:tblStyle w:val="16"/>
              <w:tblW w:w="48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1641"/>
              <w:gridCol w:w="882"/>
              <w:gridCol w:w="1078"/>
              <w:gridCol w:w="919"/>
              <w:gridCol w:w="650"/>
              <w:gridCol w:w="859"/>
              <w:gridCol w:w="689"/>
            </w:tblGrid>
            <w:tr w14:paraId="43ED7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pct"/>
                  <w:vAlign w:val="center"/>
                </w:tcPr>
                <w:p w14:paraId="4839D008">
                  <w:pPr>
                    <w:snapToGrid w:val="0"/>
                    <w:jc w:val="center"/>
                    <w:rPr>
                      <w:color w:val="auto"/>
                      <w:szCs w:val="21"/>
                      <w:highlight w:val="none"/>
                    </w:rPr>
                  </w:pPr>
                  <w:r>
                    <w:rPr>
                      <w:color w:val="auto"/>
                      <w:szCs w:val="21"/>
                      <w:highlight w:val="none"/>
                    </w:rPr>
                    <w:t>监测点位</w:t>
                  </w:r>
                </w:p>
              </w:tc>
              <w:tc>
                <w:tcPr>
                  <w:tcW w:w="1062" w:type="pct"/>
                  <w:vAlign w:val="center"/>
                </w:tcPr>
                <w:p w14:paraId="113D2B72">
                  <w:pPr>
                    <w:snapToGrid w:val="0"/>
                    <w:jc w:val="center"/>
                    <w:rPr>
                      <w:color w:val="auto"/>
                      <w:szCs w:val="21"/>
                      <w:highlight w:val="none"/>
                    </w:rPr>
                  </w:pPr>
                  <w:r>
                    <w:rPr>
                      <w:color w:val="auto"/>
                      <w:szCs w:val="21"/>
                      <w:highlight w:val="none"/>
                    </w:rPr>
                    <w:t>监测时间</w:t>
                  </w:r>
                </w:p>
              </w:tc>
              <w:tc>
                <w:tcPr>
                  <w:tcW w:w="571" w:type="pct"/>
                  <w:vAlign w:val="center"/>
                </w:tcPr>
                <w:p w14:paraId="60B94389">
                  <w:pPr>
                    <w:snapToGrid w:val="0"/>
                    <w:jc w:val="center"/>
                    <w:rPr>
                      <w:color w:val="auto"/>
                      <w:szCs w:val="21"/>
                      <w:highlight w:val="none"/>
                    </w:rPr>
                  </w:pPr>
                  <w:r>
                    <w:rPr>
                      <w:color w:val="auto"/>
                      <w:szCs w:val="21"/>
                      <w:highlight w:val="none"/>
                    </w:rPr>
                    <w:t>监测因子</w:t>
                  </w:r>
                </w:p>
              </w:tc>
              <w:tc>
                <w:tcPr>
                  <w:tcW w:w="698" w:type="pct"/>
                  <w:vAlign w:val="center"/>
                </w:tcPr>
                <w:p w14:paraId="4AC3FEF7">
                  <w:pPr>
                    <w:snapToGrid w:val="0"/>
                    <w:jc w:val="center"/>
                    <w:rPr>
                      <w:color w:val="auto"/>
                      <w:szCs w:val="21"/>
                      <w:highlight w:val="none"/>
                    </w:rPr>
                  </w:pPr>
                  <w:r>
                    <w:rPr>
                      <w:color w:val="auto"/>
                      <w:szCs w:val="21"/>
                      <w:highlight w:val="none"/>
                    </w:rPr>
                    <w:t>监测小时值mg/ m</w:t>
                  </w:r>
                  <w:r>
                    <w:rPr>
                      <w:color w:val="auto"/>
                      <w:szCs w:val="21"/>
                      <w:highlight w:val="none"/>
                      <w:vertAlign w:val="superscript"/>
                    </w:rPr>
                    <w:t>3</w:t>
                  </w:r>
                </w:p>
              </w:tc>
              <w:tc>
                <w:tcPr>
                  <w:tcW w:w="595" w:type="pct"/>
                  <w:vAlign w:val="center"/>
                </w:tcPr>
                <w:p w14:paraId="53092C5B">
                  <w:pPr>
                    <w:snapToGrid w:val="0"/>
                    <w:jc w:val="center"/>
                    <w:rPr>
                      <w:color w:val="auto"/>
                      <w:szCs w:val="21"/>
                      <w:highlight w:val="none"/>
                    </w:rPr>
                  </w:pPr>
                  <w:r>
                    <w:rPr>
                      <w:color w:val="auto"/>
                      <w:szCs w:val="21"/>
                      <w:highlight w:val="none"/>
                    </w:rPr>
                    <w:t>标准值</w:t>
                  </w:r>
                </w:p>
                <w:p w14:paraId="793ED12F">
                  <w:pPr>
                    <w:snapToGrid w:val="0"/>
                    <w:jc w:val="center"/>
                    <w:rPr>
                      <w:color w:val="auto"/>
                      <w:szCs w:val="21"/>
                      <w:highlight w:val="none"/>
                    </w:rPr>
                  </w:pPr>
                  <w:r>
                    <w:rPr>
                      <w:color w:val="auto"/>
                      <w:szCs w:val="21"/>
                      <w:highlight w:val="none"/>
                    </w:rPr>
                    <w:t>mg/ m</w:t>
                  </w:r>
                  <w:r>
                    <w:rPr>
                      <w:color w:val="auto"/>
                      <w:szCs w:val="21"/>
                      <w:highlight w:val="none"/>
                      <w:vertAlign w:val="superscript"/>
                    </w:rPr>
                    <w:t>3</w:t>
                  </w:r>
                </w:p>
              </w:tc>
              <w:tc>
                <w:tcPr>
                  <w:tcW w:w="420" w:type="pct"/>
                </w:tcPr>
                <w:p w14:paraId="2E56B308">
                  <w:pPr>
                    <w:snapToGrid w:val="0"/>
                    <w:jc w:val="center"/>
                    <w:rPr>
                      <w:color w:val="auto"/>
                      <w:szCs w:val="21"/>
                      <w:highlight w:val="none"/>
                    </w:rPr>
                  </w:pPr>
                  <w:r>
                    <w:rPr>
                      <w:color w:val="auto"/>
                      <w:szCs w:val="21"/>
                      <w:highlight w:val="none"/>
                    </w:rPr>
                    <w:t>超标率%</w:t>
                  </w:r>
                </w:p>
              </w:tc>
              <w:tc>
                <w:tcPr>
                  <w:tcW w:w="556" w:type="pct"/>
                  <w:vAlign w:val="center"/>
                </w:tcPr>
                <w:p w14:paraId="50F531F8">
                  <w:pPr>
                    <w:snapToGrid w:val="0"/>
                    <w:jc w:val="center"/>
                    <w:rPr>
                      <w:color w:val="auto"/>
                      <w:szCs w:val="21"/>
                      <w:highlight w:val="none"/>
                    </w:rPr>
                  </w:pPr>
                  <w:r>
                    <w:rPr>
                      <w:color w:val="auto"/>
                      <w:szCs w:val="21"/>
                      <w:highlight w:val="none"/>
                    </w:rPr>
                    <w:t>最大占标率%</w:t>
                  </w:r>
                </w:p>
              </w:tc>
              <w:tc>
                <w:tcPr>
                  <w:tcW w:w="446" w:type="pct"/>
                  <w:vAlign w:val="center"/>
                </w:tcPr>
                <w:p w14:paraId="32E986BC">
                  <w:pPr>
                    <w:snapToGrid w:val="0"/>
                    <w:jc w:val="center"/>
                    <w:rPr>
                      <w:color w:val="auto"/>
                      <w:szCs w:val="21"/>
                      <w:highlight w:val="none"/>
                    </w:rPr>
                  </w:pPr>
                  <w:r>
                    <w:rPr>
                      <w:color w:val="auto"/>
                      <w:szCs w:val="21"/>
                      <w:highlight w:val="none"/>
                    </w:rPr>
                    <w:t>达标情况</w:t>
                  </w:r>
                </w:p>
              </w:tc>
            </w:tr>
            <w:tr w14:paraId="6F91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pct"/>
                  <w:vAlign w:val="center"/>
                </w:tcPr>
                <w:p w14:paraId="6404635D">
                  <w:pPr>
                    <w:snapToGrid w:val="0"/>
                    <w:jc w:val="center"/>
                    <w:rPr>
                      <w:color w:val="auto"/>
                      <w:szCs w:val="21"/>
                      <w:highlight w:val="none"/>
                    </w:rPr>
                  </w:pPr>
                  <w:r>
                    <w:rPr>
                      <w:rFonts w:hint="eastAsia"/>
                      <w:bCs/>
                      <w:color w:val="auto"/>
                      <w:szCs w:val="21"/>
                      <w:highlight w:val="none"/>
                    </w:rPr>
                    <w:t>Q1监测点（引用）</w:t>
                  </w:r>
                </w:p>
              </w:tc>
              <w:tc>
                <w:tcPr>
                  <w:tcW w:w="1062" w:type="pct"/>
                  <w:vAlign w:val="center"/>
                </w:tcPr>
                <w:p w14:paraId="1E8CDBD3">
                  <w:pPr>
                    <w:snapToGrid w:val="0"/>
                    <w:jc w:val="center"/>
                    <w:rPr>
                      <w:color w:val="auto"/>
                      <w:szCs w:val="21"/>
                      <w:highlight w:val="none"/>
                    </w:rPr>
                  </w:pPr>
                  <w:r>
                    <w:rPr>
                      <w:rFonts w:hint="eastAsia"/>
                      <w:color w:val="auto"/>
                      <w:szCs w:val="21"/>
                      <w:highlight w:val="none"/>
                    </w:rPr>
                    <w:t>2023年10月28日</w:t>
                  </w:r>
                  <w:bookmarkStart w:id="63" w:name="hmcheck_229f2eb2a54d4bdb8296929cb1c1b074"/>
                  <w:r>
                    <w:rPr>
                      <w:rFonts w:hint="eastAsia"/>
                      <w:color w:val="auto"/>
                      <w:szCs w:val="21"/>
                      <w:highlight w:val="none"/>
                      <w:shd w:val="clear" w:fill="FFAFAA"/>
                    </w:rPr>
                    <w:t>~</w:t>
                  </w:r>
                  <w:bookmarkEnd w:id="63"/>
                  <w:r>
                    <w:rPr>
                      <w:rFonts w:hint="eastAsia"/>
                      <w:color w:val="auto"/>
                      <w:szCs w:val="21"/>
                      <w:highlight w:val="none"/>
                    </w:rPr>
                    <w:t>11月3日</w:t>
                  </w:r>
                </w:p>
              </w:tc>
              <w:tc>
                <w:tcPr>
                  <w:tcW w:w="571" w:type="pct"/>
                  <w:vAlign w:val="center"/>
                </w:tcPr>
                <w:p w14:paraId="244CAA4B">
                  <w:pPr>
                    <w:snapToGrid w:val="0"/>
                    <w:jc w:val="center"/>
                    <w:rPr>
                      <w:color w:val="auto"/>
                      <w:szCs w:val="21"/>
                      <w:highlight w:val="none"/>
                    </w:rPr>
                  </w:pPr>
                  <w:r>
                    <w:rPr>
                      <w:color w:val="auto"/>
                      <w:szCs w:val="21"/>
                      <w:highlight w:val="none"/>
                    </w:rPr>
                    <w:t>非甲烷总烃</w:t>
                  </w:r>
                </w:p>
              </w:tc>
              <w:tc>
                <w:tcPr>
                  <w:tcW w:w="698" w:type="pct"/>
                  <w:vAlign w:val="center"/>
                </w:tcPr>
                <w:p w14:paraId="035B131B">
                  <w:pPr>
                    <w:snapToGrid w:val="0"/>
                    <w:jc w:val="center"/>
                    <w:rPr>
                      <w:color w:val="auto"/>
                      <w:szCs w:val="21"/>
                      <w:highlight w:val="none"/>
                    </w:rPr>
                  </w:pPr>
                  <w:r>
                    <w:rPr>
                      <w:bCs/>
                      <w:color w:val="auto"/>
                      <w:szCs w:val="21"/>
                      <w:highlight w:val="none"/>
                    </w:rPr>
                    <w:t>0.2</w:t>
                  </w:r>
                  <w:r>
                    <w:rPr>
                      <w:rFonts w:hint="eastAsia"/>
                      <w:bCs/>
                      <w:color w:val="auto"/>
                      <w:szCs w:val="21"/>
                      <w:highlight w:val="none"/>
                    </w:rPr>
                    <w:t>4</w:t>
                  </w:r>
                  <w:r>
                    <w:rPr>
                      <w:bCs/>
                      <w:color w:val="auto"/>
                      <w:szCs w:val="21"/>
                      <w:highlight w:val="none"/>
                    </w:rPr>
                    <w:t>~0.</w:t>
                  </w:r>
                  <w:r>
                    <w:rPr>
                      <w:rFonts w:hint="eastAsia"/>
                      <w:bCs/>
                      <w:color w:val="auto"/>
                      <w:szCs w:val="21"/>
                      <w:highlight w:val="none"/>
                    </w:rPr>
                    <w:t>6</w:t>
                  </w:r>
                  <w:r>
                    <w:rPr>
                      <w:bCs/>
                      <w:color w:val="auto"/>
                      <w:szCs w:val="21"/>
                      <w:highlight w:val="none"/>
                    </w:rPr>
                    <w:t>5</w:t>
                  </w:r>
                </w:p>
              </w:tc>
              <w:tc>
                <w:tcPr>
                  <w:tcW w:w="595" w:type="pct"/>
                  <w:vAlign w:val="center"/>
                </w:tcPr>
                <w:p w14:paraId="2035B432">
                  <w:pPr>
                    <w:snapToGrid w:val="0"/>
                    <w:jc w:val="center"/>
                    <w:rPr>
                      <w:color w:val="auto"/>
                      <w:szCs w:val="21"/>
                      <w:highlight w:val="none"/>
                    </w:rPr>
                  </w:pPr>
                  <w:r>
                    <w:rPr>
                      <w:color w:val="auto"/>
                      <w:szCs w:val="21"/>
                      <w:highlight w:val="none"/>
                    </w:rPr>
                    <w:t>2.0</w:t>
                  </w:r>
                </w:p>
              </w:tc>
              <w:tc>
                <w:tcPr>
                  <w:tcW w:w="420" w:type="pct"/>
                  <w:vAlign w:val="center"/>
                </w:tcPr>
                <w:p w14:paraId="33209402">
                  <w:pPr>
                    <w:snapToGrid w:val="0"/>
                    <w:jc w:val="center"/>
                    <w:rPr>
                      <w:color w:val="auto"/>
                      <w:szCs w:val="21"/>
                      <w:highlight w:val="none"/>
                    </w:rPr>
                  </w:pPr>
                  <w:r>
                    <w:rPr>
                      <w:color w:val="auto"/>
                      <w:szCs w:val="21"/>
                      <w:highlight w:val="none"/>
                    </w:rPr>
                    <w:t>0</w:t>
                  </w:r>
                </w:p>
              </w:tc>
              <w:tc>
                <w:tcPr>
                  <w:tcW w:w="556" w:type="pct"/>
                  <w:vAlign w:val="center"/>
                </w:tcPr>
                <w:p w14:paraId="120296B4">
                  <w:pPr>
                    <w:snapToGrid w:val="0"/>
                    <w:jc w:val="center"/>
                    <w:rPr>
                      <w:color w:val="auto"/>
                      <w:szCs w:val="21"/>
                      <w:highlight w:val="none"/>
                    </w:rPr>
                  </w:pPr>
                  <w:r>
                    <w:rPr>
                      <w:color w:val="auto"/>
                      <w:szCs w:val="21"/>
                      <w:highlight w:val="none"/>
                    </w:rPr>
                    <w:t>3</w:t>
                  </w:r>
                  <w:r>
                    <w:rPr>
                      <w:rFonts w:hint="eastAsia"/>
                      <w:color w:val="auto"/>
                      <w:szCs w:val="21"/>
                      <w:highlight w:val="none"/>
                    </w:rPr>
                    <w:t>2.5</w:t>
                  </w:r>
                </w:p>
              </w:tc>
              <w:tc>
                <w:tcPr>
                  <w:tcW w:w="446" w:type="pct"/>
                  <w:vAlign w:val="center"/>
                </w:tcPr>
                <w:p w14:paraId="733032D7">
                  <w:pPr>
                    <w:snapToGrid w:val="0"/>
                    <w:jc w:val="center"/>
                    <w:rPr>
                      <w:color w:val="auto"/>
                      <w:szCs w:val="21"/>
                      <w:highlight w:val="none"/>
                    </w:rPr>
                  </w:pPr>
                  <w:r>
                    <w:rPr>
                      <w:color w:val="auto"/>
                      <w:szCs w:val="21"/>
                      <w:highlight w:val="none"/>
                    </w:rPr>
                    <w:t>达标</w:t>
                  </w:r>
                </w:p>
              </w:tc>
            </w:tr>
          </w:tbl>
          <w:p w14:paraId="4D4F63DA">
            <w:pPr>
              <w:snapToGrid w:val="0"/>
              <w:ind w:firstLine="480" w:firstLineChars="200"/>
              <w:rPr>
                <w:color w:val="auto"/>
                <w:sz w:val="24"/>
                <w:highlight w:val="none"/>
              </w:rPr>
            </w:pPr>
          </w:p>
          <w:p w14:paraId="4D1A0B75">
            <w:pPr>
              <w:adjustRightInd w:val="0"/>
              <w:snapToGrid w:val="0"/>
              <w:spacing w:line="480" w:lineRule="exact"/>
              <w:ind w:firstLine="520" w:firstLineChars="200"/>
              <w:rPr>
                <w:color w:val="auto"/>
                <w:sz w:val="26"/>
                <w:szCs w:val="26"/>
                <w:highlight w:val="none"/>
              </w:rPr>
            </w:pPr>
            <w:r>
              <w:rPr>
                <w:color w:val="auto"/>
                <w:kern w:val="0"/>
                <w:sz w:val="26"/>
                <w:szCs w:val="26"/>
                <w:highlight w:val="none"/>
              </w:rPr>
              <w:t>监测结果表明，</w:t>
            </w:r>
            <w:r>
              <w:rPr>
                <w:rFonts w:hint="eastAsia"/>
                <w:color w:val="auto"/>
                <w:kern w:val="0"/>
                <w:sz w:val="26"/>
                <w:szCs w:val="26"/>
                <w:highlight w:val="none"/>
              </w:rPr>
              <w:t>项目所在区域非甲烷总烃小时浓度满足参照的</w:t>
            </w:r>
            <w:r>
              <w:rPr>
                <w:color w:val="auto"/>
                <w:kern w:val="0"/>
                <w:sz w:val="26"/>
                <w:szCs w:val="26"/>
                <w:highlight w:val="none"/>
              </w:rPr>
              <w:t>河北省地方标准《环境空气质量 非甲烷总烃限值》（DB13/1577-2012）二级标准值。</w:t>
            </w:r>
          </w:p>
          <w:p w14:paraId="7914D04A">
            <w:pPr>
              <w:adjustRightInd w:val="0"/>
              <w:snapToGrid w:val="0"/>
              <w:spacing w:line="480" w:lineRule="exact"/>
              <w:ind w:firstLine="522" w:firstLineChars="200"/>
              <w:jc w:val="left"/>
              <w:rPr>
                <w:b/>
                <w:color w:val="auto"/>
                <w:kern w:val="0"/>
                <w:sz w:val="26"/>
                <w:szCs w:val="26"/>
                <w:highlight w:val="none"/>
                <w:lang w:val="da-DK"/>
              </w:rPr>
            </w:pPr>
            <w:r>
              <w:rPr>
                <w:b/>
                <w:color w:val="auto"/>
                <w:kern w:val="0"/>
                <w:sz w:val="26"/>
                <w:szCs w:val="26"/>
                <w:highlight w:val="none"/>
                <w:lang w:val="da-DK"/>
              </w:rPr>
              <w:t>3.1.2</w:t>
            </w:r>
            <w:r>
              <w:rPr>
                <w:rFonts w:hint="eastAsia"/>
                <w:b/>
                <w:color w:val="auto"/>
                <w:kern w:val="0"/>
                <w:sz w:val="26"/>
                <w:szCs w:val="26"/>
                <w:highlight w:val="none"/>
              </w:rPr>
              <w:t xml:space="preserve"> </w:t>
            </w:r>
            <w:r>
              <w:rPr>
                <w:b/>
                <w:color w:val="auto"/>
                <w:kern w:val="0"/>
                <w:sz w:val="26"/>
                <w:szCs w:val="26"/>
                <w:highlight w:val="none"/>
                <w:lang w:val="da-DK"/>
              </w:rPr>
              <w:t>地表水环境</w:t>
            </w:r>
          </w:p>
          <w:p w14:paraId="3315BFB1">
            <w:pPr>
              <w:adjustRightInd w:val="0"/>
              <w:snapToGrid w:val="0"/>
              <w:spacing w:line="480" w:lineRule="exact"/>
              <w:ind w:firstLine="520" w:firstLineChars="200"/>
              <w:rPr>
                <w:color w:val="auto"/>
                <w:kern w:val="0"/>
                <w:sz w:val="26"/>
                <w:szCs w:val="26"/>
                <w:highlight w:val="none"/>
                <w:lang w:val="da-DK"/>
              </w:rPr>
            </w:pPr>
            <w:r>
              <w:rPr>
                <w:rFonts w:hint="eastAsia"/>
                <w:color w:val="auto"/>
                <w:sz w:val="26"/>
                <w:szCs w:val="26"/>
                <w:highlight w:val="none"/>
              </w:rPr>
              <w:t>本项目废水预处理达标后排入银翔新城污水处理厂，污水处理厂尾水排入柏水溪，最终汇入嘉陵江。根据《重庆市人民政府批转重庆市地表水环境功能类别调整方案的通知》（渝府发</w:t>
            </w:r>
            <w:r>
              <w:rPr>
                <w:rFonts w:hint="eastAsia"/>
                <w:color w:val="auto"/>
                <w:sz w:val="26"/>
                <w:szCs w:val="26"/>
                <w:highlight w:val="none"/>
                <w:lang w:eastAsia="zh-CN"/>
              </w:rPr>
              <w:t>〔2012〕4号</w:t>
            </w:r>
            <w:r>
              <w:rPr>
                <w:rFonts w:hint="eastAsia"/>
                <w:color w:val="auto"/>
                <w:sz w:val="26"/>
                <w:szCs w:val="26"/>
                <w:highlight w:val="none"/>
              </w:rPr>
              <w:t>文），柏水溪和所在嘉陵江河段水域功能均为Ⅲ类水域，执行《地表水环境质量标准》（GB3838-2002）中的Ⅲ类水域标准。根据重庆市北碚区水环境质量例行监测，嘉陵江北温泉面2024年11月水质为</w:t>
            </w:r>
            <w:bookmarkStart w:id="64" w:name="hmcheck_60b20d7e4dc0417c8e61630b9448406a"/>
            <w:r>
              <w:rPr>
                <w:rFonts w:hint="eastAsia"/>
                <w:color w:val="auto"/>
                <w:sz w:val="26"/>
                <w:szCs w:val="26"/>
                <w:highlight w:val="none"/>
                <w:shd w:val="clear" w:fill="FFAFAA"/>
              </w:rPr>
              <w:t>II类</w:t>
            </w:r>
            <w:bookmarkEnd w:id="64"/>
            <w:r>
              <w:rPr>
                <w:rFonts w:hint="eastAsia"/>
                <w:color w:val="auto"/>
                <w:sz w:val="26"/>
                <w:szCs w:val="26"/>
                <w:highlight w:val="none"/>
              </w:rPr>
              <w:t>，满足《地表水环境质量标准》（GB3838-2002）Ⅲ类水域功能区要求；柏水溪胜利村断面2024年1月水质为Ⅲ类，满足《地表水环境质量标准》（GB3838-2002）Ⅲ类水域功能区要求。</w:t>
            </w:r>
          </w:p>
          <w:p w14:paraId="7D313D38">
            <w:pPr>
              <w:adjustRightInd w:val="0"/>
              <w:snapToGrid w:val="0"/>
              <w:spacing w:line="480" w:lineRule="exact"/>
              <w:ind w:firstLine="522" w:firstLineChars="200"/>
              <w:rPr>
                <w:rFonts w:eastAsiaTheme="minorEastAsia"/>
                <w:b/>
                <w:color w:val="auto"/>
                <w:kern w:val="0"/>
                <w:sz w:val="26"/>
                <w:szCs w:val="26"/>
                <w:highlight w:val="none"/>
                <w:lang w:val="da-DK"/>
              </w:rPr>
            </w:pPr>
            <w:r>
              <w:rPr>
                <w:rFonts w:eastAsiaTheme="minorEastAsia"/>
                <w:b/>
                <w:color w:val="auto"/>
                <w:kern w:val="0"/>
                <w:sz w:val="26"/>
                <w:szCs w:val="26"/>
                <w:highlight w:val="none"/>
                <w:lang w:val="da-DK"/>
              </w:rPr>
              <w:t xml:space="preserve">3.1.3 声环境  </w:t>
            </w:r>
            <w:r>
              <w:rPr>
                <w:rFonts w:eastAsiaTheme="minorEastAsia"/>
                <w:color w:val="auto"/>
                <w:sz w:val="26"/>
                <w:szCs w:val="26"/>
                <w:highlight w:val="none"/>
              </w:rPr>
              <w:t xml:space="preserve">  </w:t>
            </w:r>
          </w:p>
          <w:p w14:paraId="70855D71">
            <w:pPr>
              <w:adjustRightInd w:val="0"/>
              <w:snapToGrid w:val="0"/>
              <w:spacing w:line="480" w:lineRule="exact"/>
              <w:ind w:firstLine="520" w:firstLineChars="200"/>
              <w:rPr>
                <w:color w:val="auto"/>
                <w:sz w:val="26"/>
                <w:szCs w:val="26"/>
                <w:highlight w:val="none"/>
              </w:rPr>
            </w:pPr>
            <w:r>
              <w:rPr>
                <w:rFonts w:eastAsiaTheme="minorEastAsia"/>
                <w:color w:val="auto"/>
                <w:sz w:val="26"/>
                <w:szCs w:val="26"/>
                <w:highlight w:val="none"/>
              </w:rPr>
              <w:t>根据《建设项目环境影响报告表编制指南（污染影响类）》，当厂界外周边50 m范围内存在声环境保护目标时，应监测保护目标声环境质量现状并评价达标情况。本项目厂界外50 m范围内不存在声环境保护目标，故本次不开展声环境质量现状监测。</w:t>
            </w:r>
          </w:p>
          <w:p w14:paraId="291CF32F">
            <w:pPr>
              <w:adjustRightInd w:val="0"/>
              <w:snapToGrid w:val="0"/>
              <w:spacing w:line="480" w:lineRule="exact"/>
              <w:ind w:firstLine="522" w:firstLineChars="200"/>
              <w:jc w:val="left"/>
              <w:rPr>
                <w:b/>
                <w:color w:val="auto"/>
                <w:kern w:val="0"/>
                <w:sz w:val="26"/>
                <w:szCs w:val="26"/>
                <w:highlight w:val="none"/>
                <w:lang w:val="da-DK"/>
              </w:rPr>
            </w:pPr>
            <w:r>
              <w:rPr>
                <w:rFonts w:hint="eastAsia"/>
                <w:b/>
                <w:color w:val="auto"/>
                <w:kern w:val="0"/>
                <w:sz w:val="26"/>
                <w:szCs w:val="26"/>
                <w:highlight w:val="none"/>
                <w:lang w:val="da-DK"/>
              </w:rPr>
              <w:t>3.1.4</w:t>
            </w:r>
            <w:r>
              <w:rPr>
                <w:b/>
                <w:color w:val="auto"/>
                <w:kern w:val="0"/>
                <w:sz w:val="26"/>
                <w:szCs w:val="26"/>
                <w:highlight w:val="none"/>
                <w:lang w:val="da-DK"/>
              </w:rPr>
              <w:t xml:space="preserve"> </w:t>
            </w:r>
            <w:r>
              <w:rPr>
                <w:rFonts w:hint="eastAsia"/>
                <w:b/>
                <w:color w:val="auto"/>
                <w:kern w:val="0"/>
                <w:sz w:val="26"/>
                <w:szCs w:val="26"/>
                <w:highlight w:val="none"/>
                <w:lang w:val="da-DK"/>
              </w:rPr>
              <w:t>生态环境</w:t>
            </w:r>
          </w:p>
          <w:p w14:paraId="45AD26AF">
            <w:pPr>
              <w:adjustRightInd w:val="0"/>
              <w:snapToGrid w:val="0"/>
              <w:spacing w:line="480" w:lineRule="exact"/>
              <w:ind w:firstLine="520" w:firstLineChars="200"/>
              <w:jc w:val="left"/>
              <w:rPr>
                <w:color w:val="auto"/>
                <w:kern w:val="0"/>
                <w:sz w:val="26"/>
                <w:szCs w:val="26"/>
                <w:highlight w:val="none"/>
                <w:lang w:val="da-DK"/>
              </w:rPr>
            </w:pPr>
            <w:r>
              <w:rPr>
                <w:rFonts w:hint="eastAsia"/>
                <w:color w:val="auto"/>
                <w:kern w:val="0"/>
                <w:sz w:val="26"/>
                <w:szCs w:val="26"/>
                <w:highlight w:val="none"/>
                <w:lang w:val="da-DK"/>
              </w:rPr>
              <w:t>本项目位于</w:t>
            </w:r>
            <w:r>
              <w:rPr>
                <w:rFonts w:eastAsiaTheme="minorEastAsia"/>
                <w:color w:val="auto"/>
                <w:sz w:val="26"/>
                <w:szCs w:val="26"/>
                <w:highlight w:val="none"/>
              </w:rPr>
              <w:t>合川工业园区天顶组团C区</w:t>
            </w:r>
            <w:r>
              <w:rPr>
                <w:rFonts w:hint="eastAsia"/>
                <w:color w:val="auto"/>
                <w:kern w:val="0"/>
                <w:sz w:val="26"/>
                <w:szCs w:val="26"/>
                <w:highlight w:val="none"/>
                <w:lang w:val="da-DK"/>
              </w:rPr>
              <w:t>，租用重庆友拓汽车零部件有限公司已建厂房，不新增占地，根据《建设项目环境影响报告表编制技术指南》（污染影响类）（试行），“产业园区外建设项目新增用地且用地范围内含有生态环境保护目标时，应进行生态现状调查”，因此，本次评价不开展生态现状调查。</w:t>
            </w:r>
          </w:p>
          <w:p w14:paraId="4B002812">
            <w:pPr>
              <w:adjustRightInd w:val="0"/>
              <w:snapToGrid w:val="0"/>
              <w:spacing w:line="480" w:lineRule="exact"/>
              <w:ind w:firstLine="522" w:firstLineChars="200"/>
              <w:jc w:val="left"/>
              <w:rPr>
                <w:b/>
                <w:color w:val="auto"/>
                <w:kern w:val="0"/>
                <w:sz w:val="26"/>
                <w:szCs w:val="26"/>
                <w:highlight w:val="none"/>
                <w:lang w:val="da-DK"/>
              </w:rPr>
            </w:pPr>
            <w:r>
              <w:rPr>
                <w:rFonts w:hint="eastAsia"/>
                <w:b/>
                <w:color w:val="auto"/>
                <w:kern w:val="0"/>
                <w:sz w:val="26"/>
                <w:szCs w:val="26"/>
                <w:highlight w:val="none"/>
                <w:lang w:val="da-DK"/>
              </w:rPr>
              <w:t>3.</w:t>
            </w:r>
            <w:r>
              <w:rPr>
                <w:rFonts w:hint="eastAsia"/>
                <w:b/>
                <w:color w:val="auto"/>
                <w:kern w:val="0"/>
                <w:sz w:val="26"/>
                <w:szCs w:val="26"/>
                <w:highlight w:val="none"/>
              </w:rPr>
              <w:t>1.</w:t>
            </w:r>
            <w:r>
              <w:rPr>
                <w:rFonts w:hint="eastAsia"/>
                <w:b/>
                <w:color w:val="auto"/>
                <w:kern w:val="0"/>
                <w:sz w:val="26"/>
                <w:szCs w:val="26"/>
                <w:highlight w:val="none"/>
                <w:lang w:val="da-DK"/>
              </w:rPr>
              <w:t>5电磁辐射</w:t>
            </w:r>
          </w:p>
          <w:p w14:paraId="4E5D4806">
            <w:pPr>
              <w:adjustRightInd w:val="0"/>
              <w:snapToGrid w:val="0"/>
              <w:spacing w:line="480" w:lineRule="exact"/>
              <w:ind w:firstLine="520" w:firstLineChars="200"/>
              <w:jc w:val="left"/>
              <w:rPr>
                <w:color w:val="auto"/>
                <w:kern w:val="0"/>
                <w:sz w:val="26"/>
                <w:szCs w:val="26"/>
                <w:highlight w:val="none"/>
                <w:lang w:val="da-DK"/>
              </w:rPr>
            </w:pPr>
            <w:r>
              <w:rPr>
                <w:rFonts w:hint="eastAsia"/>
                <w:color w:val="auto"/>
                <w:kern w:val="0"/>
                <w:sz w:val="26"/>
                <w:szCs w:val="26"/>
                <w:highlight w:val="none"/>
                <w:lang w:val="da-DK"/>
              </w:rPr>
              <w:t>本项目不属于新建或改建、扩建广播电台、差转台、电视塔台、卫星地球上行站、雷达等电磁辐射类项目，根据《建设项目环境影响报告表编制技术指南》（污染影响类），不开展电磁辐射环境现状调查。</w:t>
            </w:r>
          </w:p>
          <w:p w14:paraId="36E8683B">
            <w:pPr>
              <w:adjustRightInd w:val="0"/>
              <w:snapToGrid w:val="0"/>
              <w:spacing w:line="480" w:lineRule="exact"/>
              <w:ind w:firstLine="522" w:firstLineChars="200"/>
              <w:jc w:val="left"/>
              <w:rPr>
                <w:b/>
                <w:color w:val="auto"/>
                <w:kern w:val="0"/>
                <w:sz w:val="26"/>
                <w:szCs w:val="26"/>
                <w:highlight w:val="none"/>
                <w:lang w:val="da-DK"/>
              </w:rPr>
            </w:pPr>
            <w:r>
              <w:rPr>
                <w:rFonts w:hint="eastAsia"/>
                <w:b/>
                <w:color w:val="auto"/>
                <w:kern w:val="0"/>
                <w:sz w:val="26"/>
                <w:szCs w:val="26"/>
                <w:highlight w:val="none"/>
                <w:lang w:val="da-DK"/>
              </w:rPr>
              <w:t>3</w:t>
            </w:r>
            <w:r>
              <w:rPr>
                <w:b/>
                <w:color w:val="auto"/>
                <w:kern w:val="0"/>
                <w:sz w:val="26"/>
                <w:szCs w:val="26"/>
                <w:highlight w:val="none"/>
                <w:lang w:val="da-DK"/>
              </w:rPr>
              <w:t>.1.</w:t>
            </w:r>
            <w:r>
              <w:rPr>
                <w:rFonts w:hint="eastAsia"/>
                <w:b/>
                <w:color w:val="auto"/>
                <w:kern w:val="0"/>
                <w:sz w:val="26"/>
                <w:szCs w:val="26"/>
                <w:highlight w:val="none"/>
              </w:rPr>
              <w:t>6</w:t>
            </w:r>
            <w:r>
              <w:rPr>
                <w:b/>
                <w:color w:val="auto"/>
                <w:kern w:val="0"/>
                <w:sz w:val="26"/>
                <w:szCs w:val="26"/>
                <w:highlight w:val="none"/>
                <w:lang w:val="da-DK"/>
              </w:rPr>
              <w:t xml:space="preserve"> </w:t>
            </w:r>
            <w:r>
              <w:rPr>
                <w:rFonts w:hint="eastAsia"/>
                <w:b/>
                <w:color w:val="auto"/>
                <w:kern w:val="0"/>
                <w:sz w:val="26"/>
                <w:szCs w:val="26"/>
                <w:highlight w:val="none"/>
                <w:lang w:val="da-DK"/>
              </w:rPr>
              <w:t>地下水及土壤</w:t>
            </w:r>
          </w:p>
          <w:p w14:paraId="023CB75E">
            <w:pPr>
              <w:adjustRightInd w:val="0"/>
              <w:snapToGrid w:val="0"/>
              <w:spacing w:line="480" w:lineRule="exact"/>
              <w:ind w:firstLine="520" w:firstLineChars="200"/>
              <w:jc w:val="left"/>
              <w:rPr>
                <w:color w:val="auto"/>
                <w:kern w:val="0"/>
                <w:sz w:val="26"/>
                <w:szCs w:val="26"/>
                <w:highlight w:val="none"/>
                <w:lang w:val="da-DK"/>
              </w:rPr>
            </w:pPr>
            <w:r>
              <w:rPr>
                <w:rFonts w:eastAsiaTheme="minorEastAsia"/>
                <w:color w:val="auto"/>
                <w:kern w:val="0"/>
                <w:sz w:val="26"/>
                <w:szCs w:val="26"/>
                <w:highlight w:val="none"/>
                <w:lang w:val="da-DK"/>
              </w:rPr>
              <w:t>本项目租用厂房地面已全部实施硬化，周边50m范围内为现状或规划工业用地。项目危险废物贮存点、油料存放处按照要求采取防腐、防渗处理，</w:t>
            </w:r>
            <w:r>
              <w:rPr>
                <w:rFonts w:hint="eastAsia" w:eastAsiaTheme="minorEastAsia"/>
                <w:color w:val="auto"/>
                <w:kern w:val="0"/>
                <w:sz w:val="26"/>
                <w:szCs w:val="26"/>
                <w:highlight w:val="none"/>
                <w:lang w:val="da-DK"/>
              </w:rPr>
              <w:t>液压机下方设置集油箱收集泄漏的液压油，集油箱四周做防腐防渗处理</w:t>
            </w:r>
            <w:r>
              <w:rPr>
                <w:rFonts w:hint="eastAsia" w:eastAsiaTheme="minorEastAsia"/>
                <w:color w:val="auto"/>
                <w:kern w:val="0"/>
                <w:sz w:val="26"/>
                <w:szCs w:val="26"/>
                <w:highlight w:val="none"/>
                <w:lang w:val="da-DK" w:eastAsia="zh-CN"/>
              </w:rPr>
              <w:t>。</w:t>
            </w:r>
            <w:r>
              <w:rPr>
                <w:rFonts w:eastAsiaTheme="minorEastAsia"/>
                <w:color w:val="auto"/>
                <w:kern w:val="0"/>
                <w:sz w:val="26"/>
                <w:szCs w:val="26"/>
                <w:highlight w:val="none"/>
                <w:lang w:val="da-DK"/>
              </w:rPr>
              <w:t>在严格落实“源头控制、分区防治、污染监控、应急响应”的地下水污染防治措施及“源头控制、过程防控、跟踪监测”的土壤风险防控措施的基础上，可有效防止对土壤、地下水造成污染。</w:t>
            </w:r>
            <w:r>
              <w:rPr>
                <w:rFonts w:hint="eastAsia" w:eastAsiaTheme="minorEastAsia"/>
                <w:color w:val="auto"/>
                <w:kern w:val="0"/>
                <w:sz w:val="26"/>
                <w:szCs w:val="26"/>
                <w:highlight w:val="none"/>
                <w:lang w:val="da-DK"/>
              </w:rPr>
              <w:t>根据《建设项目环境影响报告表编制指南（污染影响类）》，</w:t>
            </w:r>
            <w:r>
              <w:rPr>
                <w:rFonts w:eastAsiaTheme="minorEastAsia"/>
                <w:color w:val="auto"/>
                <w:kern w:val="0"/>
                <w:sz w:val="26"/>
                <w:szCs w:val="26"/>
                <w:highlight w:val="none"/>
                <w:lang w:val="da-DK"/>
              </w:rPr>
              <w:t>本次不开展地下水、土壤环境质量现状调查。</w:t>
            </w:r>
            <w:r>
              <w:rPr>
                <w:rFonts w:hint="eastAsia"/>
                <w:color w:val="auto"/>
                <w:kern w:val="0"/>
                <w:sz w:val="26"/>
                <w:szCs w:val="26"/>
                <w:highlight w:val="none"/>
              </w:rPr>
              <w:t xml:space="preserve"> </w:t>
            </w:r>
          </w:p>
        </w:tc>
      </w:tr>
      <w:tr w14:paraId="41A297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800" w:type="dxa"/>
            <w:vAlign w:val="center"/>
          </w:tcPr>
          <w:p w14:paraId="558553CC">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环境</w:t>
            </w:r>
          </w:p>
          <w:p w14:paraId="4A9433C0">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保护</w:t>
            </w:r>
          </w:p>
          <w:p w14:paraId="670DF085">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目标</w:t>
            </w:r>
          </w:p>
        </w:tc>
        <w:tc>
          <w:tcPr>
            <w:tcW w:w="8190" w:type="dxa"/>
            <w:vAlign w:val="center"/>
          </w:tcPr>
          <w:p w14:paraId="7E84C4F2">
            <w:pPr>
              <w:adjustRightInd w:val="0"/>
              <w:snapToGrid w:val="0"/>
              <w:spacing w:line="480" w:lineRule="exact"/>
              <w:ind w:firstLine="520" w:firstLineChars="200"/>
              <w:rPr>
                <w:color w:val="auto"/>
                <w:kern w:val="0"/>
                <w:sz w:val="26"/>
                <w:szCs w:val="26"/>
                <w:highlight w:val="none"/>
              </w:rPr>
            </w:pPr>
            <w:r>
              <w:rPr>
                <w:rFonts w:hint="eastAsia"/>
                <w:color w:val="auto"/>
                <w:kern w:val="0"/>
                <w:sz w:val="26"/>
                <w:szCs w:val="26"/>
                <w:highlight w:val="none"/>
              </w:rPr>
              <w:t>本项目所在区域无地下水集中式饮用水水源和热水、矿泉水、温泉等特殊地下水资源分布；地表水环境保护目标主要为柏水溪、嘉陵江；评价范围内无自然保护区、风景名胜区等分布，不新增占地，不涉及生态保护目标。项目</w:t>
            </w:r>
            <w:r>
              <w:rPr>
                <w:color w:val="auto"/>
                <w:kern w:val="0"/>
                <w:sz w:val="26"/>
                <w:szCs w:val="26"/>
                <w:highlight w:val="none"/>
              </w:rPr>
              <w:t>厂界外</w:t>
            </w:r>
            <w:r>
              <w:rPr>
                <w:rFonts w:hint="eastAsia"/>
                <w:color w:val="auto"/>
                <w:kern w:val="0"/>
                <w:sz w:val="26"/>
                <w:szCs w:val="26"/>
                <w:highlight w:val="none"/>
              </w:rPr>
              <w:t>50m范围内主要为园区已建工业用地、道路用地等，不涉及声环境保护目标；</w:t>
            </w:r>
            <w:r>
              <w:rPr>
                <w:color w:val="auto"/>
                <w:kern w:val="0"/>
                <w:sz w:val="26"/>
                <w:szCs w:val="26"/>
                <w:highlight w:val="none"/>
              </w:rPr>
              <w:t>500</w:t>
            </w:r>
            <w:r>
              <w:rPr>
                <w:rFonts w:hint="eastAsia"/>
                <w:color w:val="auto"/>
                <w:kern w:val="0"/>
                <w:sz w:val="26"/>
                <w:szCs w:val="26"/>
                <w:highlight w:val="none"/>
              </w:rPr>
              <w:t>m</w:t>
            </w:r>
            <w:r>
              <w:rPr>
                <w:color w:val="auto"/>
                <w:kern w:val="0"/>
                <w:sz w:val="26"/>
                <w:szCs w:val="26"/>
                <w:highlight w:val="none"/>
              </w:rPr>
              <w:t>范围内</w:t>
            </w:r>
            <w:r>
              <w:rPr>
                <w:rFonts w:hint="eastAsia"/>
                <w:color w:val="auto"/>
                <w:kern w:val="0"/>
                <w:sz w:val="26"/>
                <w:szCs w:val="26"/>
                <w:highlight w:val="none"/>
              </w:rPr>
              <w:t>主要大气环境保护目标为银翔盛世华庭、盛世悦庭等集中居住区及园区外农村居民点</w:t>
            </w:r>
            <w:r>
              <w:rPr>
                <w:color w:val="auto"/>
                <w:kern w:val="0"/>
                <w:sz w:val="26"/>
                <w:szCs w:val="26"/>
                <w:highlight w:val="none"/>
              </w:rPr>
              <w:t>。</w:t>
            </w:r>
          </w:p>
          <w:p w14:paraId="1480B701">
            <w:pPr>
              <w:adjustRightInd w:val="0"/>
              <w:snapToGrid w:val="0"/>
              <w:spacing w:line="480" w:lineRule="exact"/>
              <w:ind w:firstLine="520" w:firstLineChars="200"/>
              <w:rPr>
                <w:color w:val="auto"/>
                <w:kern w:val="0"/>
                <w:sz w:val="26"/>
                <w:szCs w:val="26"/>
                <w:highlight w:val="none"/>
              </w:rPr>
            </w:pPr>
            <w:r>
              <w:rPr>
                <w:rFonts w:hint="eastAsia"/>
                <w:color w:val="auto"/>
                <w:kern w:val="0"/>
                <w:sz w:val="26"/>
                <w:szCs w:val="26"/>
                <w:highlight w:val="none"/>
              </w:rPr>
              <w:t>周边</w:t>
            </w:r>
            <w:r>
              <w:rPr>
                <w:color w:val="auto"/>
                <w:kern w:val="0"/>
                <w:sz w:val="26"/>
                <w:szCs w:val="26"/>
                <w:highlight w:val="none"/>
              </w:rPr>
              <w:t>环境保护</w:t>
            </w:r>
            <w:r>
              <w:rPr>
                <w:rFonts w:hint="eastAsia"/>
                <w:color w:val="auto"/>
                <w:kern w:val="0"/>
                <w:sz w:val="26"/>
                <w:szCs w:val="26"/>
                <w:highlight w:val="none"/>
              </w:rPr>
              <w:t>目标</w:t>
            </w:r>
            <w:r>
              <w:rPr>
                <w:color w:val="auto"/>
                <w:kern w:val="0"/>
                <w:sz w:val="26"/>
                <w:szCs w:val="26"/>
                <w:highlight w:val="none"/>
              </w:rPr>
              <w:t>与本项目的位置关系见表3.2-1所示。</w:t>
            </w:r>
          </w:p>
          <w:p w14:paraId="54299767">
            <w:pPr>
              <w:adjustRightInd w:val="0"/>
              <w:snapToGrid w:val="0"/>
              <w:jc w:val="center"/>
              <w:rPr>
                <w:color w:val="auto"/>
                <w:kern w:val="0"/>
                <w:sz w:val="26"/>
                <w:szCs w:val="26"/>
                <w:highlight w:val="none"/>
              </w:rPr>
            </w:pPr>
          </w:p>
          <w:p w14:paraId="10720CB8">
            <w:pPr>
              <w:adjustRightInd w:val="0"/>
              <w:snapToGrid w:val="0"/>
              <w:jc w:val="center"/>
              <w:rPr>
                <w:bCs/>
                <w:color w:val="auto"/>
                <w:kern w:val="0"/>
                <w:sz w:val="26"/>
                <w:szCs w:val="26"/>
                <w:highlight w:val="none"/>
              </w:rPr>
            </w:pPr>
            <w:r>
              <w:rPr>
                <w:rFonts w:hint="eastAsia"/>
                <w:bCs/>
                <w:color w:val="auto"/>
                <w:kern w:val="0"/>
                <w:sz w:val="26"/>
                <w:szCs w:val="26"/>
                <w:highlight w:val="none"/>
              </w:rPr>
              <w:t>表3.2-1  项目</w:t>
            </w:r>
            <w:r>
              <w:rPr>
                <w:bCs/>
                <w:color w:val="auto"/>
                <w:kern w:val="0"/>
                <w:sz w:val="26"/>
                <w:szCs w:val="26"/>
                <w:highlight w:val="none"/>
              </w:rPr>
              <w:t>周边主要环境保护</w:t>
            </w:r>
            <w:r>
              <w:rPr>
                <w:rFonts w:hint="eastAsia"/>
                <w:bCs/>
                <w:color w:val="auto"/>
                <w:kern w:val="0"/>
                <w:sz w:val="26"/>
                <w:szCs w:val="26"/>
                <w:highlight w:val="none"/>
              </w:rPr>
              <w:t>目标</w:t>
            </w:r>
            <w:r>
              <w:rPr>
                <w:bCs/>
                <w:color w:val="auto"/>
                <w:kern w:val="0"/>
                <w:sz w:val="26"/>
                <w:szCs w:val="26"/>
                <w:highlight w:val="none"/>
              </w:rPr>
              <w:t>分布情况一览表</w:t>
            </w:r>
          </w:p>
          <w:tbl>
            <w:tblPr>
              <w:tblStyle w:val="16"/>
              <w:tblW w:w="7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988"/>
              <w:gridCol w:w="1012"/>
              <w:gridCol w:w="978"/>
              <w:gridCol w:w="1924"/>
              <w:gridCol w:w="796"/>
              <w:gridCol w:w="727"/>
              <w:gridCol w:w="1041"/>
            </w:tblGrid>
            <w:tr w14:paraId="45C5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dxa"/>
                  <w:vMerge w:val="restart"/>
                  <w:tcBorders>
                    <w:top w:val="single" w:color="auto" w:sz="4" w:space="0"/>
                    <w:left w:val="single" w:color="auto" w:sz="4" w:space="0"/>
                    <w:right w:val="single" w:color="auto" w:sz="4" w:space="0"/>
                  </w:tcBorders>
                  <w:vAlign w:val="center"/>
                </w:tcPr>
                <w:p w14:paraId="3C62607D">
                  <w:pPr>
                    <w:jc w:val="center"/>
                    <w:rPr>
                      <w:color w:val="auto"/>
                      <w:sz w:val="22"/>
                      <w:szCs w:val="22"/>
                      <w:highlight w:val="none"/>
                    </w:rPr>
                  </w:pPr>
                  <w:r>
                    <w:rPr>
                      <w:color w:val="auto"/>
                      <w:sz w:val="22"/>
                      <w:szCs w:val="22"/>
                      <w:highlight w:val="none"/>
                    </w:rPr>
                    <w:t>序号</w:t>
                  </w:r>
                </w:p>
              </w:tc>
              <w:tc>
                <w:tcPr>
                  <w:tcW w:w="2000" w:type="dxa"/>
                  <w:gridSpan w:val="2"/>
                  <w:tcBorders>
                    <w:top w:val="single" w:color="auto" w:sz="4" w:space="0"/>
                    <w:left w:val="single" w:color="auto" w:sz="4" w:space="0"/>
                    <w:bottom w:val="single" w:color="auto" w:sz="4" w:space="0"/>
                    <w:right w:val="single" w:color="auto" w:sz="4" w:space="0"/>
                  </w:tcBorders>
                  <w:vAlign w:val="center"/>
                </w:tcPr>
                <w:p w14:paraId="225FA232">
                  <w:pPr>
                    <w:jc w:val="center"/>
                    <w:rPr>
                      <w:color w:val="auto"/>
                      <w:sz w:val="22"/>
                      <w:szCs w:val="22"/>
                      <w:highlight w:val="none"/>
                    </w:rPr>
                  </w:pPr>
                  <w:r>
                    <w:rPr>
                      <w:color w:val="auto"/>
                      <w:sz w:val="22"/>
                      <w:szCs w:val="22"/>
                      <w:highlight w:val="none"/>
                    </w:rPr>
                    <w:t>坐标/m</w:t>
                  </w:r>
                </w:p>
              </w:tc>
              <w:tc>
                <w:tcPr>
                  <w:tcW w:w="978" w:type="dxa"/>
                  <w:vMerge w:val="restart"/>
                  <w:tcBorders>
                    <w:top w:val="single" w:color="auto" w:sz="4" w:space="0"/>
                    <w:left w:val="single" w:color="auto" w:sz="4" w:space="0"/>
                    <w:right w:val="single" w:color="auto" w:sz="4" w:space="0"/>
                  </w:tcBorders>
                  <w:vAlign w:val="center"/>
                </w:tcPr>
                <w:p w14:paraId="3921AAAA">
                  <w:pPr>
                    <w:jc w:val="center"/>
                    <w:rPr>
                      <w:color w:val="auto"/>
                      <w:sz w:val="22"/>
                      <w:szCs w:val="22"/>
                      <w:highlight w:val="none"/>
                    </w:rPr>
                  </w:pPr>
                  <w:r>
                    <w:rPr>
                      <w:color w:val="auto"/>
                      <w:sz w:val="22"/>
                      <w:szCs w:val="22"/>
                      <w:highlight w:val="none"/>
                    </w:rPr>
                    <w:t>保护对象</w:t>
                  </w:r>
                </w:p>
              </w:tc>
              <w:tc>
                <w:tcPr>
                  <w:tcW w:w="1924" w:type="dxa"/>
                  <w:vMerge w:val="restart"/>
                  <w:tcBorders>
                    <w:top w:val="single" w:color="auto" w:sz="4" w:space="0"/>
                    <w:left w:val="single" w:color="auto" w:sz="4" w:space="0"/>
                    <w:right w:val="single" w:color="auto" w:sz="4" w:space="0"/>
                  </w:tcBorders>
                  <w:vAlign w:val="center"/>
                </w:tcPr>
                <w:p w14:paraId="5E0E9759">
                  <w:pPr>
                    <w:jc w:val="center"/>
                    <w:rPr>
                      <w:color w:val="auto"/>
                      <w:sz w:val="22"/>
                      <w:szCs w:val="22"/>
                      <w:highlight w:val="none"/>
                    </w:rPr>
                  </w:pPr>
                  <w:r>
                    <w:rPr>
                      <w:rFonts w:hint="eastAsia"/>
                      <w:color w:val="auto"/>
                      <w:sz w:val="22"/>
                      <w:szCs w:val="22"/>
                      <w:highlight w:val="none"/>
                    </w:rPr>
                    <w:t>保护内容及特征</w:t>
                  </w:r>
                </w:p>
              </w:tc>
              <w:tc>
                <w:tcPr>
                  <w:tcW w:w="796" w:type="dxa"/>
                  <w:vMerge w:val="restart"/>
                  <w:tcBorders>
                    <w:top w:val="single" w:color="auto" w:sz="4" w:space="0"/>
                    <w:left w:val="single" w:color="auto" w:sz="4" w:space="0"/>
                    <w:right w:val="single" w:color="auto" w:sz="4" w:space="0"/>
                  </w:tcBorders>
                  <w:vAlign w:val="center"/>
                </w:tcPr>
                <w:p w14:paraId="3529BFD7">
                  <w:pPr>
                    <w:jc w:val="center"/>
                    <w:rPr>
                      <w:color w:val="auto"/>
                      <w:sz w:val="22"/>
                      <w:szCs w:val="22"/>
                      <w:highlight w:val="none"/>
                    </w:rPr>
                  </w:pPr>
                  <w:r>
                    <w:rPr>
                      <w:color w:val="auto"/>
                      <w:sz w:val="22"/>
                      <w:szCs w:val="22"/>
                      <w:highlight w:val="none"/>
                    </w:rPr>
                    <w:t>环境功能区</w:t>
                  </w:r>
                </w:p>
              </w:tc>
              <w:tc>
                <w:tcPr>
                  <w:tcW w:w="727" w:type="dxa"/>
                  <w:vMerge w:val="restart"/>
                  <w:tcBorders>
                    <w:top w:val="single" w:color="auto" w:sz="4" w:space="0"/>
                    <w:left w:val="single" w:color="auto" w:sz="4" w:space="0"/>
                    <w:right w:val="single" w:color="auto" w:sz="4" w:space="0"/>
                  </w:tcBorders>
                  <w:vAlign w:val="center"/>
                </w:tcPr>
                <w:p w14:paraId="58FB1CC4">
                  <w:pPr>
                    <w:jc w:val="center"/>
                    <w:rPr>
                      <w:color w:val="auto"/>
                      <w:sz w:val="22"/>
                      <w:szCs w:val="22"/>
                      <w:highlight w:val="none"/>
                    </w:rPr>
                  </w:pPr>
                  <w:r>
                    <w:rPr>
                      <w:color w:val="auto"/>
                      <w:sz w:val="22"/>
                      <w:szCs w:val="22"/>
                      <w:highlight w:val="none"/>
                    </w:rPr>
                    <w:t>相对项目位置</w:t>
                  </w:r>
                </w:p>
              </w:tc>
              <w:tc>
                <w:tcPr>
                  <w:tcW w:w="1041" w:type="dxa"/>
                  <w:vMerge w:val="restart"/>
                  <w:tcBorders>
                    <w:top w:val="single" w:color="auto" w:sz="4" w:space="0"/>
                    <w:left w:val="single" w:color="auto" w:sz="4" w:space="0"/>
                    <w:right w:val="single" w:color="auto" w:sz="4" w:space="0"/>
                  </w:tcBorders>
                  <w:vAlign w:val="center"/>
                </w:tcPr>
                <w:p w14:paraId="0B01D9CD">
                  <w:pPr>
                    <w:jc w:val="center"/>
                    <w:rPr>
                      <w:color w:val="auto"/>
                      <w:sz w:val="22"/>
                      <w:szCs w:val="22"/>
                      <w:highlight w:val="none"/>
                    </w:rPr>
                  </w:pPr>
                  <w:bookmarkStart w:id="65" w:name="hmcheck_036f16a569f247a1993e7cd6708858c7"/>
                  <w:r>
                    <w:rPr>
                      <w:color w:val="auto"/>
                      <w:sz w:val="22"/>
                      <w:szCs w:val="22"/>
                      <w:highlight w:val="none"/>
                      <w:shd w:val="clear" w:fill="FFAFAA"/>
                    </w:rPr>
                    <w:t>相对厂</w:t>
                  </w:r>
                  <w:bookmarkEnd w:id="65"/>
                  <w:r>
                    <w:rPr>
                      <w:color w:val="auto"/>
                      <w:sz w:val="22"/>
                      <w:szCs w:val="22"/>
                      <w:highlight w:val="none"/>
                    </w:rPr>
                    <w:t>界距离（m）</w:t>
                  </w:r>
                </w:p>
              </w:tc>
            </w:tr>
            <w:tr w14:paraId="47EAC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dxa"/>
                  <w:vMerge w:val="continue"/>
                  <w:tcBorders>
                    <w:left w:val="single" w:color="auto" w:sz="4" w:space="0"/>
                    <w:bottom w:val="single" w:color="auto" w:sz="4" w:space="0"/>
                    <w:right w:val="single" w:color="auto" w:sz="4" w:space="0"/>
                  </w:tcBorders>
                  <w:vAlign w:val="center"/>
                </w:tcPr>
                <w:p w14:paraId="50D99EDB">
                  <w:pPr>
                    <w:jc w:val="center"/>
                    <w:rPr>
                      <w:color w:val="auto"/>
                      <w:sz w:val="22"/>
                      <w:szCs w:val="22"/>
                      <w:highlight w:val="none"/>
                    </w:rPr>
                  </w:pPr>
                </w:p>
              </w:tc>
              <w:tc>
                <w:tcPr>
                  <w:tcW w:w="988" w:type="dxa"/>
                  <w:tcBorders>
                    <w:top w:val="single" w:color="auto" w:sz="4" w:space="0"/>
                    <w:left w:val="single" w:color="auto" w:sz="4" w:space="0"/>
                    <w:bottom w:val="single" w:color="auto" w:sz="4" w:space="0"/>
                    <w:right w:val="single" w:color="auto" w:sz="4" w:space="0"/>
                  </w:tcBorders>
                  <w:vAlign w:val="center"/>
                </w:tcPr>
                <w:p w14:paraId="6D83A3E1">
                  <w:pPr>
                    <w:jc w:val="center"/>
                    <w:rPr>
                      <w:color w:val="auto"/>
                      <w:sz w:val="22"/>
                      <w:szCs w:val="22"/>
                      <w:highlight w:val="none"/>
                    </w:rPr>
                  </w:pPr>
                  <w:r>
                    <w:rPr>
                      <w:color w:val="auto"/>
                      <w:sz w:val="22"/>
                      <w:szCs w:val="22"/>
                      <w:highlight w:val="none"/>
                    </w:rPr>
                    <w:t>X</w:t>
                  </w:r>
                </w:p>
              </w:tc>
              <w:tc>
                <w:tcPr>
                  <w:tcW w:w="1012" w:type="dxa"/>
                  <w:tcBorders>
                    <w:top w:val="single" w:color="auto" w:sz="4" w:space="0"/>
                    <w:left w:val="single" w:color="auto" w:sz="4" w:space="0"/>
                    <w:bottom w:val="single" w:color="auto" w:sz="4" w:space="0"/>
                    <w:right w:val="single" w:color="auto" w:sz="4" w:space="0"/>
                  </w:tcBorders>
                  <w:vAlign w:val="center"/>
                </w:tcPr>
                <w:p w14:paraId="371041FF">
                  <w:pPr>
                    <w:jc w:val="center"/>
                    <w:rPr>
                      <w:color w:val="auto"/>
                      <w:sz w:val="22"/>
                      <w:szCs w:val="22"/>
                      <w:highlight w:val="none"/>
                    </w:rPr>
                  </w:pPr>
                  <w:r>
                    <w:rPr>
                      <w:color w:val="auto"/>
                      <w:sz w:val="22"/>
                      <w:szCs w:val="22"/>
                      <w:highlight w:val="none"/>
                    </w:rPr>
                    <w:t>Y</w:t>
                  </w:r>
                </w:p>
              </w:tc>
              <w:tc>
                <w:tcPr>
                  <w:tcW w:w="978" w:type="dxa"/>
                  <w:vMerge w:val="continue"/>
                  <w:tcBorders>
                    <w:left w:val="single" w:color="auto" w:sz="4" w:space="0"/>
                    <w:bottom w:val="single" w:color="auto" w:sz="4" w:space="0"/>
                    <w:right w:val="single" w:color="auto" w:sz="4" w:space="0"/>
                  </w:tcBorders>
                  <w:vAlign w:val="center"/>
                </w:tcPr>
                <w:p w14:paraId="6E88E816">
                  <w:pPr>
                    <w:jc w:val="center"/>
                    <w:rPr>
                      <w:color w:val="auto"/>
                      <w:sz w:val="22"/>
                      <w:szCs w:val="22"/>
                      <w:highlight w:val="none"/>
                    </w:rPr>
                  </w:pPr>
                </w:p>
              </w:tc>
              <w:tc>
                <w:tcPr>
                  <w:tcW w:w="1924" w:type="dxa"/>
                  <w:vMerge w:val="continue"/>
                  <w:tcBorders>
                    <w:left w:val="single" w:color="auto" w:sz="4" w:space="0"/>
                    <w:bottom w:val="single" w:color="auto" w:sz="4" w:space="0"/>
                    <w:right w:val="single" w:color="auto" w:sz="4" w:space="0"/>
                  </w:tcBorders>
                  <w:vAlign w:val="center"/>
                </w:tcPr>
                <w:p w14:paraId="68C5C033">
                  <w:pPr>
                    <w:jc w:val="center"/>
                    <w:rPr>
                      <w:color w:val="auto"/>
                      <w:sz w:val="22"/>
                      <w:szCs w:val="22"/>
                      <w:highlight w:val="none"/>
                    </w:rPr>
                  </w:pPr>
                </w:p>
              </w:tc>
              <w:tc>
                <w:tcPr>
                  <w:tcW w:w="796" w:type="dxa"/>
                  <w:vMerge w:val="continue"/>
                  <w:tcBorders>
                    <w:left w:val="single" w:color="auto" w:sz="4" w:space="0"/>
                    <w:bottom w:val="single" w:color="auto" w:sz="4" w:space="0"/>
                    <w:right w:val="single" w:color="auto" w:sz="4" w:space="0"/>
                  </w:tcBorders>
                  <w:vAlign w:val="center"/>
                </w:tcPr>
                <w:p w14:paraId="4F08BF97">
                  <w:pPr>
                    <w:jc w:val="center"/>
                    <w:rPr>
                      <w:color w:val="auto"/>
                      <w:sz w:val="22"/>
                      <w:szCs w:val="22"/>
                      <w:highlight w:val="none"/>
                    </w:rPr>
                  </w:pPr>
                </w:p>
              </w:tc>
              <w:tc>
                <w:tcPr>
                  <w:tcW w:w="727" w:type="dxa"/>
                  <w:vMerge w:val="continue"/>
                  <w:tcBorders>
                    <w:left w:val="single" w:color="auto" w:sz="4" w:space="0"/>
                    <w:bottom w:val="single" w:color="auto" w:sz="4" w:space="0"/>
                    <w:right w:val="single" w:color="auto" w:sz="4" w:space="0"/>
                  </w:tcBorders>
                  <w:vAlign w:val="center"/>
                </w:tcPr>
                <w:p w14:paraId="1DD40C3B">
                  <w:pPr>
                    <w:jc w:val="center"/>
                    <w:rPr>
                      <w:color w:val="auto"/>
                      <w:sz w:val="22"/>
                      <w:szCs w:val="22"/>
                      <w:highlight w:val="none"/>
                    </w:rPr>
                  </w:pPr>
                </w:p>
              </w:tc>
              <w:tc>
                <w:tcPr>
                  <w:tcW w:w="1041" w:type="dxa"/>
                  <w:vMerge w:val="continue"/>
                  <w:tcBorders>
                    <w:left w:val="single" w:color="auto" w:sz="4" w:space="0"/>
                    <w:bottom w:val="single" w:color="auto" w:sz="4" w:space="0"/>
                    <w:right w:val="single" w:color="auto" w:sz="4" w:space="0"/>
                  </w:tcBorders>
                  <w:vAlign w:val="center"/>
                </w:tcPr>
                <w:p w14:paraId="7F99C68B">
                  <w:pPr>
                    <w:jc w:val="center"/>
                    <w:rPr>
                      <w:color w:val="auto"/>
                      <w:sz w:val="22"/>
                      <w:szCs w:val="22"/>
                      <w:highlight w:val="none"/>
                    </w:rPr>
                  </w:pPr>
                </w:p>
              </w:tc>
            </w:tr>
            <w:tr w14:paraId="752D6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dxa"/>
                  <w:tcBorders>
                    <w:top w:val="single" w:color="auto" w:sz="4" w:space="0"/>
                    <w:left w:val="single" w:color="auto" w:sz="4" w:space="0"/>
                    <w:right w:val="single" w:color="auto" w:sz="4" w:space="0"/>
                  </w:tcBorders>
                  <w:vAlign w:val="center"/>
                </w:tcPr>
                <w:p w14:paraId="6A0878E6">
                  <w:pPr>
                    <w:jc w:val="center"/>
                    <w:rPr>
                      <w:color w:val="auto"/>
                      <w:sz w:val="22"/>
                      <w:szCs w:val="22"/>
                      <w:highlight w:val="none"/>
                    </w:rPr>
                  </w:pPr>
                  <w:r>
                    <w:rPr>
                      <w:color w:val="auto"/>
                      <w:sz w:val="22"/>
                      <w:szCs w:val="22"/>
                      <w:highlight w:val="none"/>
                    </w:rPr>
                    <w:t>1</w:t>
                  </w:r>
                </w:p>
              </w:tc>
              <w:tc>
                <w:tcPr>
                  <w:tcW w:w="988" w:type="dxa"/>
                  <w:tcBorders>
                    <w:top w:val="single" w:color="auto" w:sz="4" w:space="0"/>
                    <w:left w:val="single" w:color="auto" w:sz="4" w:space="0"/>
                    <w:right w:val="single" w:color="auto" w:sz="4" w:space="0"/>
                  </w:tcBorders>
                  <w:vAlign w:val="center"/>
                </w:tcPr>
                <w:p w14:paraId="340CF77D">
                  <w:pPr>
                    <w:jc w:val="center"/>
                    <w:rPr>
                      <w:color w:val="auto"/>
                      <w:sz w:val="22"/>
                      <w:szCs w:val="22"/>
                      <w:highlight w:val="none"/>
                    </w:rPr>
                  </w:pPr>
                  <w:r>
                    <w:rPr>
                      <w:color w:val="auto"/>
                      <w:sz w:val="22"/>
                      <w:szCs w:val="22"/>
                      <w:highlight w:val="none"/>
                    </w:rPr>
                    <w:t>641557</w:t>
                  </w:r>
                </w:p>
              </w:tc>
              <w:tc>
                <w:tcPr>
                  <w:tcW w:w="1012" w:type="dxa"/>
                  <w:tcBorders>
                    <w:top w:val="single" w:color="auto" w:sz="4" w:space="0"/>
                    <w:left w:val="single" w:color="auto" w:sz="4" w:space="0"/>
                    <w:right w:val="single" w:color="auto" w:sz="4" w:space="0"/>
                  </w:tcBorders>
                  <w:vAlign w:val="center"/>
                </w:tcPr>
                <w:p w14:paraId="3BEBAD48">
                  <w:pPr>
                    <w:jc w:val="center"/>
                    <w:rPr>
                      <w:color w:val="auto"/>
                      <w:sz w:val="22"/>
                      <w:szCs w:val="22"/>
                      <w:highlight w:val="none"/>
                    </w:rPr>
                  </w:pPr>
                  <w:r>
                    <w:rPr>
                      <w:color w:val="auto"/>
                      <w:sz w:val="22"/>
                      <w:szCs w:val="22"/>
                      <w:highlight w:val="none"/>
                    </w:rPr>
                    <w:t>3307209</w:t>
                  </w:r>
                </w:p>
              </w:tc>
              <w:tc>
                <w:tcPr>
                  <w:tcW w:w="978" w:type="dxa"/>
                  <w:tcBorders>
                    <w:top w:val="single" w:color="auto" w:sz="4" w:space="0"/>
                    <w:left w:val="single" w:color="auto" w:sz="4" w:space="0"/>
                    <w:right w:val="single" w:color="auto" w:sz="4" w:space="0"/>
                  </w:tcBorders>
                  <w:vAlign w:val="center"/>
                </w:tcPr>
                <w:p w14:paraId="5065A5CF">
                  <w:pPr>
                    <w:jc w:val="center"/>
                    <w:rPr>
                      <w:color w:val="auto"/>
                      <w:sz w:val="22"/>
                      <w:szCs w:val="22"/>
                      <w:highlight w:val="none"/>
                    </w:rPr>
                  </w:pPr>
                  <w:r>
                    <w:rPr>
                      <w:color w:val="auto"/>
                      <w:sz w:val="22"/>
                      <w:szCs w:val="22"/>
                      <w:highlight w:val="none"/>
                    </w:rPr>
                    <w:t>农村</w:t>
                  </w:r>
                  <w:r>
                    <w:rPr>
                      <w:rFonts w:hint="eastAsia"/>
                      <w:color w:val="auto"/>
                      <w:sz w:val="22"/>
                      <w:szCs w:val="22"/>
                      <w:highlight w:val="none"/>
                    </w:rPr>
                    <w:t>居民点</w:t>
                  </w:r>
                </w:p>
              </w:tc>
              <w:tc>
                <w:tcPr>
                  <w:tcW w:w="1924" w:type="dxa"/>
                  <w:tcBorders>
                    <w:top w:val="single" w:color="auto" w:sz="4" w:space="0"/>
                    <w:left w:val="single" w:color="auto" w:sz="4" w:space="0"/>
                    <w:right w:val="single" w:color="auto" w:sz="4" w:space="0"/>
                  </w:tcBorders>
                  <w:vAlign w:val="center"/>
                </w:tcPr>
                <w:p w14:paraId="10040FF8">
                  <w:pPr>
                    <w:jc w:val="center"/>
                    <w:rPr>
                      <w:color w:val="auto"/>
                      <w:sz w:val="22"/>
                      <w:szCs w:val="22"/>
                      <w:highlight w:val="none"/>
                    </w:rPr>
                  </w:pPr>
                  <w:r>
                    <w:rPr>
                      <w:color w:val="auto"/>
                      <w:sz w:val="22"/>
                      <w:szCs w:val="22"/>
                      <w:highlight w:val="none"/>
                    </w:rPr>
                    <w:t>居民，</w:t>
                  </w:r>
                  <w:r>
                    <w:rPr>
                      <w:rFonts w:hint="eastAsia"/>
                      <w:color w:val="auto"/>
                      <w:sz w:val="22"/>
                      <w:szCs w:val="22"/>
                      <w:highlight w:val="none"/>
                    </w:rPr>
                    <w:t>约</w:t>
                  </w:r>
                  <w:r>
                    <w:rPr>
                      <w:color w:val="auto"/>
                      <w:sz w:val="22"/>
                      <w:szCs w:val="22"/>
                      <w:highlight w:val="none"/>
                    </w:rPr>
                    <w:t>8户25人</w:t>
                  </w:r>
                </w:p>
              </w:tc>
              <w:tc>
                <w:tcPr>
                  <w:tcW w:w="796" w:type="dxa"/>
                  <w:vMerge w:val="restart"/>
                  <w:tcBorders>
                    <w:top w:val="single" w:color="auto" w:sz="4" w:space="0"/>
                    <w:left w:val="single" w:color="auto" w:sz="4" w:space="0"/>
                    <w:bottom w:val="single" w:color="auto" w:sz="4" w:space="0"/>
                    <w:right w:val="single" w:color="auto" w:sz="4" w:space="0"/>
                  </w:tcBorders>
                  <w:vAlign w:val="center"/>
                </w:tcPr>
                <w:p w14:paraId="1DD2AC52">
                  <w:pPr>
                    <w:jc w:val="center"/>
                    <w:rPr>
                      <w:color w:val="auto"/>
                      <w:sz w:val="22"/>
                      <w:szCs w:val="22"/>
                      <w:highlight w:val="none"/>
                    </w:rPr>
                  </w:pPr>
                  <w:r>
                    <w:rPr>
                      <w:color w:val="auto"/>
                      <w:sz w:val="22"/>
                      <w:szCs w:val="22"/>
                      <w:highlight w:val="none"/>
                    </w:rPr>
                    <w:t>大气环境二类区</w:t>
                  </w:r>
                </w:p>
              </w:tc>
              <w:tc>
                <w:tcPr>
                  <w:tcW w:w="727" w:type="dxa"/>
                  <w:tcBorders>
                    <w:top w:val="single" w:color="auto" w:sz="4" w:space="0"/>
                    <w:left w:val="single" w:color="auto" w:sz="4" w:space="0"/>
                    <w:right w:val="single" w:color="auto" w:sz="4" w:space="0"/>
                  </w:tcBorders>
                  <w:vAlign w:val="center"/>
                </w:tcPr>
                <w:p w14:paraId="0E8B132C">
                  <w:pPr>
                    <w:jc w:val="center"/>
                    <w:rPr>
                      <w:color w:val="auto"/>
                      <w:sz w:val="22"/>
                      <w:szCs w:val="22"/>
                      <w:highlight w:val="none"/>
                    </w:rPr>
                  </w:pPr>
                  <w:r>
                    <w:rPr>
                      <w:color w:val="auto"/>
                      <w:sz w:val="22"/>
                      <w:szCs w:val="22"/>
                      <w:highlight w:val="none"/>
                    </w:rPr>
                    <w:t>S</w:t>
                  </w:r>
                  <w:r>
                    <w:rPr>
                      <w:rFonts w:hint="eastAsia"/>
                      <w:color w:val="auto"/>
                      <w:sz w:val="22"/>
                      <w:szCs w:val="22"/>
                      <w:highlight w:val="none"/>
                    </w:rPr>
                    <w:t>E</w:t>
                  </w:r>
                </w:p>
              </w:tc>
              <w:tc>
                <w:tcPr>
                  <w:tcW w:w="1041" w:type="dxa"/>
                  <w:tcBorders>
                    <w:top w:val="single" w:color="auto" w:sz="4" w:space="0"/>
                    <w:left w:val="single" w:color="auto" w:sz="4" w:space="0"/>
                    <w:right w:val="single" w:color="auto" w:sz="4" w:space="0"/>
                  </w:tcBorders>
                  <w:vAlign w:val="center"/>
                </w:tcPr>
                <w:p w14:paraId="7BAA4C44">
                  <w:pPr>
                    <w:jc w:val="center"/>
                    <w:rPr>
                      <w:color w:val="auto"/>
                      <w:sz w:val="22"/>
                      <w:szCs w:val="22"/>
                      <w:highlight w:val="none"/>
                    </w:rPr>
                  </w:pPr>
                  <w:r>
                    <w:rPr>
                      <w:rFonts w:hint="eastAsia"/>
                      <w:color w:val="auto"/>
                      <w:sz w:val="22"/>
                      <w:szCs w:val="22"/>
                      <w:highlight w:val="none"/>
                    </w:rPr>
                    <w:t>296~500</w:t>
                  </w:r>
                </w:p>
              </w:tc>
            </w:tr>
            <w:tr w14:paraId="4F84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dxa"/>
                  <w:tcBorders>
                    <w:top w:val="single" w:color="auto" w:sz="4" w:space="0"/>
                    <w:left w:val="single" w:color="auto" w:sz="4" w:space="0"/>
                    <w:bottom w:val="single" w:color="auto" w:sz="4" w:space="0"/>
                    <w:right w:val="single" w:color="auto" w:sz="4" w:space="0"/>
                  </w:tcBorders>
                  <w:vAlign w:val="center"/>
                </w:tcPr>
                <w:p w14:paraId="09CA4463">
                  <w:pPr>
                    <w:jc w:val="center"/>
                    <w:rPr>
                      <w:color w:val="auto"/>
                      <w:sz w:val="22"/>
                      <w:szCs w:val="22"/>
                      <w:highlight w:val="none"/>
                    </w:rPr>
                  </w:pPr>
                  <w:r>
                    <w:rPr>
                      <w:color w:val="auto"/>
                      <w:sz w:val="22"/>
                      <w:szCs w:val="22"/>
                      <w:highlight w:val="none"/>
                    </w:rPr>
                    <w:t>2</w:t>
                  </w:r>
                </w:p>
              </w:tc>
              <w:tc>
                <w:tcPr>
                  <w:tcW w:w="988" w:type="dxa"/>
                  <w:tcBorders>
                    <w:top w:val="single" w:color="auto" w:sz="4" w:space="0"/>
                    <w:left w:val="single" w:color="auto" w:sz="4" w:space="0"/>
                    <w:bottom w:val="single" w:color="auto" w:sz="4" w:space="0"/>
                    <w:right w:val="single" w:color="auto" w:sz="4" w:space="0"/>
                  </w:tcBorders>
                  <w:vAlign w:val="center"/>
                </w:tcPr>
                <w:p w14:paraId="1B566604">
                  <w:pPr>
                    <w:jc w:val="center"/>
                    <w:rPr>
                      <w:color w:val="auto"/>
                      <w:sz w:val="22"/>
                      <w:szCs w:val="22"/>
                      <w:highlight w:val="none"/>
                    </w:rPr>
                  </w:pPr>
                  <w:r>
                    <w:rPr>
                      <w:color w:val="auto"/>
                      <w:sz w:val="22"/>
                      <w:szCs w:val="22"/>
                      <w:highlight w:val="none"/>
                    </w:rPr>
                    <w:t>641727</w:t>
                  </w:r>
                </w:p>
              </w:tc>
              <w:tc>
                <w:tcPr>
                  <w:tcW w:w="1012" w:type="dxa"/>
                  <w:tcBorders>
                    <w:top w:val="single" w:color="auto" w:sz="4" w:space="0"/>
                    <w:left w:val="single" w:color="auto" w:sz="4" w:space="0"/>
                    <w:bottom w:val="single" w:color="auto" w:sz="4" w:space="0"/>
                    <w:right w:val="single" w:color="auto" w:sz="4" w:space="0"/>
                  </w:tcBorders>
                  <w:vAlign w:val="center"/>
                </w:tcPr>
                <w:p w14:paraId="7B4E1498">
                  <w:pPr>
                    <w:jc w:val="center"/>
                    <w:rPr>
                      <w:color w:val="auto"/>
                      <w:sz w:val="22"/>
                      <w:szCs w:val="22"/>
                      <w:highlight w:val="none"/>
                    </w:rPr>
                  </w:pPr>
                  <w:r>
                    <w:rPr>
                      <w:color w:val="auto"/>
                      <w:sz w:val="22"/>
                      <w:szCs w:val="22"/>
                      <w:highlight w:val="none"/>
                    </w:rPr>
                    <w:t>3308134</w:t>
                  </w:r>
                </w:p>
              </w:tc>
              <w:tc>
                <w:tcPr>
                  <w:tcW w:w="978" w:type="dxa"/>
                  <w:tcBorders>
                    <w:top w:val="single" w:color="auto" w:sz="4" w:space="0"/>
                    <w:left w:val="single" w:color="auto" w:sz="4" w:space="0"/>
                    <w:bottom w:val="single" w:color="auto" w:sz="4" w:space="0"/>
                    <w:right w:val="single" w:color="auto" w:sz="4" w:space="0"/>
                  </w:tcBorders>
                  <w:vAlign w:val="center"/>
                </w:tcPr>
                <w:p w14:paraId="2F243961">
                  <w:pPr>
                    <w:jc w:val="center"/>
                    <w:rPr>
                      <w:color w:val="auto"/>
                      <w:sz w:val="22"/>
                      <w:szCs w:val="22"/>
                      <w:highlight w:val="none"/>
                    </w:rPr>
                  </w:pPr>
                  <w:r>
                    <w:rPr>
                      <w:color w:val="auto"/>
                      <w:sz w:val="22"/>
                      <w:szCs w:val="22"/>
                      <w:highlight w:val="none"/>
                    </w:rPr>
                    <w:t>银翔·盛世华庭</w:t>
                  </w:r>
                </w:p>
              </w:tc>
              <w:tc>
                <w:tcPr>
                  <w:tcW w:w="1924" w:type="dxa"/>
                  <w:tcBorders>
                    <w:top w:val="single" w:color="auto" w:sz="4" w:space="0"/>
                    <w:left w:val="single" w:color="auto" w:sz="4" w:space="0"/>
                    <w:bottom w:val="single" w:color="auto" w:sz="4" w:space="0"/>
                    <w:right w:val="single" w:color="auto" w:sz="4" w:space="0"/>
                  </w:tcBorders>
                  <w:vAlign w:val="center"/>
                </w:tcPr>
                <w:p w14:paraId="57C7C123">
                  <w:pPr>
                    <w:jc w:val="center"/>
                    <w:rPr>
                      <w:color w:val="auto"/>
                      <w:sz w:val="22"/>
                      <w:szCs w:val="22"/>
                      <w:highlight w:val="none"/>
                    </w:rPr>
                  </w:pPr>
                  <w:r>
                    <w:rPr>
                      <w:rFonts w:hint="eastAsia"/>
                      <w:color w:val="auto"/>
                      <w:sz w:val="22"/>
                      <w:szCs w:val="22"/>
                      <w:highlight w:val="none"/>
                    </w:rPr>
                    <w:t>集中居住区</w:t>
                  </w:r>
                  <w:r>
                    <w:rPr>
                      <w:color w:val="auto"/>
                      <w:sz w:val="22"/>
                      <w:szCs w:val="22"/>
                      <w:highlight w:val="none"/>
                    </w:rPr>
                    <w:t>居民，</w:t>
                  </w:r>
                  <w:r>
                    <w:rPr>
                      <w:rFonts w:hint="eastAsia"/>
                      <w:color w:val="auto"/>
                      <w:sz w:val="22"/>
                      <w:szCs w:val="22"/>
                      <w:highlight w:val="none"/>
                      <w:lang w:val="en-US" w:eastAsia="zh-CN"/>
                    </w:rPr>
                    <w:t>500m内</w:t>
                  </w:r>
                  <w:r>
                    <w:rPr>
                      <w:color w:val="auto"/>
                      <w:sz w:val="22"/>
                      <w:szCs w:val="22"/>
                      <w:highlight w:val="none"/>
                    </w:rPr>
                    <w:t>约</w:t>
                  </w:r>
                  <w:r>
                    <w:rPr>
                      <w:rFonts w:hint="eastAsia"/>
                      <w:color w:val="auto"/>
                      <w:sz w:val="22"/>
                      <w:szCs w:val="22"/>
                      <w:highlight w:val="none"/>
                      <w:lang w:val="en-US" w:eastAsia="zh-CN"/>
                    </w:rPr>
                    <w:t>3栋，540</w:t>
                  </w:r>
                  <w:r>
                    <w:rPr>
                      <w:color w:val="auto"/>
                      <w:sz w:val="22"/>
                      <w:szCs w:val="22"/>
                      <w:highlight w:val="none"/>
                    </w:rPr>
                    <w:t>户</w:t>
                  </w:r>
                  <w:r>
                    <w:rPr>
                      <w:rFonts w:hint="eastAsia"/>
                      <w:color w:val="auto"/>
                      <w:sz w:val="22"/>
                      <w:szCs w:val="22"/>
                      <w:highlight w:val="none"/>
                      <w:lang w:val="en-US" w:eastAsia="zh-CN"/>
                    </w:rPr>
                    <w:t>1890</w:t>
                  </w:r>
                  <w:r>
                    <w:rPr>
                      <w:color w:val="auto"/>
                      <w:sz w:val="22"/>
                      <w:szCs w:val="22"/>
                      <w:highlight w:val="none"/>
                    </w:rPr>
                    <w:t>人</w:t>
                  </w:r>
                </w:p>
              </w:tc>
              <w:tc>
                <w:tcPr>
                  <w:tcW w:w="796" w:type="dxa"/>
                  <w:vMerge w:val="continue"/>
                  <w:tcBorders>
                    <w:top w:val="single" w:color="auto" w:sz="4" w:space="0"/>
                    <w:left w:val="single" w:color="auto" w:sz="4" w:space="0"/>
                    <w:bottom w:val="single" w:color="auto" w:sz="4" w:space="0"/>
                    <w:right w:val="single" w:color="auto" w:sz="4" w:space="0"/>
                  </w:tcBorders>
                  <w:vAlign w:val="center"/>
                </w:tcPr>
                <w:p w14:paraId="56946E39">
                  <w:pPr>
                    <w:widowControl/>
                    <w:jc w:val="center"/>
                    <w:rPr>
                      <w:color w:val="auto"/>
                      <w:sz w:val="22"/>
                      <w:szCs w:val="22"/>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3CA37A63">
                  <w:pPr>
                    <w:jc w:val="center"/>
                    <w:rPr>
                      <w:color w:val="auto"/>
                      <w:sz w:val="22"/>
                      <w:szCs w:val="22"/>
                      <w:highlight w:val="none"/>
                    </w:rPr>
                  </w:pPr>
                  <w:r>
                    <w:rPr>
                      <w:color w:val="auto"/>
                      <w:sz w:val="22"/>
                      <w:szCs w:val="22"/>
                      <w:highlight w:val="none"/>
                    </w:rPr>
                    <w:t>N</w:t>
                  </w:r>
                </w:p>
              </w:tc>
              <w:tc>
                <w:tcPr>
                  <w:tcW w:w="1041" w:type="dxa"/>
                  <w:tcBorders>
                    <w:top w:val="single" w:color="auto" w:sz="4" w:space="0"/>
                    <w:left w:val="single" w:color="auto" w:sz="4" w:space="0"/>
                    <w:bottom w:val="single" w:color="auto" w:sz="4" w:space="0"/>
                    <w:right w:val="single" w:color="auto" w:sz="4" w:space="0"/>
                  </w:tcBorders>
                  <w:vAlign w:val="center"/>
                </w:tcPr>
                <w:p w14:paraId="0693293E">
                  <w:pPr>
                    <w:jc w:val="center"/>
                    <w:rPr>
                      <w:color w:val="auto"/>
                      <w:sz w:val="22"/>
                      <w:szCs w:val="22"/>
                      <w:highlight w:val="none"/>
                    </w:rPr>
                  </w:pPr>
                  <w:r>
                    <w:rPr>
                      <w:rFonts w:hint="eastAsia"/>
                      <w:color w:val="auto"/>
                      <w:sz w:val="22"/>
                      <w:szCs w:val="22"/>
                      <w:highlight w:val="none"/>
                    </w:rPr>
                    <w:t>404</w:t>
                  </w:r>
                </w:p>
              </w:tc>
            </w:tr>
            <w:tr w14:paraId="7D0D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dxa"/>
                  <w:tcBorders>
                    <w:top w:val="single" w:color="auto" w:sz="4" w:space="0"/>
                    <w:left w:val="single" w:color="auto" w:sz="4" w:space="0"/>
                    <w:bottom w:val="single" w:color="auto" w:sz="4" w:space="0"/>
                    <w:right w:val="single" w:color="auto" w:sz="4" w:space="0"/>
                  </w:tcBorders>
                  <w:vAlign w:val="center"/>
                </w:tcPr>
                <w:p w14:paraId="66629546">
                  <w:pPr>
                    <w:jc w:val="center"/>
                    <w:rPr>
                      <w:color w:val="auto"/>
                      <w:sz w:val="22"/>
                      <w:szCs w:val="22"/>
                      <w:highlight w:val="none"/>
                    </w:rPr>
                  </w:pPr>
                  <w:r>
                    <w:rPr>
                      <w:color w:val="auto"/>
                      <w:sz w:val="22"/>
                      <w:szCs w:val="22"/>
                      <w:highlight w:val="none"/>
                    </w:rPr>
                    <w:t>3</w:t>
                  </w:r>
                </w:p>
              </w:tc>
              <w:tc>
                <w:tcPr>
                  <w:tcW w:w="988" w:type="dxa"/>
                  <w:tcBorders>
                    <w:top w:val="single" w:color="auto" w:sz="4" w:space="0"/>
                    <w:left w:val="single" w:color="auto" w:sz="4" w:space="0"/>
                    <w:bottom w:val="single" w:color="auto" w:sz="4" w:space="0"/>
                    <w:right w:val="single" w:color="auto" w:sz="4" w:space="0"/>
                  </w:tcBorders>
                  <w:vAlign w:val="center"/>
                </w:tcPr>
                <w:p w14:paraId="2F6E723F">
                  <w:pPr>
                    <w:jc w:val="center"/>
                    <w:rPr>
                      <w:color w:val="auto"/>
                      <w:sz w:val="22"/>
                      <w:szCs w:val="22"/>
                      <w:highlight w:val="none"/>
                    </w:rPr>
                  </w:pPr>
                  <w:r>
                    <w:rPr>
                      <w:color w:val="auto"/>
                      <w:sz w:val="22"/>
                      <w:szCs w:val="22"/>
                      <w:highlight w:val="none"/>
                    </w:rPr>
                    <w:t>641539</w:t>
                  </w:r>
                </w:p>
              </w:tc>
              <w:tc>
                <w:tcPr>
                  <w:tcW w:w="1012" w:type="dxa"/>
                  <w:tcBorders>
                    <w:top w:val="single" w:color="auto" w:sz="4" w:space="0"/>
                    <w:left w:val="single" w:color="auto" w:sz="4" w:space="0"/>
                    <w:bottom w:val="single" w:color="auto" w:sz="4" w:space="0"/>
                    <w:right w:val="single" w:color="auto" w:sz="4" w:space="0"/>
                  </w:tcBorders>
                  <w:vAlign w:val="center"/>
                </w:tcPr>
                <w:p w14:paraId="440C4296">
                  <w:pPr>
                    <w:jc w:val="center"/>
                    <w:rPr>
                      <w:color w:val="auto"/>
                      <w:sz w:val="22"/>
                      <w:szCs w:val="22"/>
                      <w:highlight w:val="none"/>
                    </w:rPr>
                  </w:pPr>
                  <w:r>
                    <w:rPr>
                      <w:color w:val="auto"/>
                      <w:sz w:val="22"/>
                      <w:szCs w:val="22"/>
                      <w:highlight w:val="none"/>
                    </w:rPr>
                    <w:t>3308200</w:t>
                  </w:r>
                </w:p>
              </w:tc>
              <w:tc>
                <w:tcPr>
                  <w:tcW w:w="978" w:type="dxa"/>
                  <w:tcBorders>
                    <w:top w:val="single" w:color="auto" w:sz="4" w:space="0"/>
                    <w:left w:val="single" w:color="auto" w:sz="4" w:space="0"/>
                    <w:bottom w:val="single" w:color="auto" w:sz="4" w:space="0"/>
                    <w:right w:val="single" w:color="auto" w:sz="4" w:space="0"/>
                  </w:tcBorders>
                  <w:vAlign w:val="center"/>
                </w:tcPr>
                <w:p w14:paraId="10DF8E0B">
                  <w:pPr>
                    <w:jc w:val="center"/>
                    <w:rPr>
                      <w:color w:val="auto"/>
                      <w:sz w:val="22"/>
                      <w:szCs w:val="22"/>
                      <w:highlight w:val="none"/>
                    </w:rPr>
                  </w:pPr>
                  <w:r>
                    <w:rPr>
                      <w:color w:val="auto"/>
                      <w:sz w:val="22"/>
                      <w:szCs w:val="22"/>
                      <w:highlight w:val="none"/>
                    </w:rPr>
                    <w:t>银翔·盛世悦庭</w:t>
                  </w:r>
                </w:p>
              </w:tc>
              <w:tc>
                <w:tcPr>
                  <w:tcW w:w="1924" w:type="dxa"/>
                  <w:tcBorders>
                    <w:top w:val="single" w:color="auto" w:sz="4" w:space="0"/>
                    <w:left w:val="single" w:color="auto" w:sz="4" w:space="0"/>
                    <w:bottom w:val="single" w:color="auto" w:sz="4" w:space="0"/>
                    <w:right w:val="single" w:color="auto" w:sz="4" w:space="0"/>
                  </w:tcBorders>
                  <w:vAlign w:val="center"/>
                </w:tcPr>
                <w:p w14:paraId="3090467F">
                  <w:pPr>
                    <w:jc w:val="center"/>
                    <w:rPr>
                      <w:color w:val="auto"/>
                      <w:sz w:val="22"/>
                      <w:szCs w:val="22"/>
                      <w:highlight w:val="none"/>
                    </w:rPr>
                  </w:pPr>
                  <w:r>
                    <w:rPr>
                      <w:color w:val="auto"/>
                      <w:sz w:val="22"/>
                      <w:szCs w:val="22"/>
                      <w:highlight w:val="none"/>
                    </w:rPr>
                    <w:t>集中居住区居民，</w:t>
                  </w:r>
                  <w:r>
                    <w:rPr>
                      <w:rFonts w:hint="eastAsia"/>
                      <w:color w:val="auto"/>
                      <w:sz w:val="22"/>
                      <w:szCs w:val="22"/>
                      <w:highlight w:val="none"/>
                    </w:rPr>
                    <w:t>500m内约</w:t>
                  </w:r>
                  <w:r>
                    <w:rPr>
                      <w:rFonts w:hint="eastAsia"/>
                      <w:color w:val="auto"/>
                      <w:sz w:val="22"/>
                      <w:szCs w:val="22"/>
                      <w:highlight w:val="none"/>
                      <w:lang w:val="en-US" w:eastAsia="zh-CN"/>
                    </w:rPr>
                    <w:t>1</w:t>
                  </w:r>
                  <w:r>
                    <w:rPr>
                      <w:rFonts w:hint="eastAsia"/>
                      <w:color w:val="auto"/>
                      <w:sz w:val="22"/>
                      <w:szCs w:val="22"/>
                      <w:highlight w:val="none"/>
                    </w:rPr>
                    <w:t>栋，</w:t>
                  </w:r>
                  <w:r>
                    <w:rPr>
                      <w:rFonts w:hint="eastAsia"/>
                      <w:color w:val="auto"/>
                      <w:sz w:val="22"/>
                      <w:szCs w:val="22"/>
                      <w:highlight w:val="none"/>
                      <w:lang w:val="en-US" w:eastAsia="zh-CN"/>
                    </w:rPr>
                    <w:t>180</w:t>
                  </w:r>
                  <w:r>
                    <w:rPr>
                      <w:rFonts w:hint="eastAsia"/>
                      <w:color w:val="auto"/>
                      <w:sz w:val="22"/>
                      <w:szCs w:val="22"/>
                      <w:highlight w:val="none"/>
                    </w:rPr>
                    <w:t>户</w:t>
                  </w:r>
                  <w:r>
                    <w:rPr>
                      <w:rFonts w:hint="eastAsia"/>
                      <w:color w:val="auto"/>
                      <w:sz w:val="22"/>
                      <w:szCs w:val="22"/>
                      <w:highlight w:val="none"/>
                      <w:lang w:val="en-US" w:eastAsia="zh-CN"/>
                    </w:rPr>
                    <w:t>630</w:t>
                  </w:r>
                  <w:r>
                    <w:rPr>
                      <w:rFonts w:hint="eastAsia"/>
                      <w:color w:val="auto"/>
                      <w:sz w:val="22"/>
                      <w:szCs w:val="22"/>
                      <w:highlight w:val="none"/>
                    </w:rPr>
                    <w:t>人</w:t>
                  </w:r>
                </w:p>
              </w:tc>
              <w:tc>
                <w:tcPr>
                  <w:tcW w:w="796" w:type="dxa"/>
                  <w:vMerge w:val="continue"/>
                  <w:tcBorders>
                    <w:top w:val="single" w:color="auto" w:sz="4" w:space="0"/>
                    <w:left w:val="single" w:color="auto" w:sz="4" w:space="0"/>
                    <w:bottom w:val="single" w:color="auto" w:sz="4" w:space="0"/>
                    <w:right w:val="single" w:color="auto" w:sz="4" w:space="0"/>
                  </w:tcBorders>
                  <w:vAlign w:val="center"/>
                </w:tcPr>
                <w:p w14:paraId="3030C82D">
                  <w:pPr>
                    <w:widowControl/>
                    <w:jc w:val="center"/>
                    <w:rPr>
                      <w:color w:val="auto"/>
                      <w:sz w:val="22"/>
                      <w:szCs w:val="22"/>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01D886C7">
                  <w:pPr>
                    <w:jc w:val="center"/>
                    <w:rPr>
                      <w:color w:val="auto"/>
                      <w:sz w:val="22"/>
                      <w:szCs w:val="22"/>
                      <w:highlight w:val="none"/>
                    </w:rPr>
                  </w:pPr>
                  <w:r>
                    <w:rPr>
                      <w:color w:val="auto"/>
                      <w:sz w:val="22"/>
                      <w:szCs w:val="22"/>
                      <w:highlight w:val="none"/>
                    </w:rPr>
                    <w:t>N</w:t>
                  </w:r>
                </w:p>
              </w:tc>
              <w:tc>
                <w:tcPr>
                  <w:tcW w:w="1041" w:type="dxa"/>
                  <w:tcBorders>
                    <w:top w:val="single" w:color="auto" w:sz="4" w:space="0"/>
                    <w:left w:val="single" w:color="auto" w:sz="4" w:space="0"/>
                    <w:bottom w:val="single" w:color="auto" w:sz="4" w:space="0"/>
                    <w:right w:val="single" w:color="auto" w:sz="4" w:space="0"/>
                  </w:tcBorders>
                  <w:vAlign w:val="center"/>
                </w:tcPr>
                <w:p w14:paraId="6FC28CA1">
                  <w:pPr>
                    <w:jc w:val="center"/>
                    <w:rPr>
                      <w:color w:val="auto"/>
                      <w:sz w:val="22"/>
                      <w:szCs w:val="22"/>
                      <w:highlight w:val="none"/>
                    </w:rPr>
                  </w:pPr>
                  <w:r>
                    <w:rPr>
                      <w:rFonts w:hint="eastAsia"/>
                      <w:color w:val="auto"/>
                      <w:sz w:val="22"/>
                      <w:szCs w:val="22"/>
                      <w:highlight w:val="none"/>
                    </w:rPr>
                    <w:t>492</w:t>
                  </w:r>
                </w:p>
              </w:tc>
            </w:tr>
            <w:tr w14:paraId="5AE1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dxa"/>
                  <w:tcBorders>
                    <w:top w:val="single" w:color="auto" w:sz="4" w:space="0"/>
                    <w:left w:val="single" w:color="auto" w:sz="4" w:space="0"/>
                    <w:bottom w:val="single" w:color="auto" w:sz="4" w:space="0"/>
                    <w:right w:val="single" w:color="auto" w:sz="4" w:space="0"/>
                  </w:tcBorders>
                  <w:vAlign w:val="center"/>
                </w:tcPr>
                <w:p w14:paraId="0DA6D466">
                  <w:pPr>
                    <w:jc w:val="center"/>
                    <w:rPr>
                      <w:color w:val="auto"/>
                      <w:sz w:val="22"/>
                      <w:szCs w:val="22"/>
                      <w:highlight w:val="none"/>
                    </w:rPr>
                  </w:pPr>
                  <w:r>
                    <w:rPr>
                      <w:rFonts w:hint="eastAsia"/>
                      <w:color w:val="auto"/>
                      <w:sz w:val="22"/>
                      <w:szCs w:val="22"/>
                      <w:highlight w:val="none"/>
                    </w:rPr>
                    <w:t>4</w:t>
                  </w:r>
                </w:p>
              </w:tc>
              <w:tc>
                <w:tcPr>
                  <w:tcW w:w="988" w:type="dxa"/>
                  <w:tcBorders>
                    <w:top w:val="single" w:color="auto" w:sz="4" w:space="0"/>
                    <w:left w:val="single" w:color="auto" w:sz="4" w:space="0"/>
                    <w:bottom w:val="single" w:color="auto" w:sz="4" w:space="0"/>
                    <w:right w:val="single" w:color="auto" w:sz="4" w:space="0"/>
                  </w:tcBorders>
                  <w:vAlign w:val="center"/>
                </w:tcPr>
                <w:p w14:paraId="7EAB5892">
                  <w:pPr>
                    <w:jc w:val="center"/>
                    <w:rPr>
                      <w:color w:val="auto"/>
                      <w:sz w:val="22"/>
                      <w:szCs w:val="22"/>
                      <w:highlight w:val="none"/>
                    </w:rPr>
                  </w:pPr>
                  <w:r>
                    <w:rPr>
                      <w:rFonts w:hint="eastAsia"/>
                      <w:color w:val="auto"/>
                      <w:sz w:val="22"/>
                      <w:szCs w:val="22"/>
                      <w:highlight w:val="none"/>
                    </w:rPr>
                    <w:t>/</w:t>
                  </w:r>
                </w:p>
              </w:tc>
              <w:tc>
                <w:tcPr>
                  <w:tcW w:w="1012" w:type="dxa"/>
                  <w:tcBorders>
                    <w:top w:val="single" w:color="auto" w:sz="4" w:space="0"/>
                    <w:left w:val="single" w:color="auto" w:sz="4" w:space="0"/>
                    <w:bottom w:val="single" w:color="auto" w:sz="4" w:space="0"/>
                    <w:right w:val="single" w:color="auto" w:sz="4" w:space="0"/>
                  </w:tcBorders>
                  <w:vAlign w:val="center"/>
                </w:tcPr>
                <w:p w14:paraId="1ED0DEE8">
                  <w:pPr>
                    <w:jc w:val="center"/>
                    <w:rPr>
                      <w:color w:val="auto"/>
                      <w:sz w:val="22"/>
                      <w:szCs w:val="22"/>
                      <w:highlight w:val="none"/>
                    </w:rPr>
                  </w:pPr>
                  <w:r>
                    <w:rPr>
                      <w:color w:val="auto"/>
                      <w:sz w:val="22"/>
                      <w:szCs w:val="22"/>
                      <w:highlight w:val="none"/>
                    </w:rPr>
                    <w:t>/</w:t>
                  </w:r>
                </w:p>
              </w:tc>
              <w:tc>
                <w:tcPr>
                  <w:tcW w:w="978" w:type="dxa"/>
                  <w:tcBorders>
                    <w:top w:val="single" w:color="auto" w:sz="4" w:space="0"/>
                    <w:left w:val="single" w:color="auto" w:sz="4" w:space="0"/>
                    <w:bottom w:val="single" w:color="auto" w:sz="4" w:space="0"/>
                    <w:right w:val="single" w:color="auto" w:sz="4" w:space="0"/>
                  </w:tcBorders>
                  <w:vAlign w:val="center"/>
                </w:tcPr>
                <w:p w14:paraId="0B94702C">
                  <w:pPr>
                    <w:jc w:val="center"/>
                    <w:rPr>
                      <w:color w:val="auto"/>
                      <w:sz w:val="22"/>
                      <w:szCs w:val="22"/>
                      <w:highlight w:val="none"/>
                    </w:rPr>
                  </w:pPr>
                  <w:r>
                    <w:rPr>
                      <w:color w:val="auto"/>
                      <w:sz w:val="22"/>
                      <w:szCs w:val="22"/>
                      <w:highlight w:val="none"/>
                    </w:rPr>
                    <w:t>柏水溪</w:t>
                  </w:r>
                </w:p>
              </w:tc>
              <w:tc>
                <w:tcPr>
                  <w:tcW w:w="1924" w:type="dxa"/>
                  <w:tcBorders>
                    <w:top w:val="single" w:color="auto" w:sz="4" w:space="0"/>
                    <w:left w:val="single" w:color="auto" w:sz="4" w:space="0"/>
                    <w:bottom w:val="single" w:color="auto" w:sz="4" w:space="0"/>
                    <w:right w:val="single" w:color="auto" w:sz="4" w:space="0"/>
                  </w:tcBorders>
                  <w:vAlign w:val="center"/>
                </w:tcPr>
                <w:p w14:paraId="7C42D4DC">
                  <w:pPr>
                    <w:jc w:val="center"/>
                    <w:rPr>
                      <w:color w:val="auto"/>
                      <w:sz w:val="22"/>
                      <w:szCs w:val="22"/>
                      <w:highlight w:val="none"/>
                    </w:rPr>
                  </w:pPr>
                  <w:r>
                    <w:rPr>
                      <w:rFonts w:hint="eastAsia"/>
                      <w:color w:val="auto"/>
                      <w:sz w:val="22"/>
                      <w:szCs w:val="22"/>
                      <w:highlight w:val="none"/>
                    </w:rPr>
                    <w:t>河流水质</w:t>
                  </w:r>
                </w:p>
              </w:tc>
              <w:tc>
                <w:tcPr>
                  <w:tcW w:w="796" w:type="dxa"/>
                  <w:vMerge w:val="restart"/>
                  <w:tcBorders>
                    <w:top w:val="single" w:color="auto" w:sz="4" w:space="0"/>
                    <w:left w:val="single" w:color="auto" w:sz="4" w:space="0"/>
                    <w:right w:val="single" w:color="auto" w:sz="4" w:space="0"/>
                  </w:tcBorders>
                  <w:vAlign w:val="center"/>
                </w:tcPr>
                <w:p w14:paraId="7BC784D9">
                  <w:pPr>
                    <w:widowControl/>
                    <w:jc w:val="center"/>
                    <w:rPr>
                      <w:color w:val="auto"/>
                      <w:sz w:val="22"/>
                      <w:szCs w:val="22"/>
                      <w:highlight w:val="none"/>
                    </w:rPr>
                  </w:pPr>
                  <w:bookmarkStart w:id="66" w:name="hmcheck_7f09f6bd100d44c0bf99aa733046cc29"/>
                  <w:r>
                    <w:rPr>
                      <w:color w:val="auto"/>
                      <w:sz w:val="22"/>
                      <w:szCs w:val="22"/>
                      <w:highlight w:val="none"/>
                      <w:shd w:val="clear" w:fill="FFAFAA"/>
                    </w:rPr>
                    <w:t>III</w:t>
                  </w:r>
                  <w:bookmarkEnd w:id="66"/>
                  <w:r>
                    <w:rPr>
                      <w:color w:val="auto"/>
                      <w:sz w:val="22"/>
                      <w:szCs w:val="22"/>
                      <w:highlight w:val="none"/>
                    </w:rPr>
                    <w:t>类水域</w:t>
                  </w:r>
                </w:p>
              </w:tc>
              <w:tc>
                <w:tcPr>
                  <w:tcW w:w="727" w:type="dxa"/>
                  <w:tcBorders>
                    <w:top w:val="single" w:color="auto" w:sz="4" w:space="0"/>
                    <w:left w:val="single" w:color="auto" w:sz="4" w:space="0"/>
                    <w:bottom w:val="single" w:color="auto" w:sz="4" w:space="0"/>
                    <w:right w:val="single" w:color="auto" w:sz="4" w:space="0"/>
                  </w:tcBorders>
                  <w:vAlign w:val="center"/>
                </w:tcPr>
                <w:p w14:paraId="46CC3D00">
                  <w:pPr>
                    <w:jc w:val="center"/>
                    <w:rPr>
                      <w:color w:val="auto"/>
                      <w:sz w:val="22"/>
                      <w:szCs w:val="22"/>
                      <w:highlight w:val="none"/>
                    </w:rPr>
                  </w:pPr>
                  <w:r>
                    <w:rPr>
                      <w:rFonts w:hint="eastAsia"/>
                      <w:color w:val="auto"/>
                      <w:sz w:val="22"/>
                      <w:szCs w:val="22"/>
                      <w:highlight w:val="none"/>
                    </w:rPr>
                    <w:t>S</w:t>
                  </w:r>
                </w:p>
              </w:tc>
              <w:tc>
                <w:tcPr>
                  <w:tcW w:w="1041" w:type="dxa"/>
                  <w:tcBorders>
                    <w:top w:val="single" w:color="auto" w:sz="4" w:space="0"/>
                    <w:left w:val="single" w:color="auto" w:sz="4" w:space="0"/>
                    <w:bottom w:val="single" w:color="auto" w:sz="4" w:space="0"/>
                    <w:right w:val="single" w:color="auto" w:sz="4" w:space="0"/>
                  </w:tcBorders>
                  <w:vAlign w:val="center"/>
                </w:tcPr>
                <w:p w14:paraId="34A2268B">
                  <w:pPr>
                    <w:jc w:val="center"/>
                    <w:rPr>
                      <w:color w:val="auto"/>
                      <w:sz w:val="22"/>
                      <w:szCs w:val="22"/>
                      <w:highlight w:val="none"/>
                    </w:rPr>
                  </w:pPr>
                  <w:r>
                    <w:rPr>
                      <w:rFonts w:hint="eastAsia"/>
                      <w:color w:val="auto"/>
                      <w:sz w:val="22"/>
                      <w:szCs w:val="22"/>
                      <w:highlight w:val="none"/>
                    </w:rPr>
                    <w:t>140</w:t>
                  </w:r>
                </w:p>
              </w:tc>
            </w:tr>
            <w:tr w14:paraId="410E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dxa"/>
                  <w:tcBorders>
                    <w:top w:val="single" w:color="auto" w:sz="4" w:space="0"/>
                    <w:left w:val="single" w:color="auto" w:sz="4" w:space="0"/>
                    <w:bottom w:val="single" w:color="auto" w:sz="4" w:space="0"/>
                    <w:right w:val="single" w:color="auto" w:sz="4" w:space="0"/>
                  </w:tcBorders>
                  <w:vAlign w:val="center"/>
                </w:tcPr>
                <w:p w14:paraId="1B7B3774">
                  <w:pPr>
                    <w:jc w:val="center"/>
                    <w:rPr>
                      <w:color w:val="auto"/>
                      <w:sz w:val="22"/>
                      <w:szCs w:val="22"/>
                      <w:highlight w:val="none"/>
                    </w:rPr>
                  </w:pPr>
                  <w:r>
                    <w:rPr>
                      <w:rFonts w:hint="eastAsia"/>
                      <w:color w:val="auto"/>
                      <w:sz w:val="22"/>
                      <w:szCs w:val="22"/>
                      <w:highlight w:val="none"/>
                    </w:rPr>
                    <w:t>5</w:t>
                  </w:r>
                </w:p>
              </w:tc>
              <w:tc>
                <w:tcPr>
                  <w:tcW w:w="988" w:type="dxa"/>
                  <w:tcBorders>
                    <w:top w:val="single" w:color="auto" w:sz="4" w:space="0"/>
                    <w:left w:val="single" w:color="auto" w:sz="4" w:space="0"/>
                    <w:bottom w:val="single" w:color="auto" w:sz="4" w:space="0"/>
                    <w:right w:val="single" w:color="auto" w:sz="4" w:space="0"/>
                  </w:tcBorders>
                  <w:vAlign w:val="center"/>
                </w:tcPr>
                <w:p w14:paraId="16B67554">
                  <w:pPr>
                    <w:jc w:val="center"/>
                    <w:rPr>
                      <w:color w:val="auto"/>
                      <w:sz w:val="22"/>
                      <w:szCs w:val="22"/>
                      <w:highlight w:val="none"/>
                    </w:rPr>
                  </w:pPr>
                  <w:r>
                    <w:rPr>
                      <w:rFonts w:hint="eastAsia"/>
                      <w:color w:val="auto"/>
                      <w:sz w:val="22"/>
                      <w:szCs w:val="22"/>
                      <w:highlight w:val="none"/>
                    </w:rPr>
                    <w:t>/</w:t>
                  </w:r>
                </w:p>
              </w:tc>
              <w:tc>
                <w:tcPr>
                  <w:tcW w:w="1012" w:type="dxa"/>
                  <w:tcBorders>
                    <w:top w:val="single" w:color="auto" w:sz="4" w:space="0"/>
                    <w:left w:val="single" w:color="auto" w:sz="4" w:space="0"/>
                    <w:bottom w:val="single" w:color="auto" w:sz="4" w:space="0"/>
                    <w:right w:val="single" w:color="auto" w:sz="4" w:space="0"/>
                  </w:tcBorders>
                  <w:vAlign w:val="center"/>
                </w:tcPr>
                <w:p w14:paraId="098DF76D">
                  <w:pPr>
                    <w:jc w:val="center"/>
                    <w:rPr>
                      <w:color w:val="auto"/>
                      <w:sz w:val="22"/>
                      <w:szCs w:val="22"/>
                      <w:highlight w:val="none"/>
                    </w:rPr>
                  </w:pPr>
                  <w:r>
                    <w:rPr>
                      <w:color w:val="auto"/>
                      <w:sz w:val="22"/>
                      <w:szCs w:val="22"/>
                      <w:highlight w:val="none"/>
                    </w:rPr>
                    <w:t>/</w:t>
                  </w:r>
                </w:p>
              </w:tc>
              <w:tc>
                <w:tcPr>
                  <w:tcW w:w="978" w:type="dxa"/>
                  <w:tcBorders>
                    <w:top w:val="single" w:color="auto" w:sz="4" w:space="0"/>
                    <w:left w:val="single" w:color="auto" w:sz="4" w:space="0"/>
                    <w:bottom w:val="single" w:color="auto" w:sz="4" w:space="0"/>
                    <w:right w:val="single" w:color="auto" w:sz="4" w:space="0"/>
                  </w:tcBorders>
                  <w:vAlign w:val="center"/>
                </w:tcPr>
                <w:p w14:paraId="55C02729">
                  <w:pPr>
                    <w:jc w:val="center"/>
                    <w:rPr>
                      <w:color w:val="auto"/>
                      <w:sz w:val="22"/>
                      <w:szCs w:val="22"/>
                      <w:highlight w:val="none"/>
                    </w:rPr>
                  </w:pPr>
                  <w:r>
                    <w:rPr>
                      <w:rFonts w:hint="eastAsia"/>
                      <w:color w:val="auto"/>
                      <w:sz w:val="22"/>
                      <w:szCs w:val="22"/>
                      <w:highlight w:val="none"/>
                    </w:rPr>
                    <w:t>嘉陵江</w:t>
                  </w:r>
                </w:p>
              </w:tc>
              <w:tc>
                <w:tcPr>
                  <w:tcW w:w="1924" w:type="dxa"/>
                  <w:tcBorders>
                    <w:top w:val="single" w:color="auto" w:sz="4" w:space="0"/>
                    <w:left w:val="single" w:color="auto" w:sz="4" w:space="0"/>
                    <w:bottom w:val="single" w:color="auto" w:sz="4" w:space="0"/>
                    <w:right w:val="single" w:color="auto" w:sz="4" w:space="0"/>
                  </w:tcBorders>
                  <w:vAlign w:val="center"/>
                </w:tcPr>
                <w:p w14:paraId="073E1893">
                  <w:pPr>
                    <w:jc w:val="center"/>
                    <w:rPr>
                      <w:color w:val="auto"/>
                      <w:sz w:val="22"/>
                      <w:szCs w:val="22"/>
                      <w:highlight w:val="none"/>
                    </w:rPr>
                  </w:pPr>
                  <w:r>
                    <w:rPr>
                      <w:rFonts w:hint="eastAsia"/>
                      <w:color w:val="auto"/>
                      <w:sz w:val="22"/>
                      <w:szCs w:val="22"/>
                      <w:highlight w:val="none"/>
                    </w:rPr>
                    <w:t>河流水质</w:t>
                  </w:r>
                </w:p>
              </w:tc>
              <w:tc>
                <w:tcPr>
                  <w:tcW w:w="796" w:type="dxa"/>
                  <w:vMerge w:val="continue"/>
                  <w:tcBorders>
                    <w:left w:val="single" w:color="auto" w:sz="4" w:space="0"/>
                    <w:bottom w:val="single" w:color="auto" w:sz="4" w:space="0"/>
                    <w:right w:val="single" w:color="auto" w:sz="4" w:space="0"/>
                  </w:tcBorders>
                  <w:vAlign w:val="center"/>
                </w:tcPr>
                <w:p w14:paraId="4F4A7C5B">
                  <w:pPr>
                    <w:widowControl/>
                    <w:jc w:val="center"/>
                    <w:rPr>
                      <w:color w:val="auto"/>
                      <w:sz w:val="22"/>
                      <w:szCs w:val="22"/>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14:paraId="5CC5392F">
                  <w:pPr>
                    <w:jc w:val="center"/>
                    <w:rPr>
                      <w:color w:val="auto"/>
                      <w:sz w:val="22"/>
                      <w:szCs w:val="22"/>
                      <w:highlight w:val="none"/>
                    </w:rPr>
                  </w:pPr>
                  <w:r>
                    <w:rPr>
                      <w:rFonts w:hint="eastAsia"/>
                      <w:color w:val="auto"/>
                      <w:sz w:val="22"/>
                      <w:szCs w:val="22"/>
                      <w:highlight w:val="none"/>
                    </w:rPr>
                    <w:t>SW</w:t>
                  </w:r>
                </w:p>
              </w:tc>
              <w:tc>
                <w:tcPr>
                  <w:tcW w:w="1041" w:type="dxa"/>
                  <w:tcBorders>
                    <w:top w:val="single" w:color="auto" w:sz="4" w:space="0"/>
                    <w:left w:val="single" w:color="auto" w:sz="4" w:space="0"/>
                    <w:bottom w:val="single" w:color="auto" w:sz="4" w:space="0"/>
                    <w:right w:val="single" w:color="auto" w:sz="4" w:space="0"/>
                  </w:tcBorders>
                  <w:vAlign w:val="center"/>
                </w:tcPr>
                <w:p w14:paraId="16E54D38">
                  <w:pPr>
                    <w:jc w:val="center"/>
                    <w:rPr>
                      <w:color w:val="auto"/>
                      <w:sz w:val="22"/>
                      <w:szCs w:val="22"/>
                      <w:highlight w:val="none"/>
                    </w:rPr>
                  </w:pPr>
                  <w:r>
                    <w:rPr>
                      <w:rFonts w:hint="eastAsia"/>
                      <w:color w:val="auto"/>
                      <w:sz w:val="22"/>
                      <w:szCs w:val="22"/>
                      <w:highlight w:val="none"/>
                    </w:rPr>
                    <w:t>6000</w:t>
                  </w:r>
                </w:p>
              </w:tc>
            </w:tr>
          </w:tbl>
          <w:p w14:paraId="24D297DA">
            <w:pPr>
              <w:adjustRightInd w:val="0"/>
              <w:snapToGrid w:val="0"/>
              <w:ind w:firstLine="210" w:firstLineChars="100"/>
              <w:jc w:val="left"/>
              <w:rPr>
                <w:color w:val="auto"/>
                <w:kern w:val="0"/>
                <w:szCs w:val="21"/>
                <w:highlight w:val="none"/>
              </w:rPr>
            </w:pPr>
            <w:r>
              <w:rPr>
                <w:rFonts w:hint="eastAsia"/>
                <w:color w:val="auto"/>
                <w:kern w:val="0"/>
                <w:szCs w:val="21"/>
                <w:highlight w:val="none"/>
              </w:rPr>
              <w:t>注：本表格坐标均为U</w:t>
            </w:r>
            <w:r>
              <w:rPr>
                <w:color w:val="auto"/>
                <w:kern w:val="0"/>
                <w:szCs w:val="21"/>
                <w:highlight w:val="none"/>
              </w:rPr>
              <w:t>TM</w:t>
            </w:r>
            <w:r>
              <w:rPr>
                <w:rFonts w:hint="eastAsia"/>
                <w:color w:val="auto"/>
                <w:kern w:val="0"/>
                <w:szCs w:val="21"/>
                <w:highlight w:val="none"/>
              </w:rPr>
              <w:t xml:space="preserve">坐标。 </w:t>
            </w:r>
            <w:r>
              <w:rPr>
                <w:color w:val="auto"/>
                <w:kern w:val="0"/>
                <w:szCs w:val="21"/>
                <w:highlight w:val="none"/>
              </w:rPr>
              <w:t xml:space="preserve"> </w:t>
            </w:r>
          </w:p>
          <w:p w14:paraId="58ED04D3">
            <w:pPr>
              <w:adjustRightInd w:val="0"/>
              <w:snapToGrid w:val="0"/>
              <w:ind w:firstLine="480" w:firstLineChars="200"/>
              <w:rPr>
                <w:color w:val="auto"/>
                <w:kern w:val="0"/>
                <w:sz w:val="24"/>
                <w:szCs w:val="21"/>
                <w:highlight w:val="none"/>
              </w:rPr>
            </w:pPr>
          </w:p>
        </w:tc>
      </w:tr>
      <w:tr w14:paraId="4C347C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800" w:type="dxa"/>
            <w:tcMar>
              <w:left w:w="28" w:type="dxa"/>
              <w:right w:w="28" w:type="dxa"/>
            </w:tcMar>
            <w:vAlign w:val="center"/>
          </w:tcPr>
          <w:p w14:paraId="4D0030FE">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污染</w:t>
            </w:r>
          </w:p>
          <w:p w14:paraId="2E8A9CC1">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物排</w:t>
            </w:r>
          </w:p>
          <w:p w14:paraId="0F36D57F">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放控</w:t>
            </w:r>
          </w:p>
          <w:p w14:paraId="0C8FBEC4">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制标</w:t>
            </w:r>
          </w:p>
          <w:p w14:paraId="13B5CBF6">
            <w:pPr>
              <w:adjustRightInd w:val="0"/>
              <w:snapToGrid w:val="0"/>
              <w:jc w:val="center"/>
              <w:rPr>
                <w:rFonts w:ascii="宋体" w:hAnsi="宋体" w:cs="宋体"/>
                <w:color w:val="auto"/>
                <w:kern w:val="0"/>
                <w:szCs w:val="21"/>
                <w:highlight w:val="none"/>
              </w:rPr>
            </w:pPr>
            <w:r>
              <w:rPr>
                <w:rFonts w:hint="eastAsia" w:ascii="宋体" w:hAnsi="宋体" w:cs="宋体"/>
                <w:color w:val="auto"/>
                <w:kern w:val="0"/>
                <w:sz w:val="24"/>
                <w:highlight w:val="none"/>
              </w:rPr>
              <w:t>准</w:t>
            </w:r>
          </w:p>
        </w:tc>
        <w:tc>
          <w:tcPr>
            <w:tcW w:w="8190" w:type="dxa"/>
            <w:vAlign w:val="center"/>
          </w:tcPr>
          <w:p w14:paraId="1F5CF5D0">
            <w:pPr>
              <w:adjustRightInd w:val="0"/>
              <w:snapToGrid w:val="0"/>
              <w:spacing w:line="480" w:lineRule="exact"/>
              <w:ind w:firstLine="522" w:firstLineChars="200"/>
              <w:rPr>
                <w:b/>
                <w:color w:val="auto"/>
                <w:kern w:val="0"/>
                <w:sz w:val="26"/>
                <w:szCs w:val="26"/>
                <w:highlight w:val="none"/>
              </w:rPr>
            </w:pPr>
            <w:r>
              <w:rPr>
                <w:b/>
                <w:color w:val="auto"/>
                <w:kern w:val="0"/>
                <w:sz w:val="26"/>
                <w:szCs w:val="26"/>
                <w:highlight w:val="none"/>
              </w:rPr>
              <w:t xml:space="preserve">3.3.1 </w:t>
            </w:r>
            <w:r>
              <w:rPr>
                <w:rFonts w:hint="eastAsia"/>
                <w:b/>
                <w:color w:val="auto"/>
                <w:kern w:val="0"/>
                <w:sz w:val="26"/>
                <w:szCs w:val="26"/>
                <w:highlight w:val="none"/>
              </w:rPr>
              <w:t>废气</w:t>
            </w:r>
          </w:p>
          <w:p w14:paraId="31A28C74">
            <w:pPr>
              <w:adjustRightInd w:val="0"/>
              <w:snapToGrid w:val="0"/>
              <w:spacing w:line="480" w:lineRule="exact"/>
              <w:ind w:firstLine="520" w:firstLineChars="200"/>
              <w:rPr>
                <w:rFonts w:eastAsiaTheme="minorEastAsia"/>
                <w:color w:val="auto"/>
                <w:sz w:val="26"/>
                <w:szCs w:val="26"/>
                <w:highlight w:val="none"/>
              </w:rPr>
            </w:pPr>
            <w:r>
              <w:rPr>
                <w:rFonts w:hint="eastAsia" w:eastAsiaTheme="minorEastAsia"/>
                <w:color w:val="auto"/>
                <w:sz w:val="26"/>
                <w:szCs w:val="26"/>
                <w:highlight w:val="none"/>
              </w:rPr>
              <w:t>施工期间施工废气执行《大气污染物综合排放标准》（DB 50/418－2016）中无组织排放标准限值。</w:t>
            </w:r>
          </w:p>
          <w:p w14:paraId="7FDD3236">
            <w:pPr>
              <w:adjustRightInd w:val="0"/>
              <w:snapToGrid w:val="0"/>
              <w:spacing w:line="480" w:lineRule="exact"/>
              <w:ind w:firstLine="520" w:firstLineChars="200"/>
              <w:rPr>
                <w:rFonts w:eastAsiaTheme="minorEastAsia"/>
                <w:color w:val="auto"/>
                <w:sz w:val="26"/>
                <w:szCs w:val="26"/>
                <w:highlight w:val="none"/>
              </w:rPr>
            </w:pPr>
            <w:r>
              <w:rPr>
                <w:rFonts w:eastAsiaTheme="minorEastAsia"/>
                <w:color w:val="auto"/>
                <w:sz w:val="26"/>
                <w:szCs w:val="26"/>
                <w:highlight w:val="none"/>
              </w:rPr>
              <w:t>运营期废气主要</w:t>
            </w:r>
            <w:r>
              <w:rPr>
                <w:rFonts w:hint="eastAsia" w:eastAsiaTheme="minorEastAsia"/>
                <w:color w:val="auto"/>
                <w:sz w:val="26"/>
                <w:szCs w:val="26"/>
                <w:highlight w:val="none"/>
              </w:rPr>
              <w:t>污染物为颗粒物、VOCs（以非甲烷总烃计）</w:t>
            </w:r>
            <w:r>
              <w:rPr>
                <w:rFonts w:eastAsiaTheme="minorEastAsia"/>
                <w:color w:val="auto"/>
                <w:sz w:val="26"/>
                <w:szCs w:val="26"/>
                <w:highlight w:val="none"/>
              </w:rPr>
              <w:t>，执行《大气污染物综合排放标准》（DB50/418-2016）中影响区排放限值。生产厂房无组织监控点的非甲烷总烃执行《挥发性有机物无组织排放控制标准》（GB37822-2019）大气特别排放限值，详见</w:t>
            </w:r>
            <w:r>
              <w:rPr>
                <w:rFonts w:hint="eastAsia" w:eastAsiaTheme="minorEastAsia"/>
                <w:color w:val="auto"/>
                <w:sz w:val="26"/>
                <w:szCs w:val="26"/>
                <w:highlight w:val="none"/>
              </w:rPr>
              <w:t>下</w:t>
            </w:r>
            <w:r>
              <w:rPr>
                <w:rFonts w:eastAsiaTheme="minorEastAsia"/>
                <w:color w:val="auto"/>
                <w:sz w:val="26"/>
                <w:szCs w:val="26"/>
                <w:highlight w:val="none"/>
              </w:rPr>
              <w:t>表。</w:t>
            </w:r>
          </w:p>
          <w:p w14:paraId="43E78294">
            <w:pPr>
              <w:adjustRightInd w:val="0"/>
              <w:snapToGrid w:val="0"/>
              <w:ind w:firstLine="520" w:firstLineChars="200"/>
              <w:rPr>
                <w:rFonts w:eastAsiaTheme="minorEastAsia"/>
                <w:color w:val="auto"/>
                <w:sz w:val="26"/>
                <w:szCs w:val="26"/>
                <w:highlight w:val="none"/>
              </w:rPr>
            </w:pPr>
          </w:p>
          <w:p w14:paraId="2D800A03">
            <w:pPr>
              <w:pStyle w:val="69"/>
              <w:numPr>
                <w:ilvl w:val="0"/>
                <w:numId w:val="0"/>
              </w:numPr>
              <w:adjustRightInd w:val="0"/>
              <w:snapToGrid w:val="0"/>
              <w:spacing w:before="0" w:beforeLines="0"/>
              <w:rPr>
                <w:rFonts w:eastAsiaTheme="minorEastAsia"/>
                <w:color w:val="auto"/>
                <w:sz w:val="26"/>
                <w:szCs w:val="26"/>
                <w:highlight w:val="none"/>
              </w:rPr>
            </w:pPr>
            <w:r>
              <w:rPr>
                <w:rFonts w:eastAsiaTheme="minorEastAsia"/>
                <w:color w:val="auto"/>
                <w:sz w:val="26"/>
                <w:szCs w:val="26"/>
                <w:highlight w:val="none"/>
              </w:rPr>
              <w:t>表3.3.1   《大气污染物综合排放标准》（DB50/418-2016）</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1590"/>
              <w:gridCol w:w="3195"/>
              <w:gridCol w:w="1794"/>
            </w:tblGrid>
            <w:tr w14:paraId="7297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5" w:type="dxa"/>
                  <w:vMerge w:val="restart"/>
                  <w:vAlign w:val="center"/>
                </w:tcPr>
                <w:p w14:paraId="740E1886">
                  <w:pPr>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污染物名称</w:t>
                  </w:r>
                </w:p>
              </w:tc>
              <w:tc>
                <w:tcPr>
                  <w:tcW w:w="1590" w:type="dxa"/>
                  <w:vMerge w:val="restart"/>
                  <w:vAlign w:val="center"/>
                </w:tcPr>
                <w:p w14:paraId="0C032072">
                  <w:pPr>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最高允许排放浓度（mg/m</w:t>
                  </w:r>
                  <w:r>
                    <w:rPr>
                      <w:rFonts w:eastAsiaTheme="minorEastAsia"/>
                      <w:color w:val="auto"/>
                      <w:kern w:val="0"/>
                      <w:sz w:val="22"/>
                      <w:szCs w:val="22"/>
                      <w:highlight w:val="none"/>
                      <w:vertAlign w:val="superscript"/>
                    </w:rPr>
                    <w:t>3</w:t>
                  </w:r>
                  <w:r>
                    <w:rPr>
                      <w:rFonts w:eastAsiaTheme="minorEastAsia"/>
                      <w:color w:val="auto"/>
                      <w:kern w:val="0"/>
                      <w:sz w:val="22"/>
                      <w:szCs w:val="22"/>
                      <w:highlight w:val="none"/>
                    </w:rPr>
                    <w:t>）</w:t>
                  </w:r>
                </w:p>
              </w:tc>
              <w:tc>
                <w:tcPr>
                  <w:tcW w:w="3195" w:type="dxa"/>
                  <w:vAlign w:val="center"/>
                </w:tcPr>
                <w:p w14:paraId="2DFA9174">
                  <w:pPr>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与排气筒高度对应的大气污染物最高允许排放速率（kg/h）</w:t>
                  </w:r>
                </w:p>
              </w:tc>
              <w:tc>
                <w:tcPr>
                  <w:tcW w:w="1794" w:type="dxa"/>
                  <w:vMerge w:val="restart"/>
                  <w:vAlign w:val="center"/>
                </w:tcPr>
                <w:p w14:paraId="0B10B1AE">
                  <w:pPr>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无组织排放标准限值（mg/m</w:t>
                  </w:r>
                  <w:r>
                    <w:rPr>
                      <w:rFonts w:eastAsiaTheme="minorEastAsia"/>
                      <w:color w:val="auto"/>
                      <w:kern w:val="0"/>
                      <w:sz w:val="22"/>
                      <w:szCs w:val="22"/>
                      <w:highlight w:val="none"/>
                      <w:vertAlign w:val="superscript"/>
                    </w:rPr>
                    <w:t>3</w:t>
                  </w:r>
                  <w:r>
                    <w:rPr>
                      <w:rFonts w:eastAsiaTheme="minorEastAsia"/>
                      <w:color w:val="auto"/>
                      <w:kern w:val="0"/>
                      <w:sz w:val="22"/>
                      <w:szCs w:val="22"/>
                      <w:highlight w:val="none"/>
                    </w:rPr>
                    <w:t>）</w:t>
                  </w:r>
                </w:p>
              </w:tc>
            </w:tr>
            <w:tr w14:paraId="7106B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5" w:type="dxa"/>
                  <w:vMerge w:val="continue"/>
                  <w:vAlign w:val="center"/>
                </w:tcPr>
                <w:p w14:paraId="7666A96D">
                  <w:pPr>
                    <w:adjustRightInd w:val="0"/>
                    <w:snapToGrid w:val="0"/>
                    <w:jc w:val="center"/>
                    <w:rPr>
                      <w:rFonts w:eastAsiaTheme="minorEastAsia"/>
                      <w:color w:val="auto"/>
                      <w:kern w:val="0"/>
                      <w:sz w:val="22"/>
                      <w:szCs w:val="22"/>
                      <w:highlight w:val="none"/>
                    </w:rPr>
                  </w:pPr>
                </w:p>
              </w:tc>
              <w:tc>
                <w:tcPr>
                  <w:tcW w:w="1590" w:type="dxa"/>
                  <w:vMerge w:val="continue"/>
                  <w:vAlign w:val="center"/>
                </w:tcPr>
                <w:p w14:paraId="70AB6A12">
                  <w:pPr>
                    <w:adjustRightInd w:val="0"/>
                    <w:snapToGrid w:val="0"/>
                    <w:jc w:val="center"/>
                    <w:rPr>
                      <w:rFonts w:eastAsiaTheme="minorEastAsia"/>
                      <w:color w:val="auto"/>
                      <w:kern w:val="0"/>
                      <w:sz w:val="22"/>
                      <w:szCs w:val="22"/>
                      <w:highlight w:val="none"/>
                    </w:rPr>
                  </w:pPr>
                </w:p>
              </w:tc>
              <w:tc>
                <w:tcPr>
                  <w:tcW w:w="3195" w:type="dxa"/>
                  <w:vAlign w:val="center"/>
                </w:tcPr>
                <w:p w14:paraId="17567434">
                  <w:pPr>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15m</w:t>
                  </w:r>
                </w:p>
              </w:tc>
              <w:tc>
                <w:tcPr>
                  <w:tcW w:w="1794" w:type="dxa"/>
                  <w:vMerge w:val="continue"/>
                  <w:vAlign w:val="center"/>
                </w:tcPr>
                <w:p w14:paraId="5129C3DD">
                  <w:pPr>
                    <w:adjustRightInd w:val="0"/>
                    <w:snapToGrid w:val="0"/>
                    <w:jc w:val="center"/>
                    <w:rPr>
                      <w:rFonts w:eastAsiaTheme="minorEastAsia"/>
                      <w:color w:val="auto"/>
                      <w:kern w:val="0"/>
                      <w:sz w:val="22"/>
                      <w:szCs w:val="22"/>
                      <w:highlight w:val="none"/>
                    </w:rPr>
                  </w:pPr>
                </w:p>
              </w:tc>
            </w:tr>
            <w:tr w14:paraId="39F6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5" w:type="dxa"/>
                  <w:vAlign w:val="center"/>
                </w:tcPr>
                <w:p w14:paraId="108F40AA">
                  <w:pPr>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颗粒物</w:t>
                  </w:r>
                </w:p>
              </w:tc>
              <w:tc>
                <w:tcPr>
                  <w:tcW w:w="1590" w:type="dxa"/>
                  <w:vAlign w:val="center"/>
                </w:tcPr>
                <w:p w14:paraId="290E1D2C">
                  <w:pPr>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100</w:t>
                  </w:r>
                </w:p>
              </w:tc>
              <w:tc>
                <w:tcPr>
                  <w:tcW w:w="3195" w:type="dxa"/>
                  <w:vAlign w:val="center"/>
                </w:tcPr>
                <w:p w14:paraId="6004815C">
                  <w:pPr>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1.5</w:t>
                  </w:r>
                </w:p>
              </w:tc>
              <w:tc>
                <w:tcPr>
                  <w:tcW w:w="1794" w:type="dxa"/>
                  <w:vAlign w:val="center"/>
                </w:tcPr>
                <w:p w14:paraId="4FF2C94D">
                  <w:pPr>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1.0</w:t>
                  </w:r>
                </w:p>
              </w:tc>
            </w:tr>
            <w:tr w14:paraId="58FBE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85" w:type="dxa"/>
                  <w:vAlign w:val="center"/>
                </w:tcPr>
                <w:p w14:paraId="1A9DEE6F">
                  <w:pPr>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非甲烷总烃</w:t>
                  </w:r>
                </w:p>
              </w:tc>
              <w:tc>
                <w:tcPr>
                  <w:tcW w:w="1590" w:type="dxa"/>
                  <w:vAlign w:val="center"/>
                </w:tcPr>
                <w:p w14:paraId="658D9B49">
                  <w:pPr>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120</w:t>
                  </w:r>
                </w:p>
              </w:tc>
              <w:tc>
                <w:tcPr>
                  <w:tcW w:w="3195" w:type="dxa"/>
                  <w:vAlign w:val="center"/>
                </w:tcPr>
                <w:p w14:paraId="7C851D2C">
                  <w:pPr>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10</w:t>
                  </w:r>
                </w:p>
              </w:tc>
              <w:tc>
                <w:tcPr>
                  <w:tcW w:w="1794" w:type="dxa"/>
                  <w:vAlign w:val="center"/>
                </w:tcPr>
                <w:p w14:paraId="50C80CDD">
                  <w:pPr>
                    <w:adjustRightInd w:val="0"/>
                    <w:snapToGrid w:val="0"/>
                    <w:jc w:val="center"/>
                    <w:rPr>
                      <w:rFonts w:eastAsiaTheme="minorEastAsia"/>
                      <w:color w:val="auto"/>
                      <w:kern w:val="0"/>
                      <w:sz w:val="22"/>
                      <w:szCs w:val="22"/>
                      <w:highlight w:val="none"/>
                    </w:rPr>
                  </w:pPr>
                  <w:r>
                    <w:rPr>
                      <w:rFonts w:eastAsiaTheme="minorEastAsia"/>
                      <w:color w:val="auto"/>
                      <w:kern w:val="0"/>
                      <w:sz w:val="22"/>
                      <w:szCs w:val="22"/>
                      <w:highlight w:val="none"/>
                    </w:rPr>
                    <w:t>4.0</w:t>
                  </w:r>
                </w:p>
              </w:tc>
            </w:tr>
          </w:tbl>
          <w:p w14:paraId="15EEF426">
            <w:pPr>
              <w:adjustRightInd w:val="0"/>
              <w:snapToGrid w:val="0"/>
              <w:ind w:firstLine="520" w:firstLineChars="200"/>
              <w:rPr>
                <w:rFonts w:eastAsiaTheme="minorEastAsia"/>
                <w:color w:val="auto"/>
                <w:kern w:val="0"/>
                <w:sz w:val="26"/>
                <w:szCs w:val="26"/>
                <w:highlight w:val="none"/>
              </w:rPr>
            </w:pPr>
          </w:p>
          <w:p w14:paraId="33044147">
            <w:pPr>
              <w:adjustRightInd w:val="0"/>
              <w:snapToGrid w:val="0"/>
              <w:ind w:firstLine="520" w:firstLineChars="200"/>
              <w:jc w:val="center"/>
              <w:rPr>
                <w:color w:val="auto"/>
                <w:sz w:val="26"/>
                <w:highlight w:val="none"/>
              </w:rPr>
            </w:pPr>
            <w:r>
              <w:rPr>
                <w:rFonts w:hint="eastAsia"/>
                <w:color w:val="auto"/>
                <w:sz w:val="26"/>
                <w:highlight w:val="none"/>
              </w:rPr>
              <w:t>表3.3-2  厂房外无组织废气排放标准</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1531"/>
              <w:gridCol w:w="2422"/>
              <w:gridCol w:w="3011"/>
            </w:tblGrid>
            <w:tr w14:paraId="6855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6" w:type="dxa"/>
                  <w:tcBorders>
                    <w:top w:val="single" w:color="auto" w:sz="4" w:space="0"/>
                    <w:left w:val="single" w:color="auto" w:sz="4" w:space="0"/>
                    <w:bottom w:val="single" w:color="auto" w:sz="4" w:space="0"/>
                    <w:right w:val="single" w:color="auto" w:sz="4" w:space="0"/>
                  </w:tcBorders>
                  <w:vAlign w:val="center"/>
                </w:tcPr>
                <w:p w14:paraId="1C337876">
                  <w:pPr>
                    <w:adjustRightInd w:val="0"/>
                    <w:snapToGrid w:val="0"/>
                    <w:jc w:val="center"/>
                    <w:rPr>
                      <w:snapToGrid w:val="0"/>
                      <w:color w:val="auto"/>
                      <w:sz w:val="22"/>
                      <w:szCs w:val="22"/>
                      <w:highlight w:val="none"/>
                    </w:rPr>
                  </w:pPr>
                  <w:r>
                    <w:rPr>
                      <w:rFonts w:hint="eastAsia"/>
                      <w:snapToGrid w:val="0"/>
                      <w:color w:val="auto"/>
                      <w:sz w:val="22"/>
                      <w:szCs w:val="22"/>
                      <w:highlight w:val="none"/>
                    </w:rPr>
                    <w:t>污染源</w:t>
                  </w:r>
                </w:p>
              </w:tc>
              <w:tc>
                <w:tcPr>
                  <w:tcW w:w="1676" w:type="dxa"/>
                  <w:tcBorders>
                    <w:top w:val="single" w:color="auto" w:sz="4" w:space="0"/>
                    <w:left w:val="single" w:color="auto" w:sz="4" w:space="0"/>
                    <w:bottom w:val="single" w:color="auto" w:sz="4" w:space="0"/>
                    <w:right w:val="single" w:color="auto" w:sz="4" w:space="0"/>
                  </w:tcBorders>
                  <w:vAlign w:val="center"/>
                </w:tcPr>
                <w:p w14:paraId="0907F833">
                  <w:pPr>
                    <w:adjustRightInd w:val="0"/>
                    <w:snapToGrid w:val="0"/>
                    <w:jc w:val="center"/>
                    <w:rPr>
                      <w:snapToGrid w:val="0"/>
                      <w:color w:val="auto"/>
                      <w:sz w:val="22"/>
                      <w:szCs w:val="22"/>
                      <w:highlight w:val="none"/>
                    </w:rPr>
                  </w:pPr>
                  <w:r>
                    <w:rPr>
                      <w:rFonts w:hint="eastAsia"/>
                      <w:snapToGrid w:val="0"/>
                      <w:color w:val="auto"/>
                      <w:sz w:val="22"/>
                      <w:szCs w:val="22"/>
                      <w:highlight w:val="none"/>
                    </w:rPr>
                    <w:t>污染物项目</w:t>
                  </w:r>
                </w:p>
              </w:tc>
              <w:tc>
                <w:tcPr>
                  <w:tcW w:w="2667" w:type="dxa"/>
                  <w:tcBorders>
                    <w:top w:val="single" w:color="auto" w:sz="4" w:space="0"/>
                    <w:left w:val="single" w:color="auto" w:sz="4" w:space="0"/>
                    <w:bottom w:val="single" w:color="auto" w:sz="4" w:space="0"/>
                    <w:right w:val="single" w:color="auto" w:sz="4" w:space="0"/>
                  </w:tcBorders>
                  <w:vAlign w:val="center"/>
                </w:tcPr>
                <w:p w14:paraId="20721B98">
                  <w:pPr>
                    <w:adjustRightInd w:val="0"/>
                    <w:snapToGrid w:val="0"/>
                    <w:jc w:val="center"/>
                    <w:rPr>
                      <w:snapToGrid w:val="0"/>
                      <w:color w:val="auto"/>
                      <w:sz w:val="22"/>
                      <w:szCs w:val="22"/>
                      <w:highlight w:val="none"/>
                    </w:rPr>
                  </w:pPr>
                  <w:r>
                    <w:rPr>
                      <w:rFonts w:hint="eastAsia"/>
                      <w:snapToGrid w:val="0"/>
                      <w:color w:val="auto"/>
                      <w:sz w:val="22"/>
                      <w:szCs w:val="22"/>
                      <w:highlight w:val="none"/>
                    </w:rPr>
                    <w:t>污染物排放限值</w:t>
                  </w:r>
                  <w:r>
                    <w:rPr>
                      <w:rFonts w:hint="eastAsia"/>
                      <w:snapToGrid w:val="0"/>
                      <w:color w:val="auto"/>
                      <w:sz w:val="22"/>
                      <w:szCs w:val="22"/>
                      <w:highlight w:val="none"/>
                      <w:lang w:eastAsia="zh-CN"/>
                    </w:rPr>
                    <w:t>（</w:t>
                  </w:r>
                  <w:r>
                    <w:rPr>
                      <w:snapToGrid w:val="0"/>
                      <w:color w:val="auto"/>
                      <w:sz w:val="22"/>
                      <w:szCs w:val="22"/>
                      <w:highlight w:val="none"/>
                    </w:rPr>
                    <w:t>mg/m</w:t>
                  </w:r>
                  <w:r>
                    <w:rPr>
                      <w:snapToGrid w:val="0"/>
                      <w:color w:val="auto"/>
                      <w:sz w:val="22"/>
                      <w:szCs w:val="22"/>
                      <w:highlight w:val="none"/>
                      <w:vertAlign w:val="superscript"/>
                    </w:rPr>
                    <w:t>3</w:t>
                  </w:r>
                  <w:r>
                    <w:rPr>
                      <w:rFonts w:hint="eastAsia"/>
                      <w:snapToGrid w:val="0"/>
                      <w:color w:val="auto"/>
                      <w:sz w:val="22"/>
                      <w:szCs w:val="22"/>
                      <w:highlight w:val="none"/>
                      <w:vertAlign w:val="superscript"/>
                      <w:lang w:eastAsia="zh-CN"/>
                    </w:rPr>
                    <w:t>）</w:t>
                  </w:r>
                </w:p>
              </w:tc>
              <w:tc>
                <w:tcPr>
                  <w:tcW w:w="3323" w:type="dxa"/>
                  <w:tcBorders>
                    <w:top w:val="single" w:color="auto" w:sz="4" w:space="0"/>
                    <w:left w:val="single" w:color="auto" w:sz="4" w:space="0"/>
                    <w:bottom w:val="single" w:color="auto" w:sz="4" w:space="0"/>
                    <w:right w:val="single" w:color="auto" w:sz="4" w:space="0"/>
                  </w:tcBorders>
                  <w:vAlign w:val="center"/>
                </w:tcPr>
                <w:p w14:paraId="4DCC9CF0">
                  <w:pPr>
                    <w:adjustRightInd w:val="0"/>
                    <w:snapToGrid w:val="0"/>
                    <w:jc w:val="center"/>
                    <w:rPr>
                      <w:snapToGrid w:val="0"/>
                      <w:color w:val="auto"/>
                      <w:sz w:val="22"/>
                      <w:szCs w:val="22"/>
                      <w:highlight w:val="none"/>
                    </w:rPr>
                  </w:pPr>
                  <w:r>
                    <w:rPr>
                      <w:rFonts w:hint="eastAsia"/>
                      <w:snapToGrid w:val="0"/>
                      <w:color w:val="auto"/>
                      <w:sz w:val="22"/>
                      <w:szCs w:val="22"/>
                      <w:highlight w:val="none"/>
                    </w:rPr>
                    <w:t>执行标准</w:t>
                  </w:r>
                </w:p>
              </w:tc>
            </w:tr>
            <w:tr w14:paraId="724B4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6" w:type="dxa"/>
                  <w:vMerge w:val="restart"/>
                  <w:tcBorders>
                    <w:left w:val="single" w:color="auto" w:sz="4" w:space="0"/>
                    <w:right w:val="single" w:color="auto" w:sz="4" w:space="0"/>
                  </w:tcBorders>
                  <w:vAlign w:val="center"/>
                </w:tcPr>
                <w:p w14:paraId="13CD9F1E">
                  <w:pPr>
                    <w:adjustRightInd w:val="0"/>
                    <w:snapToGrid w:val="0"/>
                    <w:jc w:val="center"/>
                    <w:rPr>
                      <w:snapToGrid w:val="0"/>
                      <w:color w:val="auto"/>
                      <w:sz w:val="22"/>
                      <w:szCs w:val="22"/>
                      <w:highlight w:val="none"/>
                    </w:rPr>
                  </w:pPr>
                  <w:r>
                    <w:rPr>
                      <w:rFonts w:hint="eastAsia"/>
                      <w:snapToGrid w:val="0"/>
                      <w:color w:val="auto"/>
                      <w:sz w:val="22"/>
                      <w:szCs w:val="22"/>
                      <w:highlight w:val="none"/>
                    </w:rPr>
                    <w:t>厂房外监控点*</w:t>
                  </w:r>
                </w:p>
              </w:tc>
              <w:tc>
                <w:tcPr>
                  <w:tcW w:w="1676" w:type="dxa"/>
                  <w:vMerge w:val="restart"/>
                  <w:tcBorders>
                    <w:top w:val="single" w:color="auto" w:sz="4" w:space="0"/>
                    <w:left w:val="single" w:color="auto" w:sz="4" w:space="0"/>
                    <w:right w:val="single" w:color="auto" w:sz="4" w:space="0"/>
                  </w:tcBorders>
                  <w:vAlign w:val="center"/>
                </w:tcPr>
                <w:p w14:paraId="4C275161">
                  <w:pPr>
                    <w:adjustRightInd w:val="0"/>
                    <w:snapToGrid w:val="0"/>
                    <w:jc w:val="center"/>
                    <w:rPr>
                      <w:snapToGrid w:val="0"/>
                      <w:color w:val="auto"/>
                      <w:sz w:val="22"/>
                      <w:szCs w:val="22"/>
                      <w:highlight w:val="none"/>
                    </w:rPr>
                  </w:pPr>
                  <w:r>
                    <w:rPr>
                      <w:rFonts w:hint="eastAsia"/>
                      <w:snapToGrid w:val="0"/>
                      <w:color w:val="auto"/>
                      <w:sz w:val="22"/>
                      <w:szCs w:val="22"/>
                      <w:highlight w:val="none"/>
                    </w:rPr>
                    <w:t>非甲烷总烃</w:t>
                  </w:r>
                </w:p>
              </w:tc>
              <w:tc>
                <w:tcPr>
                  <w:tcW w:w="2667" w:type="dxa"/>
                  <w:tcBorders>
                    <w:top w:val="single" w:color="auto" w:sz="4" w:space="0"/>
                    <w:left w:val="single" w:color="auto" w:sz="4" w:space="0"/>
                    <w:bottom w:val="single" w:color="auto" w:sz="4" w:space="0"/>
                    <w:right w:val="single" w:color="auto" w:sz="4" w:space="0"/>
                  </w:tcBorders>
                  <w:vAlign w:val="center"/>
                </w:tcPr>
                <w:p w14:paraId="4B23F833">
                  <w:pPr>
                    <w:adjustRightInd w:val="0"/>
                    <w:snapToGrid w:val="0"/>
                    <w:jc w:val="center"/>
                    <w:rPr>
                      <w:snapToGrid w:val="0"/>
                      <w:color w:val="auto"/>
                      <w:sz w:val="22"/>
                      <w:szCs w:val="22"/>
                      <w:highlight w:val="none"/>
                    </w:rPr>
                  </w:pPr>
                  <w:r>
                    <w:rPr>
                      <w:rFonts w:hint="eastAsia"/>
                      <w:snapToGrid w:val="0"/>
                      <w:color w:val="auto"/>
                      <w:sz w:val="22"/>
                      <w:szCs w:val="22"/>
                      <w:highlight w:val="none"/>
                    </w:rPr>
                    <w:t>6（1h平均浓度值）</w:t>
                  </w:r>
                </w:p>
              </w:tc>
              <w:tc>
                <w:tcPr>
                  <w:tcW w:w="3323" w:type="dxa"/>
                  <w:vMerge w:val="restart"/>
                  <w:tcBorders>
                    <w:top w:val="single" w:color="auto" w:sz="4" w:space="0"/>
                    <w:left w:val="single" w:color="auto" w:sz="4" w:space="0"/>
                    <w:right w:val="single" w:color="auto" w:sz="4" w:space="0"/>
                  </w:tcBorders>
                  <w:vAlign w:val="center"/>
                </w:tcPr>
                <w:p w14:paraId="2646DB8D">
                  <w:pPr>
                    <w:adjustRightInd w:val="0"/>
                    <w:snapToGrid w:val="0"/>
                    <w:jc w:val="center"/>
                    <w:rPr>
                      <w:snapToGrid w:val="0"/>
                      <w:color w:val="auto"/>
                      <w:sz w:val="22"/>
                      <w:szCs w:val="22"/>
                      <w:highlight w:val="none"/>
                    </w:rPr>
                  </w:pPr>
                  <w:r>
                    <w:rPr>
                      <w:rFonts w:hint="eastAsia"/>
                      <w:snapToGrid w:val="0"/>
                      <w:color w:val="auto"/>
                      <w:sz w:val="22"/>
                      <w:szCs w:val="22"/>
                      <w:highlight w:val="none"/>
                    </w:rPr>
                    <w:t>《挥发性有机物无组织排放控制标准》（GB37822-2019）特别排放限值</w:t>
                  </w:r>
                </w:p>
              </w:tc>
            </w:tr>
            <w:tr w14:paraId="7D9E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6" w:type="dxa"/>
                  <w:vMerge w:val="continue"/>
                  <w:tcBorders>
                    <w:left w:val="single" w:color="auto" w:sz="4" w:space="0"/>
                    <w:right w:val="single" w:color="auto" w:sz="4" w:space="0"/>
                  </w:tcBorders>
                  <w:vAlign w:val="center"/>
                </w:tcPr>
                <w:p w14:paraId="5171BA71">
                  <w:pPr>
                    <w:adjustRightInd w:val="0"/>
                    <w:snapToGrid w:val="0"/>
                    <w:jc w:val="center"/>
                    <w:rPr>
                      <w:snapToGrid w:val="0"/>
                      <w:color w:val="auto"/>
                      <w:sz w:val="22"/>
                      <w:szCs w:val="22"/>
                      <w:highlight w:val="none"/>
                    </w:rPr>
                  </w:pPr>
                </w:p>
              </w:tc>
              <w:tc>
                <w:tcPr>
                  <w:tcW w:w="1676" w:type="dxa"/>
                  <w:vMerge w:val="continue"/>
                  <w:tcBorders>
                    <w:left w:val="single" w:color="auto" w:sz="4" w:space="0"/>
                    <w:bottom w:val="single" w:color="auto" w:sz="4" w:space="0"/>
                    <w:right w:val="single" w:color="auto" w:sz="4" w:space="0"/>
                  </w:tcBorders>
                  <w:vAlign w:val="center"/>
                </w:tcPr>
                <w:p w14:paraId="4B919B27">
                  <w:pPr>
                    <w:adjustRightInd w:val="0"/>
                    <w:snapToGrid w:val="0"/>
                    <w:jc w:val="center"/>
                    <w:rPr>
                      <w:snapToGrid w:val="0"/>
                      <w:color w:val="auto"/>
                      <w:sz w:val="22"/>
                      <w:szCs w:val="22"/>
                      <w:highlight w:val="none"/>
                    </w:rPr>
                  </w:pPr>
                </w:p>
              </w:tc>
              <w:tc>
                <w:tcPr>
                  <w:tcW w:w="2667" w:type="dxa"/>
                  <w:tcBorders>
                    <w:top w:val="single" w:color="auto" w:sz="4" w:space="0"/>
                    <w:left w:val="single" w:color="auto" w:sz="4" w:space="0"/>
                    <w:bottom w:val="single" w:color="auto" w:sz="4" w:space="0"/>
                    <w:right w:val="single" w:color="auto" w:sz="4" w:space="0"/>
                  </w:tcBorders>
                  <w:vAlign w:val="center"/>
                </w:tcPr>
                <w:p w14:paraId="4CE366A5">
                  <w:pPr>
                    <w:adjustRightInd w:val="0"/>
                    <w:snapToGrid w:val="0"/>
                    <w:jc w:val="center"/>
                    <w:rPr>
                      <w:snapToGrid w:val="0"/>
                      <w:color w:val="auto"/>
                      <w:sz w:val="22"/>
                      <w:szCs w:val="22"/>
                      <w:highlight w:val="none"/>
                    </w:rPr>
                  </w:pPr>
                  <w:r>
                    <w:rPr>
                      <w:rFonts w:hint="eastAsia"/>
                      <w:snapToGrid w:val="0"/>
                      <w:color w:val="auto"/>
                      <w:sz w:val="22"/>
                      <w:szCs w:val="22"/>
                      <w:highlight w:val="none"/>
                    </w:rPr>
                    <w:t>20（任意一次浓度值）</w:t>
                  </w:r>
                </w:p>
              </w:tc>
              <w:tc>
                <w:tcPr>
                  <w:tcW w:w="3323" w:type="dxa"/>
                  <w:vMerge w:val="continue"/>
                  <w:tcBorders>
                    <w:left w:val="single" w:color="auto" w:sz="4" w:space="0"/>
                    <w:bottom w:val="single" w:color="auto" w:sz="4" w:space="0"/>
                    <w:right w:val="single" w:color="auto" w:sz="4" w:space="0"/>
                  </w:tcBorders>
                  <w:vAlign w:val="center"/>
                </w:tcPr>
                <w:p w14:paraId="529625DE">
                  <w:pPr>
                    <w:adjustRightInd w:val="0"/>
                    <w:snapToGrid w:val="0"/>
                    <w:jc w:val="center"/>
                    <w:rPr>
                      <w:snapToGrid w:val="0"/>
                      <w:color w:val="auto"/>
                      <w:sz w:val="22"/>
                      <w:szCs w:val="22"/>
                      <w:highlight w:val="none"/>
                    </w:rPr>
                  </w:pPr>
                </w:p>
              </w:tc>
            </w:tr>
          </w:tbl>
          <w:p w14:paraId="066207DD">
            <w:pPr>
              <w:adjustRightInd w:val="0"/>
              <w:snapToGrid w:val="0"/>
              <w:ind w:firstLine="220" w:firstLineChars="100"/>
              <w:rPr>
                <w:color w:val="auto"/>
                <w:kern w:val="0"/>
                <w:sz w:val="22"/>
                <w:szCs w:val="21"/>
                <w:highlight w:val="none"/>
              </w:rPr>
            </w:pPr>
            <w:r>
              <w:rPr>
                <w:rFonts w:hint="eastAsia"/>
                <w:color w:val="auto"/>
                <w:kern w:val="0"/>
                <w:sz w:val="22"/>
                <w:szCs w:val="21"/>
                <w:highlight w:val="none"/>
              </w:rPr>
              <w:t>注：厂房外监控点位于厂房门窗或通风口、其他开口（孔）等排放口外1m，距离地面1.5m以上位置。</w:t>
            </w:r>
          </w:p>
          <w:p w14:paraId="6F853382">
            <w:pPr>
              <w:adjustRightInd w:val="0"/>
              <w:snapToGrid w:val="0"/>
              <w:ind w:firstLine="520" w:firstLineChars="200"/>
              <w:rPr>
                <w:rFonts w:eastAsiaTheme="minorEastAsia"/>
                <w:color w:val="auto"/>
                <w:kern w:val="0"/>
                <w:sz w:val="26"/>
                <w:szCs w:val="26"/>
                <w:highlight w:val="none"/>
              </w:rPr>
            </w:pPr>
          </w:p>
          <w:p w14:paraId="05E2B892">
            <w:pPr>
              <w:adjustRightInd w:val="0"/>
              <w:snapToGrid w:val="0"/>
              <w:spacing w:line="480" w:lineRule="exact"/>
              <w:ind w:firstLine="522" w:firstLineChars="200"/>
              <w:rPr>
                <w:rFonts w:eastAsiaTheme="minorEastAsia"/>
                <w:b/>
                <w:color w:val="auto"/>
                <w:kern w:val="0"/>
                <w:sz w:val="26"/>
                <w:szCs w:val="26"/>
                <w:highlight w:val="none"/>
              </w:rPr>
            </w:pPr>
            <w:r>
              <w:rPr>
                <w:b/>
                <w:color w:val="auto"/>
                <w:kern w:val="0"/>
                <w:sz w:val="26"/>
                <w:szCs w:val="26"/>
                <w:highlight w:val="none"/>
              </w:rPr>
              <w:t>3.</w:t>
            </w:r>
            <w:r>
              <w:rPr>
                <w:rFonts w:eastAsiaTheme="minorEastAsia"/>
                <w:b/>
                <w:color w:val="auto"/>
                <w:kern w:val="0"/>
                <w:sz w:val="26"/>
                <w:szCs w:val="26"/>
                <w:highlight w:val="none"/>
              </w:rPr>
              <w:t>3.2</w:t>
            </w:r>
            <w:r>
              <w:rPr>
                <w:rFonts w:eastAsiaTheme="minorEastAsia"/>
                <w:color w:val="auto"/>
                <w:kern w:val="0"/>
                <w:sz w:val="26"/>
                <w:szCs w:val="26"/>
                <w:highlight w:val="none"/>
              </w:rPr>
              <w:t xml:space="preserve"> </w:t>
            </w:r>
            <w:r>
              <w:rPr>
                <w:rFonts w:eastAsiaTheme="minorEastAsia"/>
                <w:b/>
                <w:color w:val="auto"/>
                <w:kern w:val="0"/>
                <w:sz w:val="26"/>
                <w:szCs w:val="26"/>
                <w:highlight w:val="none"/>
              </w:rPr>
              <w:t>废水</w:t>
            </w:r>
          </w:p>
          <w:p w14:paraId="5E938B7E">
            <w:pPr>
              <w:adjustRightInd w:val="0"/>
              <w:snapToGrid w:val="0"/>
              <w:spacing w:line="480" w:lineRule="exact"/>
              <w:ind w:firstLine="520" w:firstLineChars="200"/>
              <w:rPr>
                <w:rFonts w:eastAsiaTheme="minorEastAsia"/>
                <w:color w:val="auto"/>
                <w:kern w:val="0"/>
                <w:sz w:val="26"/>
                <w:szCs w:val="26"/>
                <w:highlight w:val="none"/>
              </w:rPr>
            </w:pPr>
            <w:r>
              <w:rPr>
                <w:rFonts w:eastAsiaTheme="minorEastAsia"/>
                <w:color w:val="auto"/>
                <w:kern w:val="0"/>
                <w:sz w:val="26"/>
                <w:szCs w:val="26"/>
                <w:highlight w:val="none"/>
                <w:lang w:val="da-DK"/>
              </w:rPr>
              <w:t>本项目废水</w:t>
            </w:r>
            <w:r>
              <w:rPr>
                <w:rFonts w:hint="eastAsia" w:eastAsiaTheme="minorEastAsia"/>
                <w:color w:val="auto"/>
                <w:kern w:val="0"/>
                <w:sz w:val="26"/>
                <w:szCs w:val="26"/>
                <w:highlight w:val="none"/>
                <w:lang w:val="da-DK"/>
              </w:rPr>
              <w:t>经</w:t>
            </w:r>
            <w:r>
              <w:rPr>
                <w:rFonts w:eastAsiaTheme="minorEastAsia"/>
                <w:color w:val="auto"/>
                <w:kern w:val="0"/>
                <w:sz w:val="26"/>
                <w:szCs w:val="26"/>
                <w:highlight w:val="none"/>
                <w:lang w:val="da-DK"/>
              </w:rPr>
              <w:t>生化池</w:t>
            </w:r>
            <w:r>
              <w:rPr>
                <w:rFonts w:hint="eastAsia" w:eastAsiaTheme="minorEastAsia"/>
                <w:color w:val="auto"/>
                <w:kern w:val="0"/>
                <w:sz w:val="26"/>
                <w:szCs w:val="26"/>
                <w:highlight w:val="none"/>
                <w:lang w:val="da-DK"/>
              </w:rPr>
              <w:t>预</w:t>
            </w:r>
            <w:r>
              <w:rPr>
                <w:rFonts w:eastAsiaTheme="minorEastAsia"/>
                <w:color w:val="auto"/>
                <w:kern w:val="0"/>
                <w:sz w:val="26"/>
                <w:szCs w:val="26"/>
                <w:highlight w:val="none"/>
                <w:lang w:val="da-DK"/>
              </w:rPr>
              <w:t>处理达《污水综合排放标准》（GB8978-1996）三级标准后经市政污水管网进入</w:t>
            </w:r>
            <w:r>
              <w:rPr>
                <w:rFonts w:eastAsiaTheme="minorEastAsia"/>
                <w:color w:val="auto"/>
                <w:kern w:val="0"/>
                <w:sz w:val="26"/>
                <w:szCs w:val="26"/>
                <w:highlight w:val="none"/>
              </w:rPr>
              <w:t>银翔新城</w:t>
            </w:r>
            <w:r>
              <w:rPr>
                <w:rFonts w:eastAsiaTheme="minorEastAsia"/>
                <w:color w:val="auto"/>
                <w:kern w:val="0"/>
                <w:sz w:val="26"/>
                <w:szCs w:val="26"/>
                <w:highlight w:val="none"/>
                <w:lang w:val="da-DK"/>
              </w:rPr>
              <w:t>污水处理厂处理达《城镇污水处理厂污染物排放标准》（GB18918-2002）一级A标准后排入</w:t>
            </w:r>
            <w:r>
              <w:rPr>
                <w:rFonts w:hint="eastAsia" w:eastAsiaTheme="minorEastAsia"/>
                <w:color w:val="auto"/>
                <w:kern w:val="0"/>
                <w:sz w:val="26"/>
                <w:szCs w:val="26"/>
                <w:highlight w:val="none"/>
              </w:rPr>
              <w:t>柏水</w:t>
            </w:r>
            <w:r>
              <w:rPr>
                <w:rFonts w:eastAsiaTheme="minorEastAsia"/>
                <w:color w:val="auto"/>
                <w:kern w:val="0"/>
                <w:sz w:val="26"/>
                <w:szCs w:val="26"/>
                <w:highlight w:val="none"/>
              </w:rPr>
              <w:t>溪</w:t>
            </w:r>
            <w:r>
              <w:rPr>
                <w:rFonts w:hint="eastAsia" w:eastAsiaTheme="minorEastAsia"/>
                <w:color w:val="auto"/>
                <w:kern w:val="0"/>
                <w:sz w:val="26"/>
                <w:szCs w:val="26"/>
                <w:highlight w:val="none"/>
              </w:rPr>
              <w:t>，后</w:t>
            </w:r>
            <w:r>
              <w:rPr>
                <w:rFonts w:eastAsiaTheme="minorEastAsia"/>
                <w:color w:val="auto"/>
                <w:kern w:val="0"/>
                <w:sz w:val="26"/>
                <w:szCs w:val="26"/>
                <w:highlight w:val="none"/>
              </w:rPr>
              <w:t>汇入嘉陵江</w:t>
            </w:r>
            <w:r>
              <w:rPr>
                <w:rFonts w:eastAsiaTheme="minorEastAsia"/>
                <w:color w:val="auto"/>
                <w:kern w:val="0"/>
                <w:sz w:val="26"/>
                <w:szCs w:val="26"/>
                <w:highlight w:val="none"/>
                <w:lang w:val="da-DK"/>
              </w:rPr>
              <w:t>。</w:t>
            </w:r>
          </w:p>
          <w:p w14:paraId="09DA400C">
            <w:pPr>
              <w:autoSpaceDE w:val="0"/>
              <w:autoSpaceDN w:val="0"/>
              <w:adjustRightInd w:val="0"/>
              <w:snapToGrid w:val="0"/>
              <w:ind w:firstLine="520" w:firstLineChars="200"/>
              <w:textAlignment w:val="baseline"/>
              <w:rPr>
                <w:rFonts w:eastAsiaTheme="minorEastAsia"/>
                <w:color w:val="auto"/>
                <w:kern w:val="0"/>
                <w:sz w:val="26"/>
                <w:szCs w:val="26"/>
                <w:highlight w:val="none"/>
              </w:rPr>
            </w:pPr>
          </w:p>
          <w:p w14:paraId="1FF6A681">
            <w:pPr>
              <w:autoSpaceDE w:val="0"/>
              <w:autoSpaceDN w:val="0"/>
              <w:adjustRightInd w:val="0"/>
              <w:snapToGrid w:val="0"/>
              <w:jc w:val="right"/>
              <w:textAlignment w:val="baseline"/>
              <w:rPr>
                <w:bCs/>
                <w:color w:val="auto"/>
                <w:kern w:val="0"/>
                <w:sz w:val="26"/>
                <w:szCs w:val="26"/>
                <w:highlight w:val="none"/>
              </w:rPr>
            </w:pPr>
            <w:r>
              <w:rPr>
                <w:bCs/>
                <w:color w:val="auto"/>
                <w:kern w:val="0"/>
                <w:sz w:val="26"/>
                <w:szCs w:val="26"/>
                <w:highlight w:val="none"/>
              </w:rPr>
              <w:t>表3.3-</w:t>
            </w:r>
            <w:r>
              <w:rPr>
                <w:rFonts w:hint="eastAsia"/>
                <w:bCs/>
                <w:color w:val="auto"/>
                <w:kern w:val="0"/>
                <w:sz w:val="26"/>
                <w:szCs w:val="26"/>
                <w:highlight w:val="none"/>
              </w:rPr>
              <w:t>2</w:t>
            </w:r>
            <w:r>
              <w:rPr>
                <w:bCs/>
                <w:color w:val="auto"/>
                <w:kern w:val="0"/>
                <w:sz w:val="26"/>
                <w:szCs w:val="26"/>
                <w:highlight w:val="none"/>
              </w:rPr>
              <w:t xml:space="preserve">  </w:t>
            </w:r>
            <w:r>
              <w:rPr>
                <w:rFonts w:hint="eastAsia"/>
                <w:bCs/>
                <w:color w:val="auto"/>
                <w:kern w:val="0"/>
                <w:sz w:val="26"/>
                <w:szCs w:val="26"/>
                <w:highlight w:val="none"/>
              </w:rPr>
              <w:t>废水排放标准一览表         单位：mg/L</w:t>
            </w:r>
          </w:p>
          <w:tbl>
            <w:tblPr>
              <w:tblStyle w:val="16"/>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1"/>
              <w:gridCol w:w="862"/>
              <w:gridCol w:w="786"/>
              <w:gridCol w:w="840"/>
              <w:gridCol w:w="731"/>
              <w:gridCol w:w="917"/>
              <w:gridCol w:w="928"/>
              <w:gridCol w:w="649"/>
            </w:tblGrid>
            <w:tr w14:paraId="587F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9" w:type="dxa"/>
                  <w:vAlign w:val="center"/>
                </w:tcPr>
                <w:p w14:paraId="1E172EE6">
                  <w:pPr>
                    <w:pStyle w:val="73"/>
                    <w:ind w:left="-31" w:leftChars="-15" w:right="-31" w:rightChars="-15"/>
                    <w:rPr>
                      <w:color w:val="auto"/>
                      <w:sz w:val="22"/>
                      <w:szCs w:val="22"/>
                      <w:highlight w:val="none"/>
                    </w:rPr>
                  </w:pPr>
                  <w:r>
                    <w:rPr>
                      <w:color w:val="auto"/>
                      <w:sz w:val="22"/>
                      <w:szCs w:val="22"/>
                      <w:highlight w:val="none"/>
                    </w:rPr>
                    <w:t>项目</w:t>
                  </w:r>
                </w:p>
              </w:tc>
              <w:tc>
                <w:tcPr>
                  <w:tcW w:w="790" w:type="dxa"/>
                  <w:vAlign w:val="center"/>
                </w:tcPr>
                <w:p w14:paraId="05366012">
                  <w:pPr>
                    <w:pStyle w:val="73"/>
                    <w:ind w:left="-31" w:leftChars="-15" w:right="-31" w:rightChars="-15"/>
                    <w:rPr>
                      <w:color w:val="auto"/>
                      <w:sz w:val="22"/>
                      <w:szCs w:val="22"/>
                      <w:highlight w:val="none"/>
                    </w:rPr>
                  </w:pPr>
                  <w:r>
                    <w:rPr>
                      <w:color w:val="auto"/>
                      <w:sz w:val="22"/>
                      <w:szCs w:val="22"/>
                      <w:highlight w:val="none"/>
                    </w:rPr>
                    <w:t>pH</w:t>
                  </w:r>
                </w:p>
              </w:tc>
              <w:tc>
                <w:tcPr>
                  <w:tcW w:w="720" w:type="dxa"/>
                  <w:vAlign w:val="center"/>
                </w:tcPr>
                <w:p w14:paraId="61CA4941">
                  <w:pPr>
                    <w:pStyle w:val="73"/>
                    <w:ind w:left="-31" w:leftChars="-15" w:right="-31" w:rightChars="-15"/>
                    <w:rPr>
                      <w:color w:val="auto"/>
                      <w:sz w:val="22"/>
                      <w:szCs w:val="22"/>
                      <w:highlight w:val="none"/>
                    </w:rPr>
                  </w:pPr>
                  <w:r>
                    <w:rPr>
                      <w:color w:val="auto"/>
                      <w:sz w:val="22"/>
                      <w:szCs w:val="22"/>
                      <w:highlight w:val="none"/>
                    </w:rPr>
                    <w:t>COD</w:t>
                  </w:r>
                </w:p>
              </w:tc>
              <w:tc>
                <w:tcPr>
                  <w:tcW w:w="770" w:type="dxa"/>
                  <w:vAlign w:val="center"/>
                </w:tcPr>
                <w:p w14:paraId="0689E6B2">
                  <w:pPr>
                    <w:pStyle w:val="73"/>
                    <w:ind w:left="-31" w:leftChars="-15" w:right="-31" w:rightChars="-15"/>
                    <w:rPr>
                      <w:color w:val="auto"/>
                      <w:sz w:val="22"/>
                      <w:szCs w:val="22"/>
                      <w:highlight w:val="none"/>
                    </w:rPr>
                  </w:pPr>
                  <w:r>
                    <w:rPr>
                      <w:color w:val="auto"/>
                      <w:sz w:val="22"/>
                      <w:szCs w:val="22"/>
                      <w:highlight w:val="none"/>
                    </w:rPr>
                    <w:t>BOD</w:t>
                  </w:r>
                  <w:r>
                    <w:rPr>
                      <w:color w:val="auto"/>
                      <w:sz w:val="22"/>
                      <w:szCs w:val="22"/>
                      <w:highlight w:val="none"/>
                      <w:vertAlign w:val="subscript"/>
                    </w:rPr>
                    <w:t>5</w:t>
                  </w:r>
                </w:p>
              </w:tc>
              <w:tc>
                <w:tcPr>
                  <w:tcW w:w="670" w:type="dxa"/>
                  <w:vAlign w:val="center"/>
                </w:tcPr>
                <w:p w14:paraId="7B9EB91C">
                  <w:pPr>
                    <w:pStyle w:val="73"/>
                    <w:ind w:left="-31" w:leftChars="-15" w:right="-31" w:rightChars="-15"/>
                    <w:rPr>
                      <w:color w:val="auto"/>
                      <w:sz w:val="22"/>
                      <w:szCs w:val="22"/>
                      <w:highlight w:val="none"/>
                    </w:rPr>
                  </w:pPr>
                  <w:r>
                    <w:rPr>
                      <w:color w:val="auto"/>
                      <w:sz w:val="22"/>
                      <w:szCs w:val="22"/>
                      <w:highlight w:val="none"/>
                    </w:rPr>
                    <w:t>SS</w:t>
                  </w:r>
                </w:p>
              </w:tc>
              <w:tc>
                <w:tcPr>
                  <w:tcW w:w="840" w:type="dxa"/>
                  <w:vAlign w:val="center"/>
                </w:tcPr>
                <w:p w14:paraId="7DC49BD6">
                  <w:pPr>
                    <w:pStyle w:val="73"/>
                    <w:ind w:left="-31" w:leftChars="-15" w:right="-31" w:rightChars="-15"/>
                    <w:rPr>
                      <w:color w:val="auto"/>
                      <w:sz w:val="22"/>
                      <w:szCs w:val="22"/>
                      <w:highlight w:val="none"/>
                    </w:rPr>
                  </w:pPr>
                  <w:r>
                    <w:rPr>
                      <w:color w:val="auto"/>
                      <w:sz w:val="22"/>
                      <w:szCs w:val="22"/>
                      <w:highlight w:val="none"/>
                    </w:rPr>
                    <w:t>氨氮</w:t>
                  </w:r>
                </w:p>
              </w:tc>
              <w:tc>
                <w:tcPr>
                  <w:tcW w:w="850" w:type="dxa"/>
                  <w:vAlign w:val="center"/>
                </w:tcPr>
                <w:p w14:paraId="349C38AD">
                  <w:pPr>
                    <w:pStyle w:val="73"/>
                    <w:ind w:left="-31" w:leftChars="-15" w:right="-31" w:rightChars="-15"/>
                    <w:rPr>
                      <w:color w:val="auto"/>
                      <w:sz w:val="22"/>
                      <w:szCs w:val="22"/>
                      <w:highlight w:val="none"/>
                    </w:rPr>
                  </w:pPr>
                  <w:r>
                    <w:rPr>
                      <w:rFonts w:hint="eastAsia"/>
                      <w:color w:val="auto"/>
                      <w:sz w:val="22"/>
                      <w:szCs w:val="22"/>
                      <w:highlight w:val="none"/>
                    </w:rPr>
                    <w:t>石油类</w:t>
                  </w:r>
                </w:p>
              </w:tc>
              <w:tc>
                <w:tcPr>
                  <w:tcW w:w="594" w:type="dxa"/>
                  <w:vAlign w:val="center"/>
                </w:tcPr>
                <w:p w14:paraId="53F6CE92">
                  <w:pPr>
                    <w:pStyle w:val="73"/>
                    <w:ind w:left="-31" w:leftChars="-15" w:right="-31" w:rightChars="-15"/>
                    <w:rPr>
                      <w:color w:val="auto"/>
                      <w:sz w:val="22"/>
                      <w:szCs w:val="22"/>
                      <w:highlight w:val="none"/>
                    </w:rPr>
                  </w:pPr>
                  <w:r>
                    <w:rPr>
                      <w:rFonts w:hint="eastAsia"/>
                      <w:color w:val="auto"/>
                      <w:sz w:val="22"/>
                      <w:szCs w:val="22"/>
                      <w:highlight w:val="none"/>
                    </w:rPr>
                    <w:t>TP</w:t>
                  </w:r>
                </w:p>
              </w:tc>
            </w:tr>
            <w:tr w14:paraId="327A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9" w:type="dxa"/>
                  <w:vAlign w:val="center"/>
                </w:tcPr>
                <w:p w14:paraId="7D7E4040">
                  <w:pPr>
                    <w:pStyle w:val="73"/>
                    <w:ind w:left="-31" w:leftChars="-15" w:right="-31" w:rightChars="-15"/>
                    <w:rPr>
                      <w:color w:val="auto"/>
                      <w:sz w:val="22"/>
                      <w:szCs w:val="22"/>
                      <w:highlight w:val="none"/>
                    </w:rPr>
                  </w:pPr>
                  <w:r>
                    <w:rPr>
                      <w:color w:val="auto"/>
                      <w:sz w:val="22"/>
                      <w:szCs w:val="22"/>
                      <w:highlight w:val="none"/>
                    </w:rPr>
                    <w:t>《污水综合排放标准》（GB8978-1996）三级标准</w:t>
                  </w:r>
                </w:p>
              </w:tc>
              <w:tc>
                <w:tcPr>
                  <w:tcW w:w="790" w:type="dxa"/>
                  <w:vAlign w:val="center"/>
                </w:tcPr>
                <w:p w14:paraId="1EE7F22D">
                  <w:pPr>
                    <w:pStyle w:val="73"/>
                    <w:ind w:left="-31" w:leftChars="-15" w:right="-31" w:rightChars="-15"/>
                    <w:rPr>
                      <w:color w:val="auto"/>
                      <w:sz w:val="22"/>
                      <w:szCs w:val="22"/>
                      <w:highlight w:val="none"/>
                    </w:rPr>
                  </w:pPr>
                  <w:r>
                    <w:rPr>
                      <w:color w:val="auto"/>
                      <w:sz w:val="22"/>
                      <w:szCs w:val="22"/>
                      <w:highlight w:val="none"/>
                    </w:rPr>
                    <w:t>6～9</w:t>
                  </w:r>
                </w:p>
              </w:tc>
              <w:tc>
                <w:tcPr>
                  <w:tcW w:w="720" w:type="dxa"/>
                  <w:vAlign w:val="center"/>
                </w:tcPr>
                <w:p w14:paraId="6E3C0536">
                  <w:pPr>
                    <w:pStyle w:val="73"/>
                    <w:ind w:left="-31" w:leftChars="-15" w:right="-31" w:rightChars="-15"/>
                    <w:rPr>
                      <w:color w:val="auto"/>
                      <w:sz w:val="22"/>
                      <w:szCs w:val="22"/>
                      <w:highlight w:val="none"/>
                    </w:rPr>
                  </w:pPr>
                  <w:r>
                    <w:rPr>
                      <w:color w:val="auto"/>
                      <w:sz w:val="22"/>
                      <w:szCs w:val="22"/>
                      <w:highlight w:val="none"/>
                    </w:rPr>
                    <w:t>500</w:t>
                  </w:r>
                </w:p>
              </w:tc>
              <w:tc>
                <w:tcPr>
                  <w:tcW w:w="770" w:type="dxa"/>
                  <w:vAlign w:val="center"/>
                </w:tcPr>
                <w:p w14:paraId="51578AE4">
                  <w:pPr>
                    <w:pStyle w:val="73"/>
                    <w:ind w:left="-31" w:leftChars="-15" w:right="-31" w:rightChars="-15"/>
                    <w:rPr>
                      <w:color w:val="auto"/>
                      <w:sz w:val="22"/>
                      <w:szCs w:val="22"/>
                      <w:highlight w:val="none"/>
                    </w:rPr>
                  </w:pPr>
                  <w:r>
                    <w:rPr>
                      <w:color w:val="auto"/>
                      <w:sz w:val="22"/>
                      <w:szCs w:val="22"/>
                      <w:highlight w:val="none"/>
                    </w:rPr>
                    <w:t>300</w:t>
                  </w:r>
                </w:p>
              </w:tc>
              <w:tc>
                <w:tcPr>
                  <w:tcW w:w="670" w:type="dxa"/>
                  <w:vAlign w:val="center"/>
                </w:tcPr>
                <w:p w14:paraId="6EEC42CD">
                  <w:pPr>
                    <w:pStyle w:val="73"/>
                    <w:ind w:left="-31" w:leftChars="-15" w:right="-31" w:rightChars="-15"/>
                    <w:rPr>
                      <w:color w:val="auto"/>
                      <w:sz w:val="22"/>
                      <w:szCs w:val="22"/>
                      <w:highlight w:val="none"/>
                    </w:rPr>
                  </w:pPr>
                  <w:r>
                    <w:rPr>
                      <w:color w:val="auto"/>
                      <w:sz w:val="22"/>
                      <w:szCs w:val="22"/>
                      <w:highlight w:val="none"/>
                    </w:rPr>
                    <w:t>400</w:t>
                  </w:r>
                </w:p>
              </w:tc>
              <w:tc>
                <w:tcPr>
                  <w:tcW w:w="840" w:type="dxa"/>
                  <w:vAlign w:val="center"/>
                </w:tcPr>
                <w:p w14:paraId="64C4C31B">
                  <w:pPr>
                    <w:pStyle w:val="73"/>
                    <w:ind w:left="-31" w:leftChars="-15" w:right="-31" w:rightChars="-15"/>
                    <w:rPr>
                      <w:color w:val="auto"/>
                      <w:sz w:val="22"/>
                      <w:szCs w:val="22"/>
                      <w:highlight w:val="none"/>
                    </w:rPr>
                  </w:pPr>
                  <w:r>
                    <w:rPr>
                      <w:color w:val="auto"/>
                      <w:sz w:val="22"/>
                      <w:szCs w:val="22"/>
                      <w:highlight w:val="none"/>
                    </w:rPr>
                    <w:t>45</w:t>
                  </w:r>
                  <w:r>
                    <w:rPr>
                      <w:rFonts w:hint="eastAsia" w:ascii="宋体" w:hAnsi="宋体" w:cs="宋体"/>
                      <w:color w:val="auto"/>
                      <w:sz w:val="22"/>
                      <w:szCs w:val="22"/>
                      <w:highlight w:val="none"/>
                      <w:vertAlign w:val="superscript"/>
                    </w:rPr>
                    <w:t>①</w:t>
                  </w:r>
                </w:p>
              </w:tc>
              <w:tc>
                <w:tcPr>
                  <w:tcW w:w="850" w:type="dxa"/>
                  <w:vAlign w:val="center"/>
                </w:tcPr>
                <w:p w14:paraId="34D658EE">
                  <w:pPr>
                    <w:pStyle w:val="73"/>
                    <w:ind w:left="-31" w:leftChars="-15" w:right="-31" w:rightChars="-15"/>
                    <w:rPr>
                      <w:color w:val="auto"/>
                      <w:sz w:val="22"/>
                      <w:szCs w:val="22"/>
                      <w:highlight w:val="none"/>
                    </w:rPr>
                  </w:pPr>
                  <w:r>
                    <w:rPr>
                      <w:rFonts w:hint="eastAsia"/>
                      <w:color w:val="auto"/>
                      <w:sz w:val="22"/>
                      <w:szCs w:val="22"/>
                      <w:highlight w:val="none"/>
                    </w:rPr>
                    <w:t>30</w:t>
                  </w:r>
                </w:p>
              </w:tc>
              <w:tc>
                <w:tcPr>
                  <w:tcW w:w="594" w:type="dxa"/>
                  <w:vAlign w:val="center"/>
                </w:tcPr>
                <w:p w14:paraId="08786A17">
                  <w:pPr>
                    <w:pStyle w:val="73"/>
                    <w:ind w:left="-31" w:leftChars="-15" w:right="-31" w:rightChars="-15"/>
                    <w:rPr>
                      <w:color w:val="auto"/>
                      <w:sz w:val="22"/>
                      <w:szCs w:val="22"/>
                      <w:highlight w:val="none"/>
                    </w:rPr>
                  </w:pPr>
                  <w:r>
                    <w:rPr>
                      <w:rFonts w:hint="eastAsia"/>
                      <w:color w:val="auto"/>
                      <w:sz w:val="22"/>
                      <w:szCs w:val="22"/>
                      <w:highlight w:val="none"/>
                    </w:rPr>
                    <w:t>8</w:t>
                  </w:r>
                </w:p>
              </w:tc>
            </w:tr>
            <w:tr w14:paraId="6243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9" w:type="dxa"/>
                  <w:vAlign w:val="center"/>
                </w:tcPr>
                <w:p w14:paraId="5176B788">
                  <w:pPr>
                    <w:autoSpaceDE w:val="0"/>
                    <w:autoSpaceDN w:val="0"/>
                    <w:adjustRightInd w:val="0"/>
                    <w:ind w:left="-31" w:leftChars="-15" w:right="-31" w:rightChars="-15"/>
                    <w:jc w:val="center"/>
                    <w:rPr>
                      <w:color w:val="auto"/>
                      <w:sz w:val="22"/>
                      <w:szCs w:val="22"/>
                      <w:highlight w:val="none"/>
                    </w:rPr>
                  </w:pPr>
                  <w:r>
                    <w:rPr>
                      <w:color w:val="auto"/>
                      <w:kern w:val="0"/>
                      <w:sz w:val="22"/>
                      <w:szCs w:val="22"/>
                      <w:highlight w:val="none"/>
                    </w:rPr>
                    <w:t>《城镇污水处理厂污染物排放标准》（GB18918-2002）一级A</w:t>
                  </w:r>
                  <w:r>
                    <w:rPr>
                      <w:rFonts w:hint="eastAsia"/>
                      <w:color w:val="auto"/>
                      <w:kern w:val="0"/>
                      <w:sz w:val="22"/>
                      <w:szCs w:val="22"/>
                      <w:highlight w:val="none"/>
                    </w:rPr>
                    <w:t>标</w:t>
                  </w:r>
                </w:p>
              </w:tc>
              <w:tc>
                <w:tcPr>
                  <w:tcW w:w="790" w:type="dxa"/>
                  <w:vAlign w:val="center"/>
                </w:tcPr>
                <w:p w14:paraId="081DFBC0">
                  <w:pPr>
                    <w:pStyle w:val="73"/>
                    <w:ind w:left="-31" w:leftChars="-15" w:right="-31" w:rightChars="-15"/>
                    <w:rPr>
                      <w:color w:val="auto"/>
                      <w:sz w:val="22"/>
                      <w:szCs w:val="22"/>
                      <w:highlight w:val="none"/>
                    </w:rPr>
                  </w:pPr>
                  <w:r>
                    <w:rPr>
                      <w:color w:val="auto"/>
                      <w:sz w:val="22"/>
                      <w:szCs w:val="22"/>
                      <w:highlight w:val="none"/>
                    </w:rPr>
                    <w:t>6～9</w:t>
                  </w:r>
                </w:p>
              </w:tc>
              <w:tc>
                <w:tcPr>
                  <w:tcW w:w="720" w:type="dxa"/>
                  <w:vAlign w:val="center"/>
                </w:tcPr>
                <w:p w14:paraId="2AB76518">
                  <w:pPr>
                    <w:pStyle w:val="73"/>
                    <w:ind w:left="-31" w:leftChars="-15" w:right="-31" w:rightChars="-15"/>
                    <w:rPr>
                      <w:color w:val="auto"/>
                      <w:sz w:val="22"/>
                      <w:szCs w:val="22"/>
                      <w:highlight w:val="none"/>
                    </w:rPr>
                  </w:pPr>
                  <w:r>
                    <w:rPr>
                      <w:rFonts w:hint="eastAsia"/>
                      <w:color w:val="auto"/>
                      <w:sz w:val="22"/>
                      <w:szCs w:val="22"/>
                      <w:highlight w:val="none"/>
                    </w:rPr>
                    <w:t>50</w:t>
                  </w:r>
                </w:p>
              </w:tc>
              <w:tc>
                <w:tcPr>
                  <w:tcW w:w="770" w:type="dxa"/>
                  <w:vAlign w:val="center"/>
                </w:tcPr>
                <w:p w14:paraId="75210658">
                  <w:pPr>
                    <w:pStyle w:val="73"/>
                    <w:ind w:left="-31" w:leftChars="-15" w:right="-31" w:rightChars="-15"/>
                    <w:rPr>
                      <w:color w:val="auto"/>
                      <w:sz w:val="22"/>
                      <w:szCs w:val="22"/>
                      <w:highlight w:val="none"/>
                    </w:rPr>
                  </w:pPr>
                  <w:r>
                    <w:rPr>
                      <w:color w:val="auto"/>
                      <w:sz w:val="22"/>
                      <w:szCs w:val="22"/>
                      <w:highlight w:val="none"/>
                    </w:rPr>
                    <w:t>10</w:t>
                  </w:r>
                </w:p>
              </w:tc>
              <w:tc>
                <w:tcPr>
                  <w:tcW w:w="670" w:type="dxa"/>
                  <w:vAlign w:val="center"/>
                </w:tcPr>
                <w:p w14:paraId="2E7B7068">
                  <w:pPr>
                    <w:pStyle w:val="73"/>
                    <w:ind w:left="-31" w:leftChars="-15" w:right="-31" w:rightChars="-15"/>
                    <w:rPr>
                      <w:color w:val="auto"/>
                      <w:sz w:val="22"/>
                      <w:szCs w:val="22"/>
                      <w:highlight w:val="none"/>
                    </w:rPr>
                  </w:pPr>
                  <w:r>
                    <w:rPr>
                      <w:color w:val="auto"/>
                      <w:sz w:val="22"/>
                      <w:szCs w:val="22"/>
                      <w:highlight w:val="none"/>
                    </w:rPr>
                    <w:t>10</w:t>
                  </w:r>
                </w:p>
              </w:tc>
              <w:tc>
                <w:tcPr>
                  <w:tcW w:w="840" w:type="dxa"/>
                  <w:vAlign w:val="center"/>
                </w:tcPr>
                <w:p w14:paraId="16B3A7C3">
                  <w:pPr>
                    <w:pStyle w:val="73"/>
                    <w:ind w:left="-31" w:leftChars="-15" w:right="-31" w:rightChars="-15"/>
                    <w:rPr>
                      <w:color w:val="auto"/>
                      <w:sz w:val="22"/>
                      <w:szCs w:val="22"/>
                      <w:highlight w:val="none"/>
                    </w:rPr>
                  </w:pPr>
                  <w:r>
                    <w:rPr>
                      <w:rFonts w:hint="eastAsia"/>
                      <w:color w:val="auto"/>
                      <w:sz w:val="22"/>
                      <w:szCs w:val="22"/>
                      <w:highlight w:val="none"/>
                    </w:rPr>
                    <w:t>5</w:t>
                  </w:r>
                  <w:r>
                    <w:rPr>
                      <w:rFonts w:hint="eastAsia"/>
                      <w:color w:val="auto"/>
                      <w:sz w:val="22"/>
                      <w:szCs w:val="22"/>
                      <w:highlight w:val="none"/>
                      <w:lang w:eastAsia="zh-CN"/>
                    </w:rPr>
                    <w:t>(</w:t>
                  </w:r>
                  <w:r>
                    <w:rPr>
                      <w:rFonts w:hint="eastAsia"/>
                      <w:color w:val="auto"/>
                      <w:sz w:val="22"/>
                      <w:szCs w:val="22"/>
                      <w:highlight w:val="none"/>
                    </w:rPr>
                    <w:t>8</w:t>
                  </w:r>
                  <w:r>
                    <w:rPr>
                      <w:rFonts w:hint="eastAsia"/>
                      <w:color w:val="auto"/>
                      <w:sz w:val="22"/>
                      <w:szCs w:val="22"/>
                      <w:highlight w:val="none"/>
                      <w:lang w:eastAsia="zh-CN"/>
                    </w:rPr>
                    <w:t>)</w:t>
                  </w:r>
                  <w:r>
                    <w:rPr>
                      <w:rFonts w:hint="eastAsia"/>
                      <w:color w:val="auto"/>
                      <w:sz w:val="22"/>
                      <w:szCs w:val="22"/>
                      <w:highlight w:val="none"/>
                      <w:vertAlign w:val="superscript"/>
                    </w:rPr>
                    <w:t>②</w:t>
                  </w:r>
                </w:p>
              </w:tc>
              <w:tc>
                <w:tcPr>
                  <w:tcW w:w="850" w:type="dxa"/>
                  <w:vAlign w:val="center"/>
                </w:tcPr>
                <w:p w14:paraId="1AF3A6C3">
                  <w:pPr>
                    <w:pStyle w:val="73"/>
                    <w:ind w:left="-31" w:leftChars="-15" w:right="-31" w:rightChars="-15"/>
                    <w:rPr>
                      <w:color w:val="auto"/>
                      <w:sz w:val="22"/>
                      <w:szCs w:val="22"/>
                      <w:highlight w:val="none"/>
                    </w:rPr>
                  </w:pPr>
                  <w:r>
                    <w:rPr>
                      <w:rFonts w:hint="eastAsia"/>
                      <w:color w:val="auto"/>
                      <w:sz w:val="22"/>
                      <w:szCs w:val="22"/>
                      <w:highlight w:val="none"/>
                    </w:rPr>
                    <w:t>1</w:t>
                  </w:r>
                </w:p>
              </w:tc>
              <w:tc>
                <w:tcPr>
                  <w:tcW w:w="594" w:type="dxa"/>
                  <w:vAlign w:val="center"/>
                </w:tcPr>
                <w:p w14:paraId="7DA63B4B">
                  <w:pPr>
                    <w:pStyle w:val="73"/>
                    <w:ind w:left="-31" w:leftChars="-15" w:right="-31" w:rightChars="-15"/>
                    <w:rPr>
                      <w:color w:val="auto"/>
                      <w:sz w:val="22"/>
                      <w:szCs w:val="22"/>
                      <w:highlight w:val="none"/>
                    </w:rPr>
                  </w:pPr>
                  <w:r>
                    <w:rPr>
                      <w:rFonts w:hint="eastAsia"/>
                      <w:color w:val="auto"/>
                      <w:sz w:val="22"/>
                      <w:szCs w:val="22"/>
                      <w:highlight w:val="none"/>
                    </w:rPr>
                    <w:t>0.5</w:t>
                  </w:r>
                </w:p>
              </w:tc>
            </w:tr>
          </w:tbl>
          <w:p w14:paraId="6CA5B7B0">
            <w:pPr>
              <w:adjustRightInd w:val="0"/>
              <w:snapToGrid w:val="0"/>
              <w:ind w:firstLine="400" w:firstLineChars="200"/>
              <w:rPr>
                <w:color w:val="auto"/>
                <w:kern w:val="0"/>
                <w:sz w:val="20"/>
                <w:szCs w:val="20"/>
                <w:highlight w:val="none"/>
              </w:rPr>
            </w:pPr>
            <w:r>
              <w:rPr>
                <w:color w:val="auto"/>
                <w:kern w:val="0"/>
                <w:sz w:val="20"/>
                <w:szCs w:val="20"/>
                <w:highlight w:val="none"/>
              </w:rPr>
              <w:t>注:</w:t>
            </w:r>
            <w:r>
              <w:rPr>
                <w:rFonts w:hint="eastAsia"/>
                <w:color w:val="auto"/>
                <w:kern w:val="0"/>
                <w:sz w:val="20"/>
                <w:szCs w:val="20"/>
                <w:highlight w:val="none"/>
              </w:rPr>
              <w:t xml:space="preserve"> </w:t>
            </w:r>
            <w:r>
              <w:rPr>
                <w:rFonts w:hint="eastAsia" w:ascii="宋体" w:hAnsi="宋体" w:cs="宋体"/>
                <w:color w:val="auto"/>
                <w:kern w:val="0"/>
                <w:sz w:val="20"/>
                <w:szCs w:val="20"/>
                <w:highlight w:val="none"/>
              </w:rPr>
              <w:t>①</w:t>
            </w:r>
            <w:r>
              <w:rPr>
                <w:color w:val="auto"/>
                <w:sz w:val="20"/>
                <w:szCs w:val="20"/>
                <w:highlight w:val="none"/>
              </w:rPr>
              <w:t>GB8978-1996三级标准中</w:t>
            </w:r>
            <w:r>
              <w:rPr>
                <w:rFonts w:hint="eastAsia"/>
                <w:color w:val="auto"/>
                <w:kern w:val="0"/>
                <w:sz w:val="20"/>
                <w:szCs w:val="20"/>
                <w:highlight w:val="none"/>
              </w:rPr>
              <w:t>NH</w:t>
            </w:r>
            <w:r>
              <w:rPr>
                <w:rFonts w:hint="eastAsia"/>
                <w:color w:val="auto"/>
                <w:kern w:val="0"/>
                <w:sz w:val="20"/>
                <w:szCs w:val="20"/>
                <w:highlight w:val="none"/>
                <w:vertAlign w:val="subscript"/>
              </w:rPr>
              <w:t>3</w:t>
            </w:r>
            <w:r>
              <w:rPr>
                <w:rFonts w:hint="eastAsia"/>
                <w:color w:val="auto"/>
                <w:kern w:val="0"/>
                <w:sz w:val="20"/>
                <w:szCs w:val="20"/>
                <w:highlight w:val="none"/>
              </w:rPr>
              <w:t>-N、TP排入园区污水处理厂浓度参照执行《污水排入城镇下水道水质标准》（GB/T31962-2015）B级标准；</w:t>
            </w:r>
            <w:r>
              <w:rPr>
                <w:rFonts w:hint="eastAsia" w:ascii="宋体" w:hAnsi="宋体" w:cs="宋体"/>
                <w:color w:val="auto"/>
                <w:kern w:val="0"/>
                <w:sz w:val="20"/>
                <w:szCs w:val="20"/>
                <w:highlight w:val="none"/>
              </w:rPr>
              <w:t>②</w:t>
            </w:r>
            <w:r>
              <w:rPr>
                <w:color w:val="auto"/>
                <w:kern w:val="0"/>
                <w:sz w:val="20"/>
                <w:szCs w:val="20"/>
                <w:highlight w:val="none"/>
              </w:rPr>
              <w:t>括号外数值为水温&gt;12℃时的控制指标，括号内数值为水温≤12 ℃时的控制指标。</w:t>
            </w:r>
          </w:p>
          <w:p w14:paraId="234EB769">
            <w:pPr>
              <w:adjustRightInd w:val="0"/>
              <w:snapToGrid w:val="0"/>
              <w:ind w:firstLine="400" w:firstLineChars="200"/>
              <w:rPr>
                <w:color w:val="auto"/>
                <w:kern w:val="0"/>
                <w:sz w:val="20"/>
                <w:szCs w:val="20"/>
                <w:highlight w:val="none"/>
              </w:rPr>
            </w:pPr>
          </w:p>
          <w:p w14:paraId="1E348E7A">
            <w:pPr>
              <w:adjustRightInd w:val="0"/>
              <w:snapToGrid w:val="0"/>
              <w:spacing w:before="120" w:beforeLines="50"/>
              <w:ind w:firstLine="522" w:firstLineChars="200"/>
              <w:rPr>
                <w:b/>
                <w:color w:val="auto"/>
                <w:kern w:val="0"/>
                <w:sz w:val="26"/>
                <w:szCs w:val="26"/>
                <w:highlight w:val="none"/>
              </w:rPr>
            </w:pPr>
            <w:r>
              <w:rPr>
                <w:rFonts w:hint="eastAsia"/>
                <w:b/>
                <w:color w:val="auto"/>
                <w:kern w:val="0"/>
                <w:sz w:val="26"/>
                <w:szCs w:val="26"/>
                <w:highlight w:val="none"/>
              </w:rPr>
              <w:t>3.</w:t>
            </w:r>
            <w:r>
              <w:rPr>
                <w:b/>
                <w:color w:val="auto"/>
                <w:kern w:val="0"/>
                <w:sz w:val="26"/>
                <w:szCs w:val="26"/>
                <w:highlight w:val="none"/>
              </w:rPr>
              <w:t>3.3</w:t>
            </w:r>
            <w:r>
              <w:rPr>
                <w:color w:val="auto"/>
                <w:kern w:val="0"/>
                <w:sz w:val="26"/>
                <w:szCs w:val="26"/>
                <w:highlight w:val="none"/>
              </w:rPr>
              <w:t xml:space="preserve"> </w:t>
            </w:r>
            <w:r>
              <w:rPr>
                <w:rFonts w:hint="eastAsia"/>
                <w:b/>
                <w:color w:val="auto"/>
                <w:kern w:val="0"/>
                <w:sz w:val="26"/>
                <w:szCs w:val="26"/>
                <w:highlight w:val="none"/>
              </w:rPr>
              <w:t>噪声</w:t>
            </w:r>
          </w:p>
          <w:p w14:paraId="10B7D4DF">
            <w:pPr>
              <w:snapToGrid w:val="0"/>
              <w:spacing w:line="480" w:lineRule="exact"/>
              <w:ind w:firstLine="520" w:firstLineChars="200"/>
              <w:rPr>
                <w:rFonts w:hAnsi="宋体"/>
                <w:color w:val="auto"/>
                <w:sz w:val="26"/>
                <w:szCs w:val="26"/>
                <w:highlight w:val="none"/>
              </w:rPr>
            </w:pPr>
            <w:r>
              <w:rPr>
                <w:rFonts w:hint="eastAsia" w:hAnsi="宋体"/>
                <w:color w:val="auto"/>
                <w:sz w:val="26"/>
                <w:szCs w:val="26"/>
                <w:highlight w:val="none"/>
              </w:rPr>
              <w:t>施工期噪声执行《建筑施工场界环境噪声排放标准》（GB12523-2011），即昼间70dB，夜间55dB。</w:t>
            </w:r>
          </w:p>
          <w:p w14:paraId="3A2A3E1F">
            <w:pPr>
              <w:snapToGrid w:val="0"/>
              <w:spacing w:line="480" w:lineRule="exact"/>
              <w:ind w:firstLine="520" w:firstLineChars="200"/>
              <w:rPr>
                <w:rFonts w:hAnsi="宋体"/>
                <w:color w:val="auto"/>
                <w:sz w:val="26"/>
                <w:szCs w:val="26"/>
                <w:highlight w:val="none"/>
              </w:rPr>
            </w:pPr>
            <w:r>
              <w:rPr>
                <w:rFonts w:hint="eastAsia" w:hAnsi="宋体"/>
                <w:color w:val="auto"/>
                <w:sz w:val="26"/>
                <w:szCs w:val="26"/>
                <w:highlight w:val="none"/>
              </w:rPr>
              <w:t>根据《合川区声环境功能区划分调整方案》（合川府办发〔2023〕56号），本项目所在区域为3类声环境功能区，营运期厂界噪声执行《工业企业厂界环境噪声排放标准》（GB12348-2008）3类标准</w:t>
            </w:r>
            <w:r>
              <w:rPr>
                <w:rFonts w:hint="eastAsia"/>
                <w:color w:val="auto"/>
                <w:sz w:val="26"/>
                <w:szCs w:val="26"/>
                <w:highlight w:val="none"/>
              </w:rPr>
              <w:t>。</w:t>
            </w:r>
          </w:p>
          <w:p w14:paraId="114F0229">
            <w:pPr>
              <w:autoSpaceDE w:val="0"/>
              <w:autoSpaceDN w:val="0"/>
              <w:adjustRightInd w:val="0"/>
              <w:ind w:firstLine="560" w:firstLineChars="200"/>
              <w:textAlignment w:val="baseline"/>
              <w:rPr>
                <w:color w:val="auto"/>
                <w:spacing w:val="10"/>
                <w:kern w:val="0"/>
                <w:sz w:val="26"/>
                <w:szCs w:val="26"/>
                <w:highlight w:val="none"/>
              </w:rPr>
            </w:pPr>
          </w:p>
          <w:p w14:paraId="6DB60EAD">
            <w:pPr>
              <w:autoSpaceDE w:val="0"/>
              <w:autoSpaceDN w:val="0"/>
              <w:adjustRightInd w:val="0"/>
              <w:ind w:firstLine="560" w:firstLineChars="200"/>
              <w:textAlignment w:val="baseline"/>
              <w:rPr>
                <w:color w:val="auto"/>
                <w:spacing w:val="10"/>
                <w:kern w:val="0"/>
                <w:sz w:val="26"/>
                <w:szCs w:val="26"/>
                <w:highlight w:val="none"/>
              </w:rPr>
            </w:pPr>
          </w:p>
          <w:p w14:paraId="09D1C3B8">
            <w:pPr>
              <w:jc w:val="center"/>
              <w:rPr>
                <w:bCs/>
                <w:color w:val="auto"/>
                <w:sz w:val="22"/>
                <w:szCs w:val="22"/>
                <w:highlight w:val="none"/>
              </w:rPr>
            </w:pPr>
            <w:r>
              <w:rPr>
                <w:rFonts w:hAnsi="宋体"/>
                <w:bCs/>
                <w:color w:val="auto"/>
                <w:sz w:val="26"/>
                <w:szCs w:val="26"/>
                <w:highlight w:val="none"/>
              </w:rPr>
              <w:t>表</w:t>
            </w:r>
            <w:r>
              <w:rPr>
                <w:bCs/>
                <w:color w:val="auto"/>
                <w:sz w:val="26"/>
                <w:szCs w:val="26"/>
                <w:highlight w:val="none"/>
              </w:rPr>
              <w:t>3.3-</w:t>
            </w:r>
            <w:r>
              <w:rPr>
                <w:rFonts w:hint="eastAsia"/>
                <w:bCs/>
                <w:color w:val="auto"/>
                <w:sz w:val="26"/>
                <w:szCs w:val="26"/>
                <w:highlight w:val="none"/>
              </w:rPr>
              <w:t>4</w:t>
            </w:r>
            <w:r>
              <w:rPr>
                <w:bCs/>
                <w:color w:val="auto"/>
                <w:sz w:val="26"/>
                <w:szCs w:val="26"/>
                <w:highlight w:val="none"/>
              </w:rPr>
              <w:t xml:space="preserve">  </w:t>
            </w:r>
            <w:r>
              <w:rPr>
                <w:rFonts w:hAnsi="宋体"/>
                <w:bCs/>
                <w:color w:val="auto"/>
                <w:sz w:val="26"/>
                <w:szCs w:val="26"/>
                <w:highlight w:val="none"/>
              </w:rPr>
              <w:t>工业企业厂界环境噪声排放标准</w:t>
            </w:r>
            <w:r>
              <w:rPr>
                <w:bCs/>
                <w:color w:val="auto"/>
                <w:sz w:val="26"/>
                <w:szCs w:val="26"/>
                <w:highlight w:val="none"/>
              </w:rPr>
              <w:t xml:space="preserve">  </w:t>
            </w:r>
            <w:r>
              <w:rPr>
                <w:rFonts w:hAnsi="宋体"/>
                <w:bCs/>
                <w:color w:val="auto"/>
                <w:sz w:val="22"/>
                <w:szCs w:val="22"/>
                <w:highlight w:val="none"/>
              </w:rPr>
              <w:t>单位：</w:t>
            </w:r>
            <w:r>
              <w:rPr>
                <w:bCs/>
                <w:color w:val="auto"/>
                <w:sz w:val="22"/>
                <w:szCs w:val="22"/>
                <w:highlight w:val="none"/>
              </w:rPr>
              <w:t>dB(A)</w:t>
            </w:r>
          </w:p>
          <w:tbl>
            <w:tblPr>
              <w:tblStyle w:val="16"/>
              <w:tblW w:w="484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01"/>
              <w:gridCol w:w="2812"/>
              <w:gridCol w:w="2814"/>
            </w:tblGrid>
            <w:tr w14:paraId="29CA25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2176" w:type="dxa"/>
                  <w:vMerge w:val="restart"/>
                  <w:vAlign w:val="center"/>
                </w:tcPr>
                <w:p w14:paraId="1664CEBF">
                  <w:pPr>
                    <w:adjustRightInd w:val="0"/>
                    <w:snapToGrid w:val="0"/>
                    <w:jc w:val="center"/>
                    <w:rPr>
                      <w:color w:val="auto"/>
                      <w:sz w:val="22"/>
                      <w:highlight w:val="none"/>
                    </w:rPr>
                  </w:pPr>
                  <w:r>
                    <w:rPr>
                      <w:rFonts w:hAnsi="宋体"/>
                      <w:color w:val="auto"/>
                      <w:sz w:val="22"/>
                      <w:highlight w:val="none"/>
                    </w:rPr>
                    <w:t>类别</w:t>
                  </w:r>
                </w:p>
              </w:tc>
              <w:tc>
                <w:tcPr>
                  <w:tcW w:w="5836" w:type="dxa"/>
                  <w:gridSpan w:val="2"/>
                  <w:vAlign w:val="center"/>
                </w:tcPr>
                <w:p w14:paraId="48B7C462">
                  <w:pPr>
                    <w:adjustRightInd w:val="0"/>
                    <w:snapToGrid w:val="0"/>
                    <w:jc w:val="center"/>
                    <w:rPr>
                      <w:color w:val="auto"/>
                      <w:sz w:val="22"/>
                      <w:highlight w:val="none"/>
                    </w:rPr>
                  </w:pPr>
                  <w:r>
                    <w:rPr>
                      <w:rFonts w:hAnsi="宋体"/>
                      <w:color w:val="auto"/>
                      <w:sz w:val="22"/>
                      <w:highlight w:val="none"/>
                    </w:rPr>
                    <w:t>评价标准</w:t>
                  </w:r>
                </w:p>
              </w:tc>
            </w:tr>
            <w:tr w14:paraId="12F71A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2176" w:type="dxa"/>
                  <w:vMerge w:val="continue"/>
                  <w:vAlign w:val="center"/>
                </w:tcPr>
                <w:p w14:paraId="46639B76">
                  <w:pPr>
                    <w:adjustRightInd w:val="0"/>
                    <w:snapToGrid w:val="0"/>
                    <w:jc w:val="center"/>
                    <w:rPr>
                      <w:color w:val="auto"/>
                      <w:sz w:val="22"/>
                      <w:highlight w:val="none"/>
                    </w:rPr>
                  </w:pPr>
                </w:p>
              </w:tc>
              <w:tc>
                <w:tcPr>
                  <w:tcW w:w="2917" w:type="dxa"/>
                  <w:vAlign w:val="center"/>
                </w:tcPr>
                <w:p w14:paraId="35B37E5B">
                  <w:pPr>
                    <w:adjustRightInd w:val="0"/>
                    <w:snapToGrid w:val="0"/>
                    <w:jc w:val="center"/>
                    <w:rPr>
                      <w:color w:val="auto"/>
                      <w:sz w:val="22"/>
                      <w:highlight w:val="none"/>
                    </w:rPr>
                  </w:pPr>
                  <w:r>
                    <w:rPr>
                      <w:rFonts w:hAnsi="宋体"/>
                      <w:color w:val="auto"/>
                      <w:sz w:val="22"/>
                      <w:highlight w:val="none"/>
                    </w:rPr>
                    <w:t>昼间</w:t>
                  </w:r>
                </w:p>
              </w:tc>
              <w:tc>
                <w:tcPr>
                  <w:tcW w:w="2919" w:type="dxa"/>
                  <w:vAlign w:val="center"/>
                </w:tcPr>
                <w:p w14:paraId="1C93CBE8">
                  <w:pPr>
                    <w:adjustRightInd w:val="0"/>
                    <w:snapToGrid w:val="0"/>
                    <w:jc w:val="center"/>
                    <w:rPr>
                      <w:color w:val="auto"/>
                      <w:sz w:val="22"/>
                      <w:highlight w:val="none"/>
                    </w:rPr>
                  </w:pPr>
                  <w:r>
                    <w:rPr>
                      <w:rFonts w:hAnsi="宋体"/>
                      <w:color w:val="auto"/>
                      <w:sz w:val="22"/>
                      <w:highlight w:val="none"/>
                    </w:rPr>
                    <w:t>夜间</w:t>
                  </w:r>
                </w:p>
              </w:tc>
            </w:tr>
            <w:tr w14:paraId="4CD55E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2176" w:type="dxa"/>
                  <w:vAlign w:val="center"/>
                </w:tcPr>
                <w:p w14:paraId="7BAB072B">
                  <w:pPr>
                    <w:adjustRightInd w:val="0"/>
                    <w:snapToGrid w:val="0"/>
                    <w:jc w:val="center"/>
                    <w:rPr>
                      <w:color w:val="auto"/>
                      <w:sz w:val="22"/>
                      <w:highlight w:val="none"/>
                    </w:rPr>
                  </w:pPr>
                  <w:r>
                    <w:rPr>
                      <w:rFonts w:hint="eastAsia"/>
                      <w:color w:val="auto"/>
                      <w:sz w:val="22"/>
                      <w:highlight w:val="none"/>
                    </w:rPr>
                    <w:t>3类</w:t>
                  </w:r>
                </w:p>
              </w:tc>
              <w:tc>
                <w:tcPr>
                  <w:tcW w:w="2917" w:type="dxa"/>
                  <w:vAlign w:val="center"/>
                </w:tcPr>
                <w:p w14:paraId="10C028FD">
                  <w:pPr>
                    <w:adjustRightInd w:val="0"/>
                    <w:snapToGrid w:val="0"/>
                    <w:jc w:val="center"/>
                    <w:rPr>
                      <w:color w:val="auto"/>
                      <w:sz w:val="22"/>
                      <w:highlight w:val="none"/>
                    </w:rPr>
                  </w:pPr>
                  <w:r>
                    <w:rPr>
                      <w:rFonts w:hint="eastAsia"/>
                      <w:color w:val="auto"/>
                      <w:sz w:val="22"/>
                      <w:highlight w:val="none"/>
                    </w:rPr>
                    <w:t>6</w:t>
                  </w:r>
                  <w:r>
                    <w:rPr>
                      <w:color w:val="auto"/>
                      <w:sz w:val="22"/>
                      <w:highlight w:val="none"/>
                    </w:rPr>
                    <w:t>5</w:t>
                  </w:r>
                </w:p>
              </w:tc>
              <w:tc>
                <w:tcPr>
                  <w:tcW w:w="2919" w:type="dxa"/>
                  <w:vAlign w:val="center"/>
                </w:tcPr>
                <w:p w14:paraId="2A3D0201">
                  <w:pPr>
                    <w:adjustRightInd w:val="0"/>
                    <w:snapToGrid w:val="0"/>
                    <w:jc w:val="center"/>
                    <w:rPr>
                      <w:color w:val="auto"/>
                      <w:sz w:val="22"/>
                      <w:highlight w:val="none"/>
                    </w:rPr>
                  </w:pPr>
                  <w:r>
                    <w:rPr>
                      <w:rFonts w:hint="eastAsia"/>
                      <w:color w:val="auto"/>
                      <w:sz w:val="22"/>
                      <w:highlight w:val="none"/>
                    </w:rPr>
                    <w:t>5</w:t>
                  </w:r>
                  <w:r>
                    <w:rPr>
                      <w:color w:val="auto"/>
                      <w:sz w:val="22"/>
                      <w:highlight w:val="none"/>
                    </w:rPr>
                    <w:t>5</w:t>
                  </w:r>
                </w:p>
              </w:tc>
            </w:tr>
          </w:tbl>
          <w:p w14:paraId="23D5D0CE">
            <w:pPr>
              <w:adjustRightInd w:val="0"/>
              <w:snapToGrid w:val="0"/>
              <w:ind w:firstLine="522" w:firstLineChars="200"/>
              <w:rPr>
                <w:b/>
                <w:color w:val="auto"/>
                <w:kern w:val="0"/>
                <w:sz w:val="26"/>
                <w:szCs w:val="26"/>
                <w:highlight w:val="none"/>
              </w:rPr>
            </w:pPr>
          </w:p>
          <w:p w14:paraId="00969580">
            <w:pPr>
              <w:adjustRightInd w:val="0"/>
              <w:snapToGrid w:val="0"/>
              <w:spacing w:line="480" w:lineRule="exact"/>
              <w:ind w:firstLine="522" w:firstLineChars="200"/>
              <w:rPr>
                <w:b/>
                <w:color w:val="auto"/>
                <w:kern w:val="0"/>
                <w:sz w:val="26"/>
                <w:szCs w:val="26"/>
                <w:highlight w:val="none"/>
              </w:rPr>
            </w:pPr>
            <w:r>
              <w:rPr>
                <w:rFonts w:hint="eastAsia"/>
                <w:b/>
                <w:color w:val="auto"/>
                <w:kern w:val="0"/>
                <w:sz w:val="26"/>
                <w:szCs w:val="26"/>
                <w:highlight w:val="none"/>
              </w:rPr>
              <w:t>3.</w:t>
            </w:r>
            <w:r>
              <w:rPr>
                <w:b/>
                <w:color w:val="auto"/>
                <w:kern w:val="0"/>
                <w:sz w:val="26"/>
                <w:szCs w:val="26"/>
                <w:highlight w:val="none"/>
              </w:rPr>
              <w:t>3.4</w:t>
            </w:r>
            <w:r>
              <w:rPr>
                <w:color w:val="auto"/>
                <w:kern w:val="0"/>
                <w:sz w:val="26"/>
                <w:szCs w:val="26"/>
                <w:highlight w:val="none"/>
              </w:rPr>
              <w:t xml:space="preserve"> </w:t>
            </w:r>
            <w:r>
              <w:rPr>
                <w:b/>
                <w:color w:val="auto"/>
                <w:kern w:val="0"/>
                <w:sz w:val="26"/>
                <w:szCs w:val="26"/>
                <w:highlight w:val="none"/>
              </w:rPr>
              <w:t>固体废物</w:t>
            </w:r>
          </w:p>
          <w:p w14:paraId="11E880F2">
            <w:pPr>
              <w:snapToGrid w:val="0"/>
              <w:spacing w:line="480" w:lineRule="exact"/>
              <w:ind w:firstLine="520" w:firstLineChars="200"/>
              <w:rPr>
                <w:color w:val="auto"/>
                <w:kern w:val="0"/>
                <w:sz w:val="26"/>
                <w:szCs w:val="26"/>
                <w:highlight w:val="none"/>
              </w:rPr>
            </w:pPr>
            <w:r>
              <w:rPr>
                <w:color w:val="auto"/>
                <w:kern w:val="0"/>
                <w:sz w:val="26"/>
                <w:szCs w:val="26"/>
                <w:highlight w:val="none"/>
              </w:rPr>
              <w:t>（1）一般工业固废</w:t>
            </w:r>
          </w:p>
          <w:p w14:paraId="6C96D3AD">
            <w:pPr>
              <w:snapToGrid w:val="0"/>
              <w:spacing w:line="480" w:lineRule="exact"/>
              <w:ind w:firstLine="520" w:firstLineChars="200"/>
              <w:rPr>
                <w:color w:val="auto"/>
                <w:kern w:val="0"/>
                <w:sz w:val="26"/>
                <w:szCs w:val="26"/>
                <w:highlight w:val="none"/>
              </w:rPr>
            </w:pPr>
            <w:r>
              <w:rPr>
                <w:rFonts w:hint="eastAsia"/>
                <w:color w:val="auto"/>
                <w:kern w:val="0"/>
                <w:sz w:val="26"/>
                <w:szCs w:val="26"/>
                <w:highlight w:val="none"/>
              </w:rPr>
              <w:t>一般工业固废执行《一般工业固体废物贮存和填埋污染控制标准》（GB 18599-2020）；其中采用库房、包装工具（罐、桶、包装袋等）贮存一般工业固体废物，不适用于GB 18599-2020，其贮存过程应满足相应防渗漏、防雨淋、防扬尘等环境保护要求。</w:t>
            </w:r>
          </w:p>
          <w:p w14:paraId="33E05D9A">
            <w:pPr>
              <w:snapToGrid w:val="0"/>
              <w:spacing w:line="480" w:lineRule="exact"/>
              <w:ind w:firstLine="520" w:firstLineChars="200"/>
              <w:rPr>
                <w:color w:val="auto"/>
                <w:kern w:val="0"/>
                <w:sz w:val="26"/>
                <w:szCs w:val="26"/>
                <w:highlight w:val="none"/>
              </w:rPr>
            </w:pPr>
            <w:r>
              <w:rPr>
                <w:color w:val="auto"/>
                <w:kern w:val="0"/>
                <w:sz w:val="26"/>
                <w:szCs w:val="26"/>
                <w:highlight w:val="none"/>
              </w:rPr>
              <w:t xml:space="preserve">（2）危险废物 </w:t>
            </w:r>
          </w:p>
          <w:p w14:paraId="55834B32">
            <w:pPr>
              <w:snapToGrid w:val="0"/>
              <w:spacing w:line="480" w:lineRule="exact"/>
              <w:ind w:firstLine="520" w:firstLineChars="200"/>
              <w:rPr>
                <w:color w:val="auto"/>
                <w:kern w:val="0"/>
                <w:sz w:val="26"/>
                <w:szCs w:val="26"/>
                <w:highlight w:val="none"/>
              </w:rPr>
            </w:pPr>
            <w:r>
              <w:rPr>
                <w:rFonts w:hint="eastAsia"/>
                <w:color w:val="auto"/>
                <w:kern w:val="0"/>
                <w:sz w:val="26"/>
                <w:szCs w:val="26"/>
                <w:highlight w:val="none"/>
              </w:rPr>
              <w:t>危险废物执行《危险废物贮存污染控制标准》（GB 18597-2023）、《危险废物识别标志设置技术规范》（HJ 1276—2022）、《危险废物转移管理办法》中相关标准要求。</w:t>
            </w:r>
          </w:p>
          <w:p w14:paraId="3F8A7C4C">
            <w:pPr>
              <w:snapToGrid w:val="0"/>
              <w:spacing w:line="480" w:lineRule="exact"/>
              <w:ind w:firstLine="520" w:firstLineChars="200"/>
              <w:rPr>
                <w:color w:val="auto"/>
                <w:kern w:val="0"/>
                <w:sz w:val="26"/>
                <w:szCs w:val="26"/>
                <w:highlight w:val="none"/>
              </w:rPr>
            </w:pPr>
            <w:r>
              <w:rPr>
                <w:rFonts w:hint="eastAsia"/>
                <w:color w:val="auto"/>
                <w:kern w:val="0"/>
                <w:sz w:val="26"/>
                <w:szCs w:val="26"/>
                <w:highlight w:val="none"/>
              </w:rPr>
              <w:t>委托第三方运输、利用、处置工业固体废物时，应对受托方的主体资格和技术能力进行核实。</w:t>
            </w:r>
          </w:p>
        </w:tc>
      </w:tr>
      <w:tr w14:paraId="1FD527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2" w:hRule="atLeast"/>
          <w:jc w:val="center"/>
        </w:trPr>
        <w:tc>
          <w:tcPr>
            <w:tcW w:w="800" w:type="dxa"/>
            <w:vAlign w:val="center"/>
          </w:tcPr>
          <w:p w14:paraId="3D92A418">
            <w:pPr>
              <w:adjustRightInd w:val="0"/>
              <w:snapToGrid w:val="0"/>
              <w:jc w:val="center"/>
              <w:rPr>
                <w:rFonts w:ascii="宋体" w:hAnsi="宋体" w:cs="宋体"/>
                <w:color w:val="auto"/>
                <w:kern w:val="0"/>
                <w:sz w:val="26"/>
                <w:szCs w:val="26"/>
                <w:highlight w:val="none"/>
              </w:rPr>
            </w:pPr>
            <w:r>
              <w:rPr>
                <w:rFonts w:hint="eastAsia" w:ascii="宋体" w:hAnsi="宋体" w:cs="宋体"/>
                <w:color w:val="auto"/>
                <w:kern w:val="0"/>
                <w:sz w:val="26"/>
                <w:szCs w:val="26"/>
                <w:highlight w:val="none"/>
              </w:rPr>
              <w:t>总量</w:t>
            </w:r>
          </w:p>
          <w:p w14:paraId="3C44BCA0">
            <w:pPr>
              <w:adjustRightInd w:val="0"/>
              <w:snapToGrid w:val="0"/>
              <w:jc w:val="center"/>
              <w:rPr>
                <w:rFonts w:ascii="宋体" w:hAnsi="宋体" w:cs="宋体"/>
                <w:color w:val="auto"/>
                <w:kern w:val="0"/>
                <w:sz w:val="26"/>
                <w:szCs w:val="26"/>
                <w:highlight w:val="none"/>
              </w:rPr>
            </w:pPr>
            <w:r>
              <w:rPr>
                <w:rFonts w:hint="eastAsia" w:ascii="宋体" w:hAnsi="宋体" w:cs="宋体"/>
                <w:color w:val="auto"/>
                <w:kern w:val="0"/>
                <w:sz w:val="26"/>
                <w:szCs w:val="26"/>
                <w:highlight w:val="none"/>
              </w:rPr>
              <w:t>控制</w:t>
            </w:r>
          </w:p>
          <w:p w14:paraId="6C155BCC">
            <w:pPr>
              <w:adjustRightInd w:val="0"/>
              <w:snapToGrid w:val="0"/>
              <w:jc w:val="center"/>
              <w:rPr>
                <w:rFonts w:ascii="宋体" w:hAnsi="宋体" w:cs="宋体"/>
                <w:color w:val="auto"/>
                <w:kern w:val="0"/>
                <w:szCs w:val="21"/>
                <w:highlight w:val="none"/>
              </w:rPr>
            </w:pPr>
            <w:r>
              <w:rPr>
                <w:rFonts w:hint="eastAsia" w:ascii="宋体" w:hAnsi="宋体" w:cs="宋体"/>
                <w:color w:val="auto"/>
                <w:kern w:val="0"/>
                <w:sz w:val="26"/>
                <w:szCs w:val="26"/>
                <w:highlight w:val="none"/>
              </w:rPr>
              <w:t>指标</w:t>
            </w:r>
          </w:p>
        </w:tc>
        <w:tc>
          <w:tcPr>
            <w:tcW w:w="8190" w:type="dxa"/>
            <w:vAlign w:val="center"/>
          </w:tcPr>
          <w:p w14:paraId="5D887A55">
            <w:pPr>
              <w:snapToGrid w:val="0"/>
              <w:spacing w:line="480" w:lineRule="exact"/>
              <w:ind w:firstLine="522" w:firstLineChars="200"/>
              <w:rPr>
                <w:b/>
                <w:color w:val="auto"/>
                <w:sz w:val="26"/>
                <w:szCs w:val="26"/>
                <w:highlight w:val="none"/>
              </w:rPr>
            </w:pPr>
            <w:r>
              <w:rPr>
                <w:rFonts w:hint="eastAsia"/>
                <w:b/>
                <w:color w:val="auto"/>
                <w:sz w:val="26"/>
                <w:szCs w:val="26"/>
                <w:highlight w:val="none"/>
              </w:rPr>
              <w:t>3</w:t>
            </w:r>
            <w:r>
              <w:rPr>
                <w:b/>
                <w:color w:val="auto"/>
                <w:sz w:val="26"/>
                <w:szCs w:val="26"/>
                <w:highlight w:val="none"/>
              </w:rPr>
              <w:t>.</w:t>
            </w:r>
            <w:r>
              <w:rPr>
                <w:rFonts w:hint="eastAsia"/>
                <w:b/>
                <w:color w:val="auto"/>
                <w:sz w:val="26"/>
                <w:szCs w:val="26"/>
                <w:highlight w:val="none"/>
              </w:rPr>
              <w:t>4总量控制指标</w:t>
            </w:r>
          </w:p>
          <w:p w14:paraId="57C9EAD1">
            <w:pPr>
              <w:snapToGrid w:val="0"/>
              <w:spacing w:line="480" w:lineRule="exact"/>
              <w:ind w:firstLine="520" w:firstLineChars="200"/>
              <w:rPr>
                <w:color w:val="auto"/>
                <w:sz w:val="26"/>
                <w:szCs w:val="26"/>
                <w:highlight w:val="none"/>
              </w:rPr>
            </w:pPr>
            <w:r>
              <w:rPr>
                <w:rFonts w:hint="eastAsia"/>
                <w:color w:val="auto"/>
                <w:sz w:val="26"/>
                <w:szCs w:val="26"/>
                <w:highlight w:val="none"/>
              </w:rPr>
              <w:t>本次技改前后的总量控制指标见下表。</w:t>
            </w:r>
          </w:p>
          <w:p w14:paraId="784228E4">
            <w:pPr>
              <w:snapToGrid w:val="0"/>
              <w:rPr>
                <w:color w:val="auto"/>
                <w:sz w:val="26"/>
                <w:highlight w:val="none"/>
              </w:rPr>
            </w:pPr>
          </w:p>
          <w:p w14:paraId="1D27B249">
            <w:pPr>
              <w:snapToGrid w:val="0"/>
              <w:jc w:val="center"/>
              <w:rPr>
                <w:color w:val="auto"/>
                <w:sz w:val="26"/>
                <w:szCs w:val="26"/>
                <w:highlight w:val="none"/>
              </w:rPr>
            </w:pPr>
            <w:r>
              <w:rPr>
                <w:color w:val="auto"/>
                <w:sz w:val="26"/>
                <w:szCs w:val="26"/>
                <w:highlight w:val="none"/>
              </w:rPr>
              <w:t>表3.</w:t>
            </w:r>
            <w:r>
              <w:rPr>
                <w:rFonts w:hint="eastAsia"/>
                <w:color w:val="auto"/>
                <w:sz w:val="26"/>
                <w:szCs w:val="26"/>
                <w:highlight w:val="none"/>
              </w:rPr>
              <w:t>4</w:t>
            </w:r>
            <w:r>
              <w:rPr>
                <w:color w:val="auto"/>
                <w:sz w:val="26"/>
                <w:szCs w:val="26"/>
                <w:highlight w:val="none"/>
              </w:rPr>
              <w:t>-1  总量控制指标变化情况一览表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958"/>
              <w:gridCol w:w="1446"/>
              <w:gridCol w:w="1692"/>
              <w:gridCol w:w="2661"/>
            </w:tblGrid>
            <w:tr w14:paraId="3085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restart"/>
                  <w:vAlign w:val="center"/>
                </w:tcPr>
                <w:p w14:paraId="22D0D41F">
                  <w:pPr>
                    <w:snapToGrid w:val="0"/>
                    <w:jc w:val="center"/>
                    <w:rPr>
                      <w:color w:val="auto"/>
                      <w:kern w:val="0"/>
                      <w:sz w:val="22"/>
                      <w:szCs w:val="22"/>
                      <w:highlight w:val="none"/>
                    </w:rPr>
                  </w:pPr>
                  <w:r>
                    <w:rPr>
                      <w:rFonts w:hint="eastAsia"/>
                      <w:color w:val="auto"/>
                      <w:kern w:val="0"/>
                      <w:sz w:val="22"/>
                      <w:szCs w:val="22"/>
                      <w:highlight w:val="none"/>
                    </w:rPr>
                    <w:t>类别</w:t>
                  </w:r>
                </w:p>
              </w:tc>
              <w:tc>
                <w:tcPr>
                  <w:tcW w:w="958" w:type="dxa"/>
                  <w:vMerge w:val="restart"/>
                  <w:vAlign w:val="center"/>
                </w:tcPr>
                <w:p w14:paraId="6E813033">
                  <w:pPr>
                    <w:snapToGrid w:val="0"/>
                    <w:jc w:val="center"/>
                    <w:rPr>
                      <w:color w:val="auto"/>
                      <w:kern w:val="0"/>
                      <w:sz w:val="22"/>
                      <w:szCs w:val="22"/>
                      <w:highlight w:val="none"/>
                    </w:rPr>
                  </w:pPr>
                  <w:r>
                    <w:rPr>
                      <w:rFonts w:hint="eastAsia"/>
                      <w:color w:val="auto"/>
                      <w:kern w:val="0"/>
                      <w:sz w:val="22"/>
                      <w:szCs w:val="22"/>
                      <w:highlight w:val="none"/>
                    </w:rPr>
                    <w:t>污染物</w:t>
                  </w:r>
                </w:p>
              </w:tc>
              <w:tc>
                <w:tcPr>
                  <w:tcW w:w="5799" w:type="dxa"/>
                  <w:gridSpan w:val="3"/>
                  <w:vAlign w:val="center"/>
                </w:tcPr>
                <w:p w14:paraId="7EBAF89F">
                  <w:pPr>
                    <w:snapToGrid w:val="0"/>
                    <w:jc w:val="center"/>
                    <w:rPr>
                      <w:color w:val="auto"/>
                      <w:kern w:val="0"/>
                      <w:sz w:val="22"/>
                      <w:szCs w:val="22"/>
                      <w:highlight w:val="none"/>
                    </w:rPr>
                  </w:pPr>
                  <w:r>
                    <w:rPr>
                      <w:rFonts w:hint="eastAsia"/>
                      <w:color w:val="auto"/>
                      <w:kern w:val="0"/>
                      <w:sz w:val="22"/>
                      <w:szCs w:val="22"/>
                      <w:highlight w:val="none"/>
                    </w:rPr>
                    <w:t>总量控制指标t</w:t>
                  </w:r>
                  <w:r>
                    <w:rPr>
                      <w:color w:val="auto"/>
                      <w:kern w:val="0"/>
                      <w:sz w:val="22"/>
                      <w:szCs w:val="22"/>
                      <w:highlight w:val="none"/>
                    </w:rPr>
                    <w:t>/a</w:t>
                  </w:r>
                </w:p>
              </w:tc>
            </w:tr>
            <w:tr w14:paraId="6EC3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7" w:type="dxa"/>
                  <w:vMerge w:val="continue"/>
                  <w:vAlign w:val="center"/>
                </w:tcPr>
                <w:p w14:paraId="7DB43FA5">
                  <w:pPr>
                    <w:snapToGrid w:val="0"/>
                    <w:jc w:val="center"/>
                    <w:rPr>
                      <w:color w:val="auto"/>
                      <w:kern w:val="0"/>
                      <w:sz w:val="22"/>
                      <w:szCs w:val="22"/>
                      <w:highlight w:val="none"/>
                    </w:rPr>
                  </w:pPr>
                </w:p>
              </w:tc>
              <w:tc>
                <w:tcPr>
                  <w:tcW w:w="958" w:type="dxa"/>
                  <w:vMerge w:val="continue"/>
                  <w:vAlign w:val="center"/>
                </w:tcPr>
                <w:p w14:paraId="6C38DA77">
                  <w:pPr>
                    <w:snapToGrid w:val="0"/>
                    <w:jc w:val="center"/>
                    <w:rPr>
                      <w:color w:val="auto"/>
                      <w:kern w:val="0"/>
                      <w:sz w:val="22"/>
                      <w:szCs w:val="22"/>
                      <w:highlight w:val="none"/>
                    </w:rPr>
                  </w:pPr>
                </w:p>
              </w:tc>
              <w:tc>
                <w:tcPr>
                  <w:tcW w:w="1446" w:type="dxa"/>
                  <w:vAlign w:val="center"/>
                </w:tcPr>
                <w:p w14:paraId="0958D295">
                  <w:pPr>
                    <w:snapToGrid w:val="0"/>
                    <w:jc w:val="center"/>
                    <w:rPr>
                      <w:color w:val="auto"/>
                      <w:kern w:val="0"/>
                      <w:sz w:val="22"/>
                      <w:szCs w:val="22"/>
                      <w:highlight w:val="none"/>
                    </w:rPr>
                  </w:pPr>
                  <w:r>
                    <w:rPr>
                      <w:rFonts w:hint="eastAsia"/>
                      <w:color w:val="auto"/>
                      <w:kern w:val="0"/>
                      <w:sz w:val="22"/>
                      <w:szCs w:val="22"/>
                      <w:highlight w:val="none"/>
                    </w:rPr>
                    <w:t>现有工程</w:t>
                  </w:r>
                </w:p>
              </w:tc>
              <w:tc>
                <w:tcPr>
                  <w:tcW w:w="1692" w:type="dxa"/>
                  <w:vAlign w:val="center"/>
                </w:tcPr>
                <w:p w14:paraId="123267C0">
                  <w:pPr>
                    <w:snapToGrid w:val="0"/>
                    <w:jc w:val="center"/>
                    <w:rPr>
                      <w:color w:val="auto"/>
                      <w:kern w:val="0"/>
                      <w:sz w:val="22"/>
                      <w:szCs w:val="22"/>
                      <w:highlight w:val="none"/>
                    </w:rPr>
                  </w:pPr>
                  <w:r>
                    <w:rPr>
                      <w:rFonts w:hint="eastAsia"/>
                      <w:color w:val="auto"/>
                      <w:kern w:val="0"/>
                      <w:sz w:val="22"/>
                      <w:szCs w:val="22"/>
                      <w:highlight w:val="none"/>
                    </w:rPr>
                    <w:t>技改后全厂</w:t>
                  </w:r>
                </w:p>
              </w:tc>
              <w:tc>
                <w:tcPr>
                  <w:tcW w:w="2661" w:type="dxa"/>
                  <w:vAlign w:val="center"/>
                </w:tcPr>
                <w:p w14:paraId="1A6CD413">
                  <w:pPr>
                    <w:snapToGrid w:val="0"/>
                    <w:jc w:val="center"/>
                    <w:rPr>
                      <w:color w:val="auto"/>
                      <w:kern w:val="0"/>
                      <w:sz w:val="22"/>
                      <w:szCs w:val="22"/>
                      <w:highlight w:val="none"/>
                    </w:rPr>
                  </w:pPr>
                  <w:r>
                    <w:rPr>
                      <w:rFonts w:hint="eastAsia"/>
                      <w:color w:val="auto"/>
                      <w:kern w:val="0"/>
                      <w:sz w:val="22"/>
                      <w:szCs w:val="22"/>
                      <w:highlight w:val="none"/>
                    </w:rPr>
                    <w:t>变化情况</w:t>
                  </w:r>
                </w:p>
              </w:tc>
            </w:tr>
            <w:tr w14:paraId="3452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207" w:type="dxa"/>
                  <w:vAlign w:val="center"/>
                </w:tcPr>
                <w:p w14:paraId="23B22FC3">
                  <w:pPr>
                    <w:snapToGrid w:val="0"/>
                    <w:jc w:val="center"/>
                    <w:rPr>
                      <w:rFonts w:hint="eastAsia" w:eastAsia="宋体"/>
                      <w:color w:val="auto"/>
                      <w:kern w:val="0"/>
                      <w:sz w:val="22"/>
                      <w:szCs w:val="22"/>
                      <w:highlight w:val="none"/>
                      <w:lang w:eastAsia="zh-CN"/>
                    </w:rPr>
                  </w:pPr>
                  <w:r>
                    <w:rPr>
                      <w:rFonts w:hint="eastAsia"/>
                      <w:color w:val="auto"/>
                      <w:kern w:val="0"/>
                      <w:sz w:val="22"/>
                      <w:szCs w:val="22"/>
                      <w:highlight w:val="none"/>
                    </w:rPr>
                    <w:t>废气</w:t>
                  </w:r>
                  <w:r>
                    <w:rPr>
                      <w:rFonts w:hint="eastAsia"/>
                      <w:color w:val="auto"/>
                      <w:kern w:val="0"/>
                      <w:sz w:val="22"/>
                      <w:szCs w:val="22"/>
                      <w:highlight w:val="none"/>
                      <w:lang w:eastAsia="zh-CN"/>
                    </w:rPr>
                    <w:t>（有组织）</w:t>
                  </w:r>
                </w:p>
              </w:tc>
              <w:tc>
                <w:tcPr>
                  <w:tcW w:w="958" w:type="dxa"/>
                  <w:shd w:val="clear" w:color="auto" w:fill="auto"/>
                  <w:vAlign w:val="center"/>
                </w:tcPr>
                <w:p w14:paraId="7027133A">
                  <w:pPr>
                    <w:snapToGrid w:val="0"/>
                    <w:jc w:val="center"/>
                    <w:rPr>
                      <w:rFonts w:ascii="Times New Roman" w:hAnsi="Times New Roman" w:eastAsia="宋体" w:cs="Times New Roman"/>
                      <w:color w:val="auto"/>
                      <w:kern w:val="0"/>
                      <w:sz w:val="22"/>
                      <w:szCs w:val="22"/>
                      <w:highlight w:val="none"/>
                      <w:lang w:val="en-US" w:eastAsia="zh-CN" w:bidi="ar-SA"/>
                    </w:rPr>
                  </w:pPr>
                  <w:r>
                    <w:rPr>
                      <w:rFonts w:hint="eastAsia"/>
                      <w:color w:val="auto"/>
                      <w:kern w:val="0"/>
                      <w:sz w:val="22"/>
                      <w:szCs w:val="22"/>
                      <w:highlight w:val="none"/>
                    </w:rPr>
                    <w:t>颗粒物</w:t>
                  </w:r>
                </w:p>
              </w:tc>
              <w:tc>
                <w:tcPr>
                  <w:tcW w:w="1446" w:type="dxa"/>
                  <w:shd w:val="clear" w:color="auto" w:fill="auto"/>
                  <w:vAlign w:val="center"/>
                </w:tcPr>
                <w:p w14:paraId="55751261">
                  <w:pPr>
                    <w:snapToGrid w:val="0"/>
                    <w:jc w:val="center"/>
                    <w:rPr>
                      <w:rFonts w:hint="default" w:ascii="Times New Roman" w:hAnsi="Times New Roman" w:eastAsia="宋体" w:cs="Times New Roman"/>
                      <w:color w:val="auto"/>
                      <w:kern w:val="0"/>
                      <w:sz w:val="22"/>
                      <w:szCs w:val="22"/>
                      <w:highlight w:val="none"/>
                      <w:lang w:val="en-US" w:eastAsia="zh-CN" w:bidi="ar-SA"/>
                    </w:rPr>
                  </w:pPr>
                  <w:r>
                    <w:rPr>
                      <w:rFonts w:hint="eastAsia"/>
                      <w:color w:val="auto"/>
                      <w:kern w:val="0"/>
                      <w:sz w:val="22"/>
                      <w:szCs w:val="22"/>
                      <w:highlight w:val="none"/>
                      <w:lang w:val="en-US" w:eastAsia="zh-CN"/>
                    </w:rPr>
                    <w:t>0.06</w:t>
                  </w:r>
                </w:p>
              </w:tc>
              <w:tc>
                <w:tcPr>
                  <w:tcW w:w="1692" w:type="dxa"/>
                  <w:shd w:val="clear" w:color="auto" w:fill="auto"/>
                  <w:vAlign w:val="center"/>
                </w:tcPr>
                <w:p w14:paraId="7FB4478F">
                  <w:pPr>
                    <w:snapToGrid w:val="0"/>
                    <w:jc w:val="center"/>
                    <w:rPr>
                      <w:rFonts w:hint="default" w:ascii="Times New Roman" w:hAnsi="Times New Roman" w:eastAsia="宋体" w:cs="Times New Roman"/>
                      <w:color w:val="auto"/>
                      <w:kern w:val="0"/>
                      <w:sz w:val="22"/>
                      <w:szCs w:val="28"/>
                      <w:highlight w:val="none"/>
                      <w:lang w:val="en-US" w:eastAsia="zh-CN" w:bidi="ar-SA"/>
                    </w:rPr>
                  </w:pPr>
                  <w:r>
                    <w:rPr>
                      <w:rFonts w:hint="eastAsia"/>
                      <w:color w:val="auto"/>
                      <w:kern w:val="0"/>
                      <w:sz w:val="22"/>
                      <w:szCs w:val="28"/>
                      <w:highlight w:val="none"/>
                      <w:lang w:val="en-US" w:eastAsia="zh-CN"/>
                    </w:rPr>
                    <w:t>0.01</w:t>
                  </w:r>
                </w:p>
              </w:tc>
              <w:tc>
                <w:tcPr>
                  <w:tcW w:w="2661" w:type="dxa"/>
                  <w:shd w:val="clear" w:color="auto" w:fill="auto"/>
                  <w:vAlign w:val="center"/>
                </w:tcPr>
                <w:p w14:paraId="55CA2A49">
                  <w:pPr>
                    <w:snapToGrid w:val="0"/>
                    <w:jc w:val="center"/>
                    <w:rPr>
                      <w:rFonts w:hint="default" w:ascii="Times New Roman" w:hAnsi="Times New Roman" w:eastAsia="宋体" w:cs="Times New Roman"/>
                      <w:color w:val="auto"/>
                      <w:kern w:val="0"/>
                      <w:sz w:val="22"/>
                      <w:szCs w:val="28"/>
                      <w:highlight w:val="none"/>
                      <w:lang w:val="en-US" w:eastAsia="zh-CN" w:bidi="ar-SA"/>
                    </w:rPr>
                  </w:pPr>
                  <w:r>
                    <w:rPr>
                      <w:rFonts w:hint="eastAsia"/>
                      <w:color w:val="auto"/>
                      <w:kern w:val="0"/>
                      <w:sz w:val="22"/>
                      <w:szCs w:val="28"/>
                      <w:highlight w:val="none"/>
                      <w:lang w:val="en-US" w:eastAsia="zh-CN"/>
                    </w:rPr>
                    <w:t>-0.05</w:t>
                  </w:r>
                </w:p>
              </w:tc>
            </w:tr>
            <w:tr w14:paraId="0692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restart"/>
                  <w:vAlign w:val="center"/>
                </w:tcPr>
                <w:p w14:paraId="2943801B">
                  <w:pPr>
                    <w:snapToGrid w:val="0"/>
                    <w:jc w:val="center"/>
                    <w:rPr>
                      <w:color w:val="auto"/>
                      <w:kern w:val="0"/>
                      <w:sz w:val="22"/>
                      <w:szCs w:val="22"/>
                      <w:highlight w:val="none"/>
                    </w:rPr>
                  </w:pPr>
                  <w:r>
                    <w:rPr>
                      <w:rFonts w:hint="eastAsia"/>
                      <w:color w:val="auto"/>
                      <w:kern w:val="0"/>
                      <w:sz w:val="22"/>
                      <w:szCs w:val="22"/>
                      <w:highlight w:val="none"/>
                    </w:rPr>
                    <w:t>废水</w:t>
                  </w:r>
                </w:p>
              </w:tc>
              <w:tc>
                <w:tcPr>
                  <w:tcW w:w="958" w:type="dxa"/>
                  <w:vAlign w:val="center"/>
                </w:tcPr>
                <w:p w14:paraId="10375969">
                  <w:pPr>
                    <w:snapToGrid w:val="0"/>
                    <w:jc w:val="center"/>
                    <w:rPr>
                      <w:color w:val="auto"/>
                      <w:kern w:val="0"/>
                      <w:sz w:val="22"/>
                      <w:szCs w:val="22"/>
                      <w:highlight w:val="none"/>
                    </w:rPr>
                  </w:pPr>
                  <w:r>
                    <w:rPr>
                      <w:rFonts w:hint="eastAsia"/>
                      <w:color w:val="auto"/>
                      <w:kern w:val="0"/>
                      <w:sz w:val="22"/>
                      <w:szCs w:val="22"/>
                      <w:highlight w:val="none"/>
                    </w:rPr>
                    <w:t>COD</w:t>
                  </w:r>
                </w:p>
              </w:tc>
              <w:tc>
                <w:tcPr>
                  <w:tcW w:w="1446" w:type="dxa"/>
                  <w:vAlign w:val="center"/>
                </w:tcPr>
                <w:p w14:paraId="40E41928">
                  <w:pPr>
                    <w:snapToGrid w:val="0"/>
                    <w:jc w:val="center"/>
                    <w:rPr>
                      <w:color w:val="auto"/>
                      <w:kern w:val="0"/>
                      <w:sz w:val="22"/>
                      <w:szCs w:val="22"/>
                      <w:highlight w:val="none"/>
                    </w:rPr>
                  </w:pPr>
                  <w:r>
                    <w:rPr>
                      <w:rFonts w:hint="eastAsia"/>
                      <w:color w:val="auto"/>
                      <w:kern w:val="0"/>
                      <w:sz w:val="22"/>
                      <w:szCs w:val="22"/>
                      <w:highlight w:val="none"/>
                      <w:lang w:val="en-US" w:eastAsia="zh-CN"/>
                    </w:rPr>
                    <w:t>2.711</w:t>
                  </w:r>
                  <w:r>
                    <w:rPr>
                      <w:rFonts w:hint="eastAsia"/>
                      <w:color w:val="auto"/>
                      <w:kern w:val="0"/>
                      <w:sz w:val="22"/>
                      <w:szCs w:val="22"/>
                      <w:highlight w:val="none"/>
                      <w:lang w:eastAsia="zh-CN"/>
                    </w:rPr>
                    <w:t>（</w:t>
                  </w:r>
                  <w:r>
                    <w:rPr>
                      <w:rFonts w:hint="eastAsia"/>
                      <w:color w:val="auto"/>
                      <w:kern w:val="0"/>
                      <w:sz w:val="22"/>
                      <w:szCs w:val="22"/>
                      <w:highlight w:val="none"/>
                      <w:lang w:val="en-US" w:eastAsia="zh-CN"/>
                    </w:rPr>
                    <w:t>0.271</w:t>
                  </w:r>
                  <w:r>
                    <w:rPr>
                      <w:rFonts w:hint="eastAsia"/>
                      <w:color w:val="auto"/>
                      <w:kern w:val="0"/>
                      <w:sz w:val="22"/>
                      <w:szCs w:val="22"/>
                      <w:highlight w:val="none"/>
                      <w:lang w:eastAsia="zh-CN"/>
                    </w:rPr>
                    <w:t>）</w:t>
                  </w:r>
                </w:p>
              </w:tc>
              <w:tc>
                <w:tcPr>
                  <w:tcW w:w="1692" w:type="dxa"/>
                  <w:vAlign w:val="center"/>
                </w:tcPr>
                <w:p w14:paraId="0CD93FB3">
                  <w:pPr>
                    <w:snapToGrid w:val="0"/>
                    <w:jc w:val="center"/>
                    <w:rPr>
                      <w:rFonts w:hint="default" w:eastAsia="宋体"/>
                      <w:color w:val="auto"/>
                      <w:kern w:val="0"/>
                      <w:sz w:val="22"/>
                      <w:szCs w:val="22"/>
                      <w:highlight w:val="none"/>
                      <w:lang w:val="en-US" w:eastAsia="zh-CN"/>
                    </w:rPr>
                  </w:pPr>
                  <w:r>
                    <w:rPr>
                      <w:rFonts w:hint="eastAsia"/>
                      <w:color w:val="auto"/>
                      <w:kern w:val="0"/>
                      <w:sz w:val="22"/>
                      <w:szCs w:val="22"/>
                      <w:highlight w:val="none"/>
                      <w:lang w:val="en-US" w:eastAsia="zh-CN"/>
                    </w:rPr>
                    <w:t>0.836（0.086）</w:t>
                  </w:r>
                </w:p>
              </w:tc>
              <w:tc>
                <w:tcPr>
                  <w:tcW w:w="2661" w:type="dxa"/>
                  <w:vAlign w:val="center"/>
                </w:tcPr>
                <w:p w14:paraId="5C4117D8">
                  <w:pPr>
                    <w:snapToGrid w:val="0"/>
                    <w:jc w:val="center"/>
                    <w:rPr>
                      <w:rFonts w:hint="default" w:eastAsia="宋体"/>
                      <w:color w:val="auto"/>
                      <w:kern w:val="0"/>
                      <w:sz w:val="22"/>
                      <w:szCs w:val="22"/>
                      <w:highlight w:val="none"/>
                      <w:lang w:val="en-US" w:eastAsia="zh-CN"/>
                    </w:rPr>
                  </w:pPr>
                  <w:r>
                    <w:rPr>
                      <w:rFonts w:hint="eastAsia"/>
                      <w:color w:val="auto"/>
                      <w:kern w:val="0"/>
                      <w:sz w:val="22"/>
                      <w:szCs w:val="22"/>
                      <w:highlight w:val="none"/>
                      <w:lang w:val="en-US" w:eastAsia="zh-CN"/>
                    </w:rPr>
                    <w:t>-1.875（-0.185）</w:t>
                  </w:r>
                </w:p>
              </w:tc>
            </w:tr>
            <w:tr w14:paraId="37D46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continue"/>
                  <w:vAlign w:val="center"/>
                </w:tcPr>
                <w:p w14:paraId="4390AFC0">
                  <w:pPr>
                    <w:snapToGrid w:val="0"/>
                    <w:jc w:val="center"/>
                    <w:rPr>
                      <w:color w:val="auto"/>
                      <w:kern w:val="0"/>
                      <w:sz w:val="22"/>
                      <w:szCs w:val="22"/>
                      <w:highlight w:val="none"/>
                    </w:rPr>
                  </w:pPr>
                </w:p>
              </w:tc>
              <w:tc>
                <w:tcPr>
                  <w:tcW w:w="958" w:type="dxa"/>
                  <w:vAlign w:val="center"/>
                </w:tcPr>
                <w:p w14:paraId="43C4EB7A">
                  <w:pPr>
                    <w:snapToGrid w:val="0"/>
                    <w:jc w:val="center"/>
                    <w:rPr>
                      <w:color w:val="auto"/>
                      <w:kern w:val="0"/>
                      <w:sz w:val="22"/>
                      <w:szCs w:val="22"/>
                      <w:highlight w:val="none"/>
                    </w:rPr>
                  </w:pPr>
                  <w:r>
                    <w:rPr>
                      <w:rFonts w:hint="eastAsia"/>
                      <w:color w:val="auto"/>
                      <w:kern w:val="0"/>
                      <w:sz w:val="22"/>
                      <w:szCs w:val="22"/>
                      <w:highlight w:val="none"/>
                    </w:rPr>
                    <w:t>NH</w:t>
                  </w:r>
                  <w:r>
                    <w:rPr>
                      <w:color w:val="auto"/>
                      <w:kern w:val="0"/>
                      <w:sz w:val="22"/>
                      <w:szCs w:val="22"/>
                      <w:highlight w:val="none"/>
                      <w:vertAlign w:val="subscript"/>
                    </w:rPr>
                    <w:t>3</w:t>
                  </w:r>
                  <w:r>
                    <w:rPr>
                      <w:color w:val="auto"/>
                      <w:kern w:val="0"/>
                      <w:sz w:val="22"/>
                      <w:szCs w:val="22"/>
                      <w:highlight w:val="none"/>
                    </w:rPr>
                    <w:t>-</w:t>
                  </w:r>
                  <w:r>
                    <w:rPr>
                      <w:rFonts w:hint="eastAsia"/>
                      <w:color w:val="auto"/>
                      <w:kern w:val="0"/>
                      <w:sz w:val="22"/>
                      <w:szCs w:val="22"/>
                      <w:highlight w:val="none"/>
                    </w:rPr>
                    <w:t>N</w:t>
                  </w:r>
                </w:p>
              </w:tc>
              <w:tc>
                <w:tcPr>
                  <w:tcW w:w="1446" w:type="dxa"/>
                  <w:vAlign w:val="center"/>
                </w:tcPr>
                <w:p w14:paraId="390034C0">
                  <w:pPr>
                    <w:snapToGrid w:val="0"/>
                    <w:jc w:val="center"/>
                    <w:rPr>
                      <w:color w:val="auto"/>
                      <w:kern w:val="0"/>
                      <w:sz w:val="22"/>
                      <w:szCs w:val="22"/>
                      <w:highlight w:val="none"/>
                    </w:rPr>
                  </w:pPr>
                  <w:r>
                    <w:rPr>
                      <w:rFonts w:hint="eastAsia"/>
                      <w:color w:val="auto"/>
                      <w:kern w:val="0"/>
                      <w:sz w:val="22"/>
                      <w:szCs w:val="22"/>
                      <w:highlight w:val="none"/>
                      <w:lang w:val="en-US" w:eastAsia="zh-CN"/>
                    </w:rPr>
                    <w:t>0.244</w:t>
                  </w:r>
                  <w:r>
                    <w:rPr>
                      <w:rFonts w:hint="eastAsia"/>
                      <w:color w:val="auto"/>
                      <w:kern w:val="0"/>
                      <w:sz w:val="22"/>
                      <w:szCs w:val="22"/>
                      <w:highlight w:val="none"/>
                      <w:lang w:eastAsia="zh-CN"/>
                    </w:rPr>
                    <w:t>（</w:t>
                  </w:r>
                  <w:r>
                    <w:rPr>
                      <w:rFonts w:hint="eastAsia"/>
                      <w:color w:val="auto"/>
                      <w:kern w:val="0"/>
                      <w:sz w:val="22"/>
                      <w:szCs w:val="22"/>
                      <w:highlight w:val="none"/>
                      <w:lang w:val="en-US" w:eastAsia="zh-CN"/>
                    </w:rPr>
                    <w:t>0.027</w:t>
                  </w:r>
                  <w:r>
                    <w:rPr>
                      <w:rFonts w:hint="eastAsia"/>
                      <w:color w:val="auto"/>
                      <w:kern w:val="0"/>
                      <w:sz w:val="22"/>
                      <w:szCs w:val="22"/>
                      <w:highlight w:val="none"/>
                      <w:lang w:eastAsia="zh-CN"/>
                    </w:rPr>
                    <w:t>）</w:t>
                  </w:r>
                </w:p>
              </w:tc>
              <w:tc>
                <w:tcPr>
                  <w:tcW w:w="1692" w:type="dxa"/>
                  <w:vAlign w:val="center"/>
                </w:tcPr>
                <w:p w14:paraId="42541892">
                  <w:pPr>
                    <w:snapToGrid w:val="0"/>
                    <w:jc w:val="center"/>
                    <w:rPr>
                      <w:rFonts w:hint="default" w:eastAsia="宋体"/>
                      <w:color w:val="auto"/>
                      <w:kern w:val="0"/>
                      <w:sz w:val="22"/>
                      <w:szCs w:val="22"/>
                      <w:highlight w:val="none"/>
                      <w:lang w:val="en-US" w:eastAsia="zh-CN"/>
                    </w:rPr>
                  </w:pPr>
                  <w:r>
                    <w:rPr>
                      <w:rFonts w:hint="eastAsia"/>
                      <w:color w:val="auto"/>
                      <w:kern w:val="0"/>
                      <w:sz w:val="22"/>
                      <w:szCs w:val="22"/>
                      <w:highlight w:val="none"/>
                      <w:lang w:val="en-US" w:eastAsia="zh-CN"/>
                    </w:rPr>
                    <w:t>0.073（0.008）</w:t>
                  </w:r>
                </w:p>
              </w:tc>
              <w:tc>
                <w:tcPr>
                  <w:tcW w:w="2661" w:type="dxa"/>
                  <w:vAlign w:val="center"/>
                </w:tcPr>
                <w:p w14:paraId="19B2BAB8">
                  <w:pPr>
                    <w:snapToGrid w:val="0"/>
                    <w:jc w:val="center"/>
                    <w:rPr>
                      <w:rFonts w:hint="default" w:eastAsia="宋体"/>
                      <w:color w:val="auto"/>
                      <w:kern w:val="0"/>
                      <w:sz w:val="22"/>
                      <w:szCs w:val="22"/>
                      <w:highlight w:val="none"/>
                      <w:lang w:val="en-US" w:eastAsia="zh-CN"/>
                    </w:rPr>
                  </w:pPr>
                  <w:r>
                    <w:rPr>
                      <w:rFonts w:hint="eastAsia"/>
                      <w:color w:val="auto"/>
                      <w:kern w:val="0"/>
                      <w:sz w:val="22"/>
                      <w:szCs w:val="22"/>
                      <w:highlight w:val="none"/>
                      <w:lang w:val="en-US" w:eastAsia="zh-CN"/>
                    </w:rPr>
                    <w:t>-0.171（-0.019）</w:t>
                  </w:r>
                </w:p>
              </w:tc>
            </w:tr>
            <w:tr w14:paraId="0C9A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4" w:type="dxa"/>
                  <w:gridSpan w:val="5"/>
                  <w:vAlign w:val="center"/>
                </w:tcPr>
                <w:p w14:paraId="314B1704">
                  <w:pPr>
                    <w:snapToGrid w:val="0"/>
                    <w:rPr>
                      <w:rFonts w:hint="eastAsia" w:eastAsia="宋体"/>
                      <w:color w:val="auto"/>
                      <w:kern w:val="0"/>
                      <w:sz w:val="22"/>
                      <w:szCs w:val="22"/>
                      <w:highlight w:val="none"/>
                      <w:lang w:val="en-US" w:eastAsia="zh-CN"/>
                    </w:rPr>
                  </w:pPr>
                  <w:r>
                    <w:rPr>
                      <w:rFonts w:hint="eastAsia"/>
                      <w:color w:val="auto"/>
                      <w:kern w:val="0"/>
                      <w:sz w:val="22"/>
                      <w:szCs w:val="22"/>
                      <w:highlight w:val="none"/>
                    </w:rPr>
                    <w:t>注：废水污染物括号外为排入市政管网、括号内为排入外环境的总量。</w:t>
                  </w:r>
                </w:p>
              </w:tc>
            </w:tr>
          </w:tbl>
          <w:p w14:paraId="2BB86575">
            <w:pPr>
              <w:adjustRightInd w:val="0"/>
              <w:snapToGrid w:val="0"/>
              <w:rPr>
                <w:color w:val="auto"/>
                <w:kern w:val="0"/>
                <w:sz w:val="26"/>
                <w:szCs w:val="26"/>
                <w:highlight w:val="none"/>
              </w:rPr>
            </w:pPr>
          </w:p>
        </w:tc>
      </w:tr>
    </w:tbl>
    <w:p w14:paraId="716023AE">
      <w:pPr>
        <w:pStyle w:val="15"/>
        <w:jc w:val="center"/>
        <w:outlineLvl w:val="0"/>
        <w:rPr>
          <w:rFonts w:ascii="黑体" w:hAnsi="黑体" w:eastAsia="黑体"/>
          <w:snapToGrid w:val="0"/>
          <w:color w:val="auto"/>
          <w:sz w:val="30"/>
          <w:szCs w:val="30"/>
          <w:highlight w:val="none"/>
        </w:rPr>
      </w:pPr>
      <w:r>
        <w:rPr>
          <w:rFonts w:ascii="黑体" w:hAnsi="黑体" w:eastAsia="黑体"/>
          <w:snapToGrid w:val="0"/>
          <w:color w:val="auto"/>
          <w:sz w:val="36"/>
          <w:szCs w:val="36"/>
          <w:highlight w:val="none"/>
        </w:rPr>
        <w:br w:type="page"/>
      </w:r>
      <w:r>
        <w:rPr>
          <w:rFonts w:hint="eastAsia" w:ascii="黑体" w:hAnsi="黑体" w:eastAsia="黑体"/>
          <w:snapToGrid w:val="0"/>
          <w:color w:val="auto"/>
          <w:sz w:val="30"/>
          <w:szCs w:val="30"/>
          <w:highlight w:val="none"/>
        </w:rPr>
        <w:t>四、主要环境影响和保护措施</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14:paraId="09606E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8" w:hRule="atLeast"/>
          <w:jc w:val="center"/>
        </w:trPr>
        <w:tc>
          <w:tcPr>
            <w:tcW w:w="746" w:type="dxa"/>
            <w:tcMar>
              <w:left w:w="28" w:type="dxa"/>
              <w:right w:w="28" w:type="dxa"/>
            </w:tcMar>
            <w:vAlign w:val="center"/>
          </w:tcPr>
          <w:p w14:paraId="25019135">
            <w:pPr>
              <w:pStyle w:val="15"/>
              <w:adjustRightInd w:val="0"/>
              <w:snapToGrid w:val="0"/>
              <w:spacing w:before="0" w:beforeAutospacing="0" w:after="0" w:afterAutospacing="0"/>
              <w:jc w:val="center"/>
              <w:rPr>
                <w:rFonts w:cs="宋体"/>
                <w:color w:val="auto"/>
                <w:kern w:val="2"/>
                <w:sz w:val="26"/>
                <w:szCs w:val="26"/>
                <w:highlight w:val="none"/>
              </w:rPr>
            </w:pPr>
            <w:r>
              <w:rPr>
                <w:rFonts w:hint="eastAsia" w:cs="宋体"/>
                <w:color w:val="auto"/>
                <w:kern w:val="2"/>
                <w:sz w:val="26"/>
                <w:szCs w:val="26"/>
                <w:highlight w:val="none"/>
              </w:rPr>
              <w:t>施工</w:t>
            </w:r>
          </w:p>
          <w:p w14:paraId="6C51B261">
            <w:pPr>
              <w:pStyle w:val="15"/>
              <w:adjustRightInd w:val="0"/>
              <w:snapToGrid w:val="0"/>
              <w:spacing w:before="0" w:beforeAutospacing="0" w:after="0" w:afterAutospacing="0"/>
              <w:jc w:val="center"/>
              <w:rPr>
                <w:rFonts w:cs="宋体"/>
                <w:color w:val="auto"/>
                <w:kern w:val="2"/>
                <w:sz w:val="26"/>
                <w:szCs w:val="26"/>
                <w:highlight w:val="none"/>
              </w:rPr>
            </w:pPr>
            <w:r>
              <w:rPr>
                <w:rFonts w:hint="eastAsia" w:cs="宋体"/>
                <w:color w:val="auto"/>
                <w:kern w:val="2"/>
                <w:sz w:val="26"/>
                <w:szCs w:val="26"/>
                <w:highlight w:val="none"/>
              </w:rPr>
              <w:t>期环</w:t>
            </w:r>
          </w:p>
          <w:p w14:paraId="3FF5ADE5">
            <w:pPr>
              <w:pStyle w:val="15"/>
              <w:adjustRightInd w:val="0"/>
              <w:snapToGrid w:val="0"/>
              <w:spacing w:before="0" w:beforeAutospacing="0" w:after="0" w:afterAutospacing="0"/>
              <w:jc w:val="center"/>
              <w:rPr>
                <w:rFonts w:cs="宋体"/>
                <w:color w:val="auto"/>
                <w:kern w:val="2"/>
                <w:sz w:val="26"/>
                <w:szCs w:val="26"/>
                <w:highlight w:val="none"/>
              </w:rPr>
            </w:pPr>
            <w:r>
              <w:rPr>
                <w:rFonts w:hint="eastAsia" w:cs="宋体"/>
                <w:color w:val="auto"/>
                <w:kern w:val="2"/>
                <w:sz w:val="26"/>
                <w:szCs w:val="26"/>
                <w:highlight w:val="none"/>
              </w:rPr>
              <w:t>境保</w:t>
            </w:r>
          </w:p>
          <w:p w14:paraId="355556B2">
            <w:pPr>
              <w:pStyle w:val="15"/>
              <w:adjustRightInd w:val="0"/>
              <w:snapToGrid w:val="0"/>
              <w:spacing w:before="0" w:beforeAutospacing="0" w:after="0" w:afterAutospacing="0"/>
              <w:jc w:val="center"/>
              <w:rPr>
                <w:rFonts w:cs="宋体"/>
                <w:color w:val="auto"/>
                <w:kern w:val="2"/>
                <w:sz w:val="26"/>
                <w:szCs w:val="26"/>
                <w:highlight w:val="none"/>
              </w:rPr>
            </w:pPr>
            <w:r>
              <w:rPr>
                <w:rFonts w:hint="eastAsia" w:cs="宋体"/>
                <w:color w:val="auto"/>
                <w:kern w:val="2"/>
                <w:sz w:val="26"/>
                <w:szCs w:val="26"/>
                <w:highlight w:val="none"/>
              </w:rPr>
              <w:t>护措</w:t>
            </w:r>
          </w:p>
          <w:p w14:paraId="42BE2893">
            <w:pPr>
              <w:pStyle w:val="15"/>
              <w:adjustRightInd w:val="0"/>
              <w:snapToGrid w:val="0"/>
              <w:spacing w:before="0" w:beforeAutospacing="0" w:after="0" w:afterAutospacing="0"/>
              <w:jc w:val="center"/>
              <w:rPr>
                <w:rFonts w:cs="宋体"/>
                <w:bCs/>
                <w:color w:val="auto"/>
                <w:kern w:val="2"/>
                <w:sz w:val="21"/>
                <w:szCs w:val="21"/>
                <w:highlight w:val="none"/>
              </w:rPr>
            </w:pPr>
            <w:r>
              <w:rPr>
                <w:rFonts w:hint="eastAsia" w:cs="宋体"/>
                <w:color w:val="auto"/>
                <w:kern w:val="2"/>
                <w:sz w:val="26"/>
                <w:szCs w:val="26"/>
                <w:highlight w:val="none"/>
              </w:rPr>
              <w:t>施</w:t>
            </w:r>
          </w:p>
        </w:tc>
        <w:tc>
          <w:tcPr>
            <w:tcW w:w="8162" w:type="dxa"/>
          </w:tcPr>
          <w:p w14:paraId="1C306318">
            <w:pPr>
              <w:adjustRightInd w:val="0"/>
              <w:snapToGrid w:val="0"/>
              <w:spacing w:line="480" w:lineRule="exact"/>
              <w:ind w:firstLine="522" w:firstLineChars="200"/>
              <w:rPr>
                <w:b/>
                <w:bCs/>
                <w:color w:val="auto"/>
                <w:kern w:val="0"/>
                <w:sz w:val="26"/>
                <w:szCs w:val="26"/>
                <w:highlight w:val="none"/>
              </w:rPr>
            </w:pPr>
            <w:r>
              <w:rPr>
                <w:b/>
                <w:bCs/>
                <w:color w:val="auto"/>
                <w:kern w:val="0"/>
                <w:sz w:val="26"/>
                <w:szCs w:val="26"/>
                <w:highlight w:val="none"/>
              </w:rPr>
              <w:t>4.1  施工期环境保护措施</w:t>
            </w:r>
          </w:p>
          <w:p w14:paraId="633F05D4">
            <w:pPr>
              <w:adjustRightInd w:val="0"/>
              <w:snapToGrid w:val="0"/>
              <w:spacing w:line="480" w:lineRule="exact"/>
              <w:ind w:firstLine="520" w:firstLineChars="200"/>
              <w:rPr>
                <w:color w:val="auto"/>
                <w:sz w:val="26"/>
                <w:szCs w:val="26"/>
                <w:highlight w:val="none"/>
              </w:rPr>
            </w:pPr>
            <w:r>
              <w:rPr>
                <w:color w:val="auto"/>
                <w:sz w:val="26"/>
                <w:szCs w:val="26"/>
                <w:highlight w:val="none"/>
              </w:rPr>
              <w:t>本项目租赁厂房进行生产，</w:t>
            </w:r>
            <w:r>
              <w:rPr>
                <w:rFonts w:hint="eastAsia"/>
                <w:color w:val="auto"/>
                <w:sz w:val="26"/>
                <w:szCs w:val="26"/>
                <w:highlight w:val="none"/>
              </w:rPr>
              <w:t>不涉及基础开挖及土建工程，主要是对</w:t>
            </w:r>
            <w:r>
              <w:rPr>
                <w:color w:val="auto"/>
                <w:sz w:val="26"/>
                <w:szCs w:val="26"/>
                <w:highlight w:val="none"/>
              </w:rPr>
              <w:t>旧设备</w:t>
            </w:r>
            <w:r>
              <w:rPr>
                <w:rFonts w:hint="eastAsia"/>
                <w:color w:val="auto"/>
                <w:sz w:val="26"/>
                <w:szCs w:val="26"/>
                <w:highlight w:val="none"/>
              </w:rPr>
              <w:t>进行</w:t>
            </w:r>
            <w:r>
              <w:rPr>
                <w:color w:val="auto"/>
                <w:sz w:val="26"/>
                <w:szCs w:val="26"/>
                <w:highlight w:val="none"/>
              </w:rPr>
              <w:t>拆除、改造</w:t>
            </w:r>
            <w:r>
              <w:rPr>
                <w:rFonts w:hint="eastAsia"/>
                <w:color w:val="auto"/>
                <w:sz w:val="26"/>
                <w:szCs w:val="26"/>
                <w:highlight w:val="none"/>
              </w:rPr>
              <w:t>，并安装</w:t>
            </w:r>
            <w:r>
              <w:rPr>
                <w:color w:val="auto"/>
                <w:sz w:val="26"/>
                <w:szCs w:val="26"/>
                <w:highlight w:val="none"/>
              </w:rPr>
              <w:t>新设备</w:t>
            </w:r>
            <w:r>
              <w:rPr>
                <w:rFonts w:hint="eastAsia"/>
                <w:color w:val="auto"/>
                <w:sz w:val="26"/>
                <w:szCs w:val="26"/>
                <w:highlight w:val="none"/>
              </w:rPr>
              <w:t>，工程量较小，且</w:t>
            </w:r>
            <w:r>
              <w:rPr>
                <w:color w:val="auto"/>
                <w:sz w:val="26"/>
                <w:szCs w:val="26"/>
                <w:highlight w:val="none"/>
              </w:rPr>
              <w:t>施工期影响为短暂影响，将随着施工期的结束而结束</w:t>
            </w:r>
            <w:r>
              <w:rPr>
                <w:rFonts w:hint="eastAsia"/>
                <w:color w:val="auto"/>
                <w:sz w:val="26"/>
                <w:szCs w:val="26"/>
                <w:highlight w:val="none"/>
              </w:rPr>
              <w:t>，故本次评价</w:t>
            </w:r>
            <w:r>
              <w:rPr>
                <w:color w:val="auto"/>
                <w:sz w:val="26"/>
                <w:szCs w:val="26"/>
                <w:highlight w:val="none"/>
              </w:rPr>
              <w:t>仅进行简单分析。</w:t>
            </w:r>
          </w:p>
          <w:p w14:paraId="1653843C">
            <w:pPr>
              <w:adjustRightInd w:val="0"/>
              <w:snapToGrid w:val="0"/>
              <w:spacing w:line="480" w:lineRule="exact"/>
              <w:ind w:firstLine="522" w:firstLineChars="200"/>
              <w:rPr>
                <w:b/>
                <w:bCs/>
                <w:color w:val="auto"/>
                <w:kern w:val="0"/>
                <w:sz w:val="26"/>
                <w:szCs w:val="26"/>
                <w:highlight w:val="none"/>
              </w:rPr>
            </w:pPr>
            <w:r>
              <w:rPr>
                <w:b/>
                <w:bCs/>
                <w:color w:val="auto"/>
                <w:kern w:val="0"/>
                <w:sz w:val="26"/>
                <w:szCs w:val="26"/>
                <w:highlight w:val="none"/>
              </w:rPr>
              <w:t>4.1.1 废水污染防治措施</w:t>
            </w:r>
          </w:p>
          <w:p w14:paraId="338E9072">
            <w:pPr>
              <w:adjustRightInd w:val="0"/>
              <w:snapToGrid w:val="0"/>
              <w:spacing w:line="480" w:lineRule="exact"/>
              <w:ind w:firstLine="520" w:firstLineChars="200"/>
              <w:rPr>
                <w:color w:val="auto"/>
                <w:sz w:val="26"/>
                <w:szCs w:val="26"/>
                <w:highlight w:val="none"/>
              </w:rPr>
            </w:pPr>
            <w:r>
              <w:rPr>
                <w:rFonts w:hint="eastAsia"/>
                <w:color w:val="auto"/>
                <w:sz w:val="26"/>
                <w:szCs w:val="26"/>
                <w:highlight w:val="none"/>
              </w:rPr>
              <w:t>项目施工期仅产生生活污水，因施工人员少，施工工期短，最多10名施工人员，且不在厂内食宿，施工期产生的生活污水量很少，产生的生活污水依托厂区内现有设施解决，经生化池处理后</w:t>
            </w:r>
            <w:r>
              <w:rPr>
                <w:rFonts w:hint="eastAsia"/>
                <w:color w:val="auto"/>
                <w:sz w:val="26"/>
                <w:szCs w:val="26"/>
                <w:highlight w:val="none"/>
                <w:lang w:eastAsia="zh-CN"/>
              </w:rPr>
              <w:t>排入</w:t>
            </w:r>
            <w:r>
              <w:rPr>
                <w:rFonts w:hint="eastAsia"/>
                <w:color w:val="auto"/>
                <w:sz w:val="26"/>
                <w:szCs w:val="26"/>
                <w:highlight w:val="none"/>
              </w:rPr>
              <w:t>市政管网进入银翔污水处理厂进一步处理达《城镇污水处理厂污染物排放标准》（GB18918-2002）一级A标准后排入柏水溪，对地表水环境影响较小。</w:t>
            </w:r>
          </w:p>
          <w:p w14:paraId="5B05C5D0">
            <w:pPr>
              <w:adjustRightInd w:val="0"/>
              <w:snapToGrid w:val="0"/>
              <w:spacing w:line="480" w:lineRule="exact"/>
              <w:ind w:firstLine="522" w:firstLineChars="200"/>
              <w:rPr>
                <w:b/>
                <w:bCs/>
                <w:color w:val="auto"/>
                <w:sz w:val="26"/>
                <w:szCs w:val="26"/>
                <w:highlight w:val="none"/>
              </w:rPr>
            </w:pPr>
            <w:r>
              <w:rPr>
                <w:rFonts w:hint="eastAsia"/>
                <w:b/>
                <w:bCs/>
                <w:color w:val="auto"/>
                <w:sz w:val="26"/>
                <w:szCs w:val="26"/>
                <w:highlight w:val="none"/>
              </w:rPr>
              <w:t>4.1.2废气污染防治措施</w:t>
            </w:r>
          </w:p>
          <w:p w14:paraId="297AC34D">
            <w:pPr>
              <w:adjustRightInd w:val="0"/>
              <w:snapToGrid w:val="0"/>
              <w:spacing w:line="480" w:lineRule="exact"/>
              <w:ind w:firstLine="520" w:firstLineChars="200"/>
              <w:rPr>
                <w:color w:val="auto"/>
                <w:sz w:val="26"/>
                <w:szCs w:val="26"/>
                <w:highlight w:val="none"/>
              </w:rPr>
            </w:pPr>
            <w:r>
              <w:rPr>
                <w:rFonts w:hint="eastAsia"/>
                <w:color w:val="auto"/>
                <w:sz w:val="26"/>
                <w:szCs w:val="26"/>
                <w:highlight w:val="none"/>
              </w:rPr>
              <w:t>施工期废气主要是旧设备拆除、改造及新设备安装过程产生的粉尘，由于主要在室内施工，且工期较短，工程量小，通过洒水降尘等措施可有效降低施工期扬尘对周边环境的影响。</w:t>
            </w:r>
          </w:p>
          <w:p w14:paraId="0E95140B">
            <w:pPr>
              <w:adjustRightInd w:val="0"/>
              <w:snapToGrid w:val="0"/>
              <w:spacing w:line="480" w:lineRule="exact"/>
              <w:ind w:firstLine="482" w:firstLineChars="200"/>
              <w:rPr>
                <w:b/>
                <w:bCs/>
                <w:color w:val="auto"/>
                <w:spacing w:val="-10"/>
                <w:sz w:val="26"/>
                <w:szCs w:val="26"/>
                <w:highlight w:val="none"/>
              </w:rPr>
            </w:pPr>
            <w:r>
              <w:rPr>
                <w:b/>
                <w:bCs/>
                <w:color w:val="auto"/>
                <w:spacing w:val="-10"/>
                <w:sz w:val="26"/>
                <w:szCs w:val="26"/>
                <w:highlight w:val="none"/>
              </w:rPr>
              <w:t>4.1.3 噪声污染防治措施</w:t>
            </w:r>
          </w:p>
          <w:p w14:paraId="39B5E647">
            <w:pPr>
              <w:adjustRightInd w:val="0"/>
              <w:snapToGrid w:val="0"/>
              <w:spacing w:line="480" w:lineRule="exact"/>
              <w:ind w:firstLine="480" w:firstLineChars="200"/>
              <w:rPr>
                <w:bCs/>
                <w:color w:val="auto"/>
                <w:spacing w:val="-10"/>
                <w:sz w:val="26"/>
                <w:szCs w:val="26"/>
                <w:highlight w:val="none"/>
              </w:rPr>
            </w:pPr>
            <w:r>
              <w:rPr>
                <w:color w:val="auto"/>
                <w:spacing w:val="-10"/>
                <w:sz w:val="26"/>
                <w:szCs w:val="26"/>
                <w:highlight w:val="none"/>
              </w:rPr>
              <w:t>根据《重庆市噪声污染防治办法》（渝府令〔2023〕363号）相关规定，拟采取如下措施：①施工单位施工期间合理布局高噪声设备。②合理安排施工作业时间，禁止夜间施工。③车辆的运输应合理规划运输线路，尽量避开学校、医院等环境敏感点路段。或者居民敏感点较少的线路运输，运输车辆在运输经过城区道路时禁止鸣笛，控制车速。同时，运输时段应避开居民出行高峰及休息时段。</w:t>
            </w:r>
            <w:r>
              <w:rPr>
                <w:rFonts w:hint="eastAsia"/>
                <w:color w:val="auto"/>
                <w:spacing w:val="-10"/>
                <w:sz w:val="26"/>
                <w:szCs w:val="26"/>
                <w:highlight w:val="none"/>
              </w:rPr>
              <w:t>采取以上措施后</w:t>
            </w:r>
            <w:r>
              <w:rPr>
                <w:rFonts w:hint="eastAsia"/>
                <w:color w:val="auto"/>
                <w:sz w:val="26"/>
                <w:szCs w:val="26"/>
                <w:highlight w:val="none"/>
              </w:rPr>
              <w:t>施工期噪声对声环境影响不大。</w:t>
            </w:r>
          </w:p>
          <w:p w14:paraId="524BC76B">
            <w:pPr>
              <w:adjustRightInd w:val="0"/>
              <w:snapToGrid w:val="0"/>
              <w:spacing w:line="480" w:lineRule="exact"/>
              <w:ind w:firstLine="482" w:firstLineChars="200"/>
              <w:rPr>
                <w:b/>
                <w:bCs/>
                <w:color w:val="auto"/>
                <w:spacing w:val="-10"/>
                <w:sz w:val="26"/>
                <w:szCs w:val="26"/>
                <w:highlight w:val="none"/>
              </w:rPr>
            </w:pPr>
            <w:r>
              <w:rPr>
                <w:rFonts w:hint="eastAsia"/>
                <w:b/>
                <w:bCs/>
                <w:color w:val="auto"/>
                <w:spacing w:val="-10"/>
                <w:sz w:val="26"/>
                <w:szCs w:val="26"/>
                <w:highlight w:val="none"/>
              </w:rPr>
              <w:t>4.1.4固体废弃物</w:t>
            </w:r>
          </w:p>
          <w:p w14:paraId="2629A500">
            <w:pPr>
              <w:adjustRightInd w:val="0"/>
              <w:snapToGrid w:val="0"/>
              <w:spacing w:line="480" w:lineRule="exact"/>
              <w:ind w:firstLine="480" w:firstLineChars="200"/>
              <w:rPr>
                <w:color w:val="auto"/>
                <w:spacing w:val="-10"/>
                <w:sz w:val="26"/>
                <w:szCs w:val="26"/>
                <w:highlight w:val="none"/>
              </w:rPr>
            </w:pPr>
            <w:r>
              <w:rPr>
                <w:rFonts w:hint="eastAsia"/>
                <w:color w:val="auto"/>
                <w:spacing w:val="-10"/>
                <w:sz w:val="26"/>
                <w:szCs w:val="26"/>
                <w:highlight w:val="none"/>
              </w:rPr>
              <w:t>施工期产生的装修垃圾均由施工方清运至市政部门指定的地点处置；施工人员生活垃圾交由环卫部门统一处置；一般工业固废可交由再生资源单位回收。</w:t>
            </w:r>
          </w:p>
          <w:p w14:paraId="7C3E59DF">
            <w:pPr>
              <w:adjustRightInd w:val="0"/>
              <w:snapToGrid w:val="0"/>
              <w:spacing w:line="480" w:lineRule="exact"/>
              <w:ind w:firstLine="480" w:firstLineChars="200"/>
              <w:rPr>
                <w:color w:val="auto"/>
                <w:spacing w:val="-10"/>
                <w:sz w:val="26"/>
                <w:szCs w:val="26"/>
                <w:highlight w:val="none"/>
              </w:rPr>
            </w:pPr>
            <w:r>
              <w:rPr>
                <w:rFonts w:hint="eastAsia"/>
                <w:color w:val="auto"/>
                <w:spacing w:val="-10"/>
                <w:sz w:val="26"/>
                <w:szCs w:val="26"/>
                <w:highlight w:val="none"/>
              </w:rPr>
              <w:t>旧设备设施拆除时应规范各类设施拆除流程、安全处置遗留固体废物，并按照相关规定采取相应的土壤污染防治措施。对设备内残留的液压油、润滑油等进行排查；针对存在油污</w:t>
            </w:r>
            <w:r>
              <w:rPr>
                <w:rFonts w:hint="eastAsia"/>
                <w:color w:val="auto"/>
                <w:spacing w:val="-10"/>
                <w:sz w:val="26"/>
                <w:szCs w:val="26"/>
                <w:highlight w:val="none"/>
                <w:lang w:eastAsia="zh-CN"/>
              </w:rPr>
              <w:t>泄漏风险</w:t>
            </w:r>
            <w:r>
              <w:rPr>
                <w:rFonts w:hint="eastAsia"/>
                <w:color w:val="auto"/>
                <w:spacing w:val="-10"/>
                <w:sz w:val="26"/>
                <w:szCs w:val="26"/>
                <w:highlight w:val="none"/>
              </w:rPr>
              <w:t>的设备拆除时应配备防泄漏器材（如吸附棉、托盘或防渗膜、围堰等），明确污染物拦截、收集流程，防止油污渗漏；对含油部件进行密闭收集，禁止直接冲淋或露天堆放。拆除设备产生的废油、沾染废油的部件等危险废物交由有资质交由有危废资质单位处置。</w:t>
            </w:r>
          </w:p>
          <w:p w14:paraId="7F649195">
            <w:pPr>
              <w:adjustRightInd w:val="0"/>
              <w:snapToGrid w:val="0"/>
              <w:spacing w:line="480" w:lineRule="exact"/>
              <w:ind w:firstLine="480" w:firstLineChars="200"/>
              <w:rPr>
                <w:color w:val="auto"/>
                <w:spacing w:val="-10"/>
                <w:sz w:val="26"/>
                <w:szCs w:val="26"/>
                <w:highlight w:val="none"/>
              </w:rPr>
            </w:pPr>
            <w:r>
              <w:rPr>
                <w:rFonts w:hint="eastAsia"/>
                <w:color w:val="auto"/>
                <w:spacing w:val="-10"/>
                <w:sz w:val="26"/>
                <w:szCs w:val="26"/>
                <w:highlight w:val="none"/>
              </w:rPr>
              <w:t>采取以上措施后，施工期固废可得到妥善处置，不会造成二次污染。</w:t>
            </w:r>
          </w:p>
          <w:p w14:paraId="6A5EDD82">
            <w:pPr>
              <w:adjustRightInd w:val="0"/>
              <w:snapToGrid w:val="0"/>
              <w:spacing w:line="480" w:lineRule="exact"/>
              <w:ind w:firstLine="480" w:firstLineChars="200"/>
              <w:rPr>
                <w:color w:val="auto"/>
                <w:spacing w:val="-10"/>
                <w:sz w:val="26"/>
                <w:szCs w:val="26"/>
                <w:highlight w:val="none"/>
              </w:rPr>
            </w:pPr>
          </w:p>
          <w:p w14:paraId="1486F3DF">
            <w:pPr>
              <w:adjustRightInd w:val="0"/>
              <w:snapToGrid w:val="0"/>
              <w:spacing w:line="480" w:lineRule="exact"/>
              <w:ind w:firstLine="480" w:firstLineChars="200"/>
              <w:rPr>
                <w:color w:val="auto"/>
                <w:spacing w:val="-10"/>
                <w:sz w:val="26"/>
                <w:szCs w:val="26"/>
                <w:highlight w:val="none"/>
              </w:rPr>
            </w:pPr>
          </w:p>
          <w:p w14:paraId="1BB4A50B">
            <w:pPr>
              <w:adjustRightInd w:val="0"/>
              <w:snapToGrid w:val="0"/>
              <w:spacing w:line="480" w:lineRule="exact"/>
              <w:ind w:firstLine="480" w:firstLineChars="200"/>
              <w:rPr>
                <w:color w:val="auto"/>
                <w:spacing w:val="-10"/>
                <w:sz w:val="26"/>
                <w:szCs w:val="26"/>
                <w:highlight w:val="none"/>
              </w:rPr>
            </w:pPr>
          </w:p>
          <w:p w14:paraId="085AE5CE">
            <w:pPr>
              <w:adjustRightInd w:val="0"/>
              <w:snapToGrid w:val="0"/>
              <w:spacing w:line="480" w:lineRule="exact"/>
              <w:ind w:firstLine="480" w:firstLineChars="200"/>
              <w:rPr>
                <w:color w:val="auto"/>
                <w:spacing w:val="-10"/>
                <w:sz w:val="26"/>
                <w:szCs w:val="26"/>
                <w:highlight w:val="none"/>
              </w:rPr>
            </w:pPr>
          </w:p>
          <w:p w14:paraId="7019E45E">
            <w:pPr>
              <w:adjustRightInd w:val="0"/>
              <w:snapToGrid w:val="0"/>
              <w:spacing w:line="480" w:lineRule="exact"/>
              <w:ind w:firstLine="480" w:firstLineChars="200"/>
              <w:rPr>
                <w:color w:val="auto"/>
                <w:spacing w:val="-10"/>
                <w:sz w:val="26"/>
                <w:szCs w:val="26"/>
                <w:highlight w:val="none"/>
              </w:rPr>
            </w:pPr>
          </w:p>
          <w:p w14:paraId="211DB225">
            <w:pPr>
              <w:adjustRightInd w:val="0"/>
              <w:snapToGrid w:val="0"/>
              <w:spacing w:line="480" w:lineRule="exact"/>
              <w:ind w:firstLine="480" w:firstLineChars="200"/>
              <w:rPr>
                <w:color w:val="auto"/>
                <w:spacing w:val="-10"/>
                <w:sz w:val="26"/>
                <w:szCs w:val="26"/>
                <w:highlight w:val="none"/>
              </w:rPr>
            </w:pPr>
          </w:p>
          <w:p w14:paraId="42C484E8">
            <w:pPr>
              <w:adjustRightInd w:val="0"/>
              <w:snapToGrid w:val="0"/>
              <w:spacing w:line="480" w:lineRule="exact"/>
              <w:ind w:firstLine="480" w:firstLineChars="200"/>
              <w:rPr>
                <w:color w:val="auto"/>
                <w:spacing w:val="-10"/>
                <w:sz w:val="26"/>
                <w:szCs w:val="26"/>
                <w:highlight w:val="none"/>
              </w:rPr>
            </w:pPr>
          </w:p>
          <w:p w14:paraId="35268152">
            <w:pPr>
              <w:adjustRightInd w:val="0"/>
              <w:snapToGrid w:val="0"/>
              <w:spacing w:line="480" w:lineRule="exact"/>
              <w:ind w:firstLine="480" w:firstLineChars="200"/>
              <w:rPr>
                <w:color w:val="auto"/>
                <w:spacing w:val="-10"/>
                <w:sz w:val="26"/>
                <w:szCs w:val="26"/>
                <w:highlight w:val="none"/>
              </w:rPr>
            </w:pPr>
          </w:p>
          <w:p w14:paraId="4E3B7C30">
            <w:pPr>
              <w:adjustRightInd w:val="0"/>
              <w:snapToGrid w:val="0"/>
              <w:spacing w:line="480" w:lineRule="exact"/>
              <w:ind w:firstLine="480" w:firstLineChars="200"/>
              <w:rPr>
                <w:color w:val="auto"/>
                <w:spacing w:val="-10"/>
                <w:sz w:val="26"/>
                <w:szCs w:val="26"/>
                <w:highlight w:val="none"/>
              </w:rPr>
            </w:pPr>
          </w:p>
          <w:p w14:paraId="2B8CCA0F">
            <w:pPr>
              <w:adjustRightInd w:val="0"/>
              <w:snapToGrid w:val="0"/>
              <w:spacing w:line="480" w:lineRule="exact"/>
              <w:ind w:firstLine="480" w:firstLineChars="200"/>
              <w:rPr>
                <w:color w:val="auto"/>
                <w:spacing w:val="-10"/>
                <w:sz w:val="26"/>
                <w:szCs w:val="26"/>
                <w:highlight w:val="none"/>
              </w:rPr>
            </w:pPr>
          </w:p>
          <w:p w14:paraId="3B0524A0">
            <w:pPr>
              <w:adjustRightInd w:val="0"/>
              <w:snapToGrid w:val="0"/>
              <w:spacing w:line="480" w:lineRule="exact"/>
              <w:ind w:firstLine="480" w:firstLineChars="200"/>
              <w:rPr>
                <w:color w:val="auto"/>
                <w:spacing w:val="-10"/>
                <w:sz w:val="26"/>
                <w:szCs w:val="26"/>
                <w:highlight w:val="none"/>
              </w:rPr>
            </w:pPr>
          </w:p>
          <w:p w14:paraId="05F54FEC">
            <w:pPr>
              <w:adjustRightInd w:val="0"/>
              <w:snapToGrid w:val="0"/>
              <w:spacing w:line="480" w:lineRule="exact"/>
              <w:ind w:firstLine="480" w:firstLineChars="200"/>
              <w:rPr>
                <w:color w:val="auto"/>
                <w:spacing w:val="-10"/>
                <w:sz w:val="26"/>
                <w:szCs w:val="26"/>
                <w:highlight w:val="none"/>
              </w:rPr>
            </w:pPr>
          </w:p>
          <w:p w14:paraId="6F9F2779">
            <w:pPr>
              <w:adjustRightInd w:val="0"/>
              <w:snapToGrid w:val="0"/>
              <w:spacing w:line="480" w:lineRule="exact"/>
              <w:ind w:firstLine="480" w:firstLineChars="200"/>
              <w:rPr>
                <w:color w:val="auto"/>
                <w:spacing w:val="-10"/>
                <w:sz w:val="26"/>
                <w:szCs w:val="26"/>
                <w:highlight w:val="none"/>
              </w:rPr>
            </w:pPr>
          </w:p>
          <w:p w14:paraId="38A0A0C4">
            <w:pPr>
              <w:adjustRightInd w:val="0"/>
              <w:snapToGrid w:val="0"/>
              <w:spacing w:line="480" w:lineRule="exact"/>
              <w:ind w:firstLine="480" w:firstLineChars="200"/>
              <w:rPr>
                <w:color w:val="auto"/>
                <w:spacing w:val="-10"/>
                <w:sz w:val="26"/>
                <w:szCs w:val="26"/>
                <w:highlight w:val="none"/>
              </w:rPr>
            </w:pPr>
          </w:p>
          <w:p w14:paraId="61E1AE89">
            <w:pPr>
              <w:adjustRightInd w:val="0"/>
              <w:snapToGrid w:val="0"/>
              <w:spacing w:line="480" w:lineRule="exact"/>
              <w:ind w:firstLine="480" w:firstLineChars="200"/>
              <w:rPr>
                <w:color w:val="auto"/>
                <w:spacing w:val="-10"/>
                <w:sz w:val="26"/>
                <w:szCs w:val="26"/>
                <w:highlight w:val="none"/>
              </w:rPr>
            </w:pPr>
          </w:p>
          <w:p w14:paraId="3BA34376">
            <w:pPr>
              <w:adjustRightInd w:val="0"/>
              <w:snapToGrid w:val="0"/>
              <w:spacing w:line="480" w:lineRule="exact"/>
              <w:ind w:firstLine="520" w:firstLineChars="200"/>
              <w:rPr>
                <w:color w:val="auto"/>
                <w:sz w:val="26"/>
                <w:szCs w:val="26"/>
                <w:highlight w:val="none"/>
              </w:rPr>
            </w:pPr>
          </w:p>
        </w:tc>
      </w:tr>
    </w:tbl>
    <w:p w14:paraId="3648691E">
      <w:pPr>
        <w:adjustRightInd w:val="0"/>
        <w:snapToGrid w:val="0"/>
        <w:jc w:val="center"/>
        <w:rPr>
          <w:rFonts w:ascii="宋体" w:hAnsi="宋体" w:cs="宋体"/>
          <w:bCs/>
          <w:color w:val="auto"/>
          <w:szCs w:val="21"/>
          <w:highlight w:val="none"/>
        </w:rPr>
        <w:sectPr>
          <w:pgSz w:w="11907" w:h="16840"/>
          <w:pgMar w:top="1701" w:right="1531" w:bottom="2127" w:left="1531" w:header="851" w:footer="851" w:gutter="0"/>
          <w:cols w:space="720" w:num="1"/>
          <w:docGrid w:linePitch="312" w:charSpace="0"/>
        </w:sectPr>
      </w:pP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2047"/>
      </w:tblGrid>
      <w:tr w14:paraId="54F434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30" w:hRule="atLeast"/>
          <w:jc w:val="center"/>
        </w:trPr>
        <w:tc>
          <w:tcPr>
            <w:tcW w:w="746" w:type="dxa"/>
            <w:tcMar>
              <w:left w:w="28" w:type="dxa"/>
              <w:right w:w="28" w:type="dxa"/>
            </w:tcMar>
            <w:vAlign w:val="center"/>
          </w:tcPr>
          <w:p w14:paraId="00B15E1C">
            <w:pPr>
              <w:widowControl/>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运营</w:t>
            </w:r>
          </w:p>
          <w:p w14:paraId="457555D4">
            <w:pPr>
              <w:widowControl/>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期环</w:t>
            </w:r>
          </w:p>
          <w:p w14:paraId="7F5FA2C7">
            <w:pPr>
              <w:widowControl/>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境影</w:t>
            </w:r>
          </w:p>
          <w:p w14:paraId="5D01BD67">
            <w:pPr>
              <w:widowControl/>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响和</w:t>
            </w:r>
          </w:p>
          <w:p w14:paraId="086FE68D">
            <w:pPr>
              <w:widowControl/>
              <w:adjustRightInd w:val="0"/>
              <w:snapToGrid w:val="0"/>
              <w:jc w:val="center"/>
              <w:rPr>
                <w:rFonts w:ascii="宋体" w:hAnsi="宋体" w:cs="宋体"/>
                <w:color w:val="auto"/>
                <w:sz w:val="26"/>
                <w:szCs w:val="26"/>
                <w:highlight w:val="none"/>
              </w:rPr>
            </w:pPr>
            <w:r>
              <w:rPr>
                <w:rFonts w:hint="eastAsia" w:ascii="宋体" w:hAnsi="宋体" w:cs="宋体"/>
                <w:color w:val="auto"/>
                <w:sz w:val="26"/>
                <w:szCs w:val="26"/>
                <w:highlight w:val="none"/>
              </w:rPr>
              <w:t>保护</w:t>
            </w:r>
          </w:p>
          <w:p w14:paraId="22ADFB1E">
            <w:pPr>
              <w:widowControl/>
              <w:adjustRightInd w:val="0"/>
              <w:snapToGrid w:val="0"/>
              <w:jc w:val="center"/>
              <w:rPr>
                <w:rFonts w:ascii="宋体" w:hAnsi="宋体" w:cs="宋体"/>
                <w:bCs/>
                <w:color w:val="auto"/>
                <w:szCs w:val="21"/>
                <w:highlight w:val="none"/>
              </w:rPr>
            </w:pPr>
            <w:r>
              <w:rPr>
                <w:rFonts w:hint="eastAsia" w:ascii="宋体" w:hAnsi="宋体" w:cs="宋体"/>
                <w:color w:val="auto"/>
                <w:sz w:val="26"/>
                <w:szCs w:val="26"/>
                <w:highlight w:val="none"/>
              </w:rPr>
              <w:t>措施</w:t>
            </w:r>
          </w:p>
        </w:tc>
        <w:tc>
          <w:tcPr>
            <w:tcW w:w="8162" w:type="dxa"/>
          </w:tcPr>
          <w:p w14:paraId="0A336152">
            <w:pPr>
              <w:adjustRightInd w:val="0"/>
              <w:snapToGrid w:val="0"/>
              <w:spacing w:line="480" w:lineRule="exact"/>
              <w:ind w:firstLine="522" w:firstLineChars="200"/>
              <w:rPr>
                <w:b/>
                <w:color w:val="auto"/>
                <w:kern w:val="0"/>
                <w:sz w:val="26"/>
                <w:szCs w:val="26"/>
                <w:highlight w:val="none"/>
              </w:rPr>
            </w:pPr>
            <w:r>
              <w:rPr>
                <w:rFonts w:hint="eastAsia"/>
                <w:b/>
                <w:color w:val="auto"/>
                <w:kern w:val="0"/>
                <w:sz w:val="26"/>
                <w:szCs w:val="26"/>
                <w:highlight w:val="none"/>
              </w:rPr>
              <w:t>4.2运营期环境影响和保护措施</w:t>
            </w:r>
          </w:p>
          <w:p w14:paraId="6424D3A9">
            <w:pPr>
              <w:adjustRightInd w:val="0"/>
              <w:snapToGrid w:val="0"/>
              <w:spacing w:line="480" w:lineRule="exact"/>
              <w:ind w:firstLine="522" w:firstLineChars="200"/>
              <w:rPr>
                <w:b/>
                <w:color w:val="auto"/>
                <w:kern w:val="0"/>
                <w:sz w:val="26"/>
                <w:szCs w:val="26"/>
                <w:highlight w:val="none"/>
              </w:rPr>
            </w:pPr>
            <w:r>
              <w:rPr>
                <w:b/>
                <w:color w:val="auto"/>
                <w:kern w:val="0"/>
                <w:sz w:val="26"/>
                <w:szCs w:val="26"/>
                <w:highlight w:val="none"/>
              </w:rPr>
              <w:t>4.</w:t>
            </w:r>
            <w:r>
              <w:rPr>
                <w:rFonts w:hint="eastAsia"/>
                <w:b/>
                <w:color w:val="auto"/>
                <w:kern w:val="0"/>
                <w:sz w:val="26"/>
                <w:szCs w:val="26"/>
                <w:highlight w:val="none"/>
              </w:rPr>
              <w:t>2.1</w:t>
            </w:r>
            <w:r>
              <w:rPr>
                <w:b/>
                <w:color w:val="auto"/>
                <w:kern w:val="0"/>
                <w:sz w:val="26"/>
                <w:szCs w:val="26"/>
                <w:highlight w:val="none"/>
              </w:rPr>
              <w:t xml:space="preserve"> </w:t>
            </w:r>
            <w:r>
              <w:rPr>
                <w:rFonts w:hint="eastAsia"/>
                <w:b/>
                <w:color w:val="auto"/>
                <w:kern w:val="0"/>
                <w:sz w:val="26"/>
                <w:szCs w:val="26"/>
                <w:highlight w:val="none"/>
              </w:rPr>
              <w:t>大气环境影响及废气污染防治措施</w:t>
            </w:r>
          </w:p>
          <w:p w14:paraId="2F0DC29E">
            <w:pPr>
              <w:autoSpaceDE w:val="0"/>
              <w:autoSpaceDN w:val="0"/>
              <w:adjustRightInd w:val="0"/>
              <w:snapToGrid w:val="0"/>
              <w:spacing w:line="480" w:lineRule="exact"/>
              <w:ind w:firstLine="520" w:firstLineChars="200"/>
              <w:outlineLvl w:val="1"/>
              <w:rPr>
                <w:bCs/>
                <w:color w:val="auto"/>
                <w:kern w:val="0"/>
                <w:sz w:val="26"/>
                <w:szCs w:val="26"/>
                <w:highlight w:val="none"/>
              </w:rPr>
            </w:pPr>
            <w:r>
              <w:rPr>
                <w:rFonts w:hint="eastAsia"/>
                <w:bCs/>
                <w:color w:val="auto"/>
                <w:kern w:val="0"/>
                <w:sz w:val="26"/>
                <w:szCs w:val="26"/>
                <w:highlight w:val="none"/>
              </w:rPr>
              <w:t>本项目生产过程中废气主要包括切割粉尘（G1）、打磨粉尘（G2）、焊接烟尘（G3）、打胶废气（G4）、补焊烟尘（G5）等，主要排放污染物为颗粒物及挥发性有机污染物。</w:t>
            </w:r>
          </w:p>
          <w:p w14:paraId="1575CD5E">
            <w:pPr>
              <w:autoSpaceDE w:val="0"/>
              <w:autoSpaceDN w:val="0"/>
              <w:adjustRightInd w:val="0"/>
              <w:snapToGrid w:val="0"/>
              <w:jc w:val="center"/>
              <w:outlineLvl w:val="1"/>
              <w:rPr>
                <w:bCs/>
                <w:color w:val="auto"/>
                <w:kern w:val="0"/>
                <w:sz w:val="26"/>
                <w:szCs w:val="26"/>
                <w:highlight w:val="none"/>
              </w:rPr>
            </w:pPr>
            <w:r>
              <w:rPr>
                <w:rFonts w:hint="eastAsia"/>
                <w:bCs/>
                <w:color w:val="auto"/>
                <w:kern w:val="0"/>
                <w:sz w:val="26"/>
                <w:szCs w:val="26"/>
                <w:highlight w:val="none"/>
              </w:rPr>
              <w:t>表4.2-1  本项目废气污染物排放源情况表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
              <w:gridCol w:w="355"/>
              <w:gridCol w:w="355"/>
              <w:gridCol w:w="886"/>
              <w:gridCol w:w="739"/>
              <w:gridCol w:w="355"/>
              <w:gridCol w:w="978"/>
              <w:gridCol w:w="488"/>
              <w:gridCol w:w="440"/>
              <w:gridCol w:w="600"/>
              <w:gridCol w:w="404"/>
              <w:gridCol w:w="768"/>
              <w:gridCol w:w="666"/>
              <w:gridCol w:w="881"/>
              <w:gridCol w:w="544"/>
              <w:gridCol w:w="726"/>
              <w:gridCol w:w="631"/>
              <w:gridCol w:w="625"/>
              <w:gridCol w:w="463"/>
              <w:gridCol w:w="562"/>
            </w:tblGrid>
            <w:tr w14:paraId="44389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55" w:type="dxa"/>
                  <w:vMerge w:val="restart"/>
                  <w:tcBorders>
                    <w:tl2br w:val="nil"/>
                    <w:tr2bl w:val="nil"/>
                  </w:tcBorders>
                  <w:vAlign w:val="center"/>
                </w:tcPr>
                <w:p w14:paraId="35E3CA52">
                  <w:pPr>
                    <w:widowControl/>
                    <w:jc w:val="center"/>
                    <w:textAlignment w:val="center"/>
                    <w:rPr>
                      <w:bCs/>
                      <w:color w:val="auto"/>
                      <w:sz w:val="16"/>
                      <w:szCs w:val="16"/>
                      <w:highlight w:val="none"/>
                    </w:rPr>
                  </w:pPr>
                  <w:r>
                    <w:rPr>
                      <w:rFonts w:hint="eastAsia"/>
                      <w:bCs/>
                      <w:color w:val="auto"/>
                      <w:kern w:val="0"/>
                      <w:sz w:val="16"/>
                      <w:szCs w:val="16"/>
                      <w:highlight w:val="none"/>
                      <w:lang w:bidi="ar"/>
                    </w:rPr>
                    <w:t>污染源</w:t>
                  </w:r>
                </w:p>
              </w:tc>
              <w:tc>
                <w:tcPr>
                  <w:tcW w:w="355" w:type="dxa"/>
                  <w:vMerge w:val="restart"/>
                  <w:tcBorders>
                    <w:tl2br w:val="nil"/>
                    <w:tr2bl w:val="nil"/>
                  </w:tcBorders>
                  <w:vAlign w:val="center"/>
                </w:tcPr>
                <w:p w14:paraId="68DC5D3D">
                  <w:pPr>
                    <w:widowControl/>
                    <w:jc w:val="center"/>
                    <w:textAlignment w:val="center"/>
                    <w:rPr>
                      <w:bCs/>
                      <w:color w:val="auto"/>
                      <w:sz w:val="16"/>
                      <w:szCs w:val="16"/>
                      <w:highlight w:val="none"/>
                    </w:rPr>
                  </w:pPr>
                  <w:r>
                    <w:rPr>
                      <w:rFonts w:hint="eastAsia"/>
                      <w:bCs/>
                      <w:color w:val="auto"/>
                      <w:kern w:val="0"/>
                      <w:sz w:val="16"/>
                      <w:szCs w:val="16"/>
                      <w:highlight w:val="none"/>
                      <w:lang w:bidi="ar"/>
                    </w:rPr>
                    <w:t>污染物</w:t>
                  </w:r>
                </w:p>
              </w:tc>
              <w:tc>
                <w:tcPr>
                  <w:tcW w:w="1980" w:type="dxa"/>
                  <w:gridSpan w:val="3"/>
                  <w:tcBorders>
                    <w:tl2br w:val="nil"/>
                    <w:tr2bl w:val="nil"/>
                  </w:tcBorders>
                  <w:vAlign w:val="center"/>
                </w:tcPr>
                <w:p w14:paraId="6B8D8346">
                  <w:pPr>
                    <w:widowControl/>
                    <w:jc w:val="center"/>
                    <w:textAlignment w:val="center"/>
                    <w:rPr>
                      <w:bCs/>
                      <w:color w:val="auto"/>
                      <w:sz w:val="16"/>
                      <w:szCs w:val="16"/>
                      <w:highlight w:val="none"/>
                    </w:rPr>
                  </w:pPr>
                  <w:r>
                    <w:rPr>
                      <w:rFonts w:hint="eastAsia"/>
                      <w:bCs/>
                      <w:color w:val="auto"/>
                      <w:kern w:val="0"/>
                      <w:sz w:val="16"/>
                      <w:szCs w:val="16"/>
                      <w:highlight w:val="none"/>
                      <w:lang w:bidi="ar"/>
                    </w:rPr>
                    <w:t>污染物产生</w:t>
                  </w:r>
                </w:p>
              </w:tc>
              <w:tc>
                <w:tcPr>
                  <w:tcW w:w="355" w:type="dxa"/>
                  <w:vMerge w:val="restart"/>
                  <w:tcBorders>
                    <w:tl2br w:val="nil"/>
                    <w:tr2bl w:val="nil"/>
                  </w:tcBorders>
                  <w:vAlign w:val="center"/>
                </w:tcPr>
                <w:p w14:paraId="4CB5EA42">
                  <w:pPr>
                    <w:widowControl/>
                    <w:jc w:val="center"/>
                    <w:textAlignment w:val="center"/>
                    <w:rPr>
                      <w:bCs/>
                      <w:color w:val="auto"/>
                      <w:sz w:val="16"/>
                      <w:szCs w:val="16"/>
                      <w:highlight w:val="none"/>
                    </w:rPr>
                  </w:pPr>
                  <w:r>
                    <w:rPr>
                      <w:rFonts w:hint="eastAsia"/>
                      <w:bCs/>
                      <w:color w:val="auto"/>
                      <w:kern w:val="0"/>
                      <w:sz w:val="16"/>
                      <w:szCs w:val="16"/>
                      <w:highlight w:val="none"/>
                      <w:lang w:bidi="ar"/>
                    </w:rPr>
                    <w:t>排放形式</w:t>
                  </w:r>
                </w:p>
              </w:tc>
              <w:tc>
                <w:tcPr>
                  <w:tcW w:w="2506" w:type="dxa"/>
                  <w:gridSpan w:val="4"/>
                  <w:tcBorders>
                    <w:tl2br w:val="nil"/>
                    <w:tr2bl w:val="nil"/>
                  </w:tcBorders>
                  <w:vAlign w:val="center"/>
                </w:tcPr>
                <w:p w14:paraId="01891D6C">
                  <w:pPr>
                    <w:widowControl/>
                    <w:jc w:val="center"/>
                    <w:textAlignment w:val="center"/>
                    <w:rPr>
                      <w:bCs/>
                      <w:color w:val="auto"/>
                      <w:sz w:val="16"/>
                      <w:szCs w:val="16"/>
                      <w:highlight w:val="none"/>
                    </w:rPr>
                  </w:pPr>
                  <w:r>
                    <w:rPr>
                      <w:rFonts w:hint="eastAsia"/>
                      <w:bCs/>
                      <w:color w:val="auto"/>
                      <w:kern w:val="0"/>
                      <w:sz w:val="16"/>
                      <w:szCs w:val="16"/>
                      <w:highlight w:val="none"/>
                      <w:lang w:bidi="ar"/>
                    </w:rPr>
                    <w:t>治理措施</w:t>
                  </w:r>
                </w:p>
              </w:tc>
              <w:tc>
                <w:tcPr>
                  <w:tcW w:w="4620" w:type="dxa"/>
                  <w:gridSpan w:val="7"/>
                  <w:tcBorders>
                    <w:tl2br w:val="nil"/>
                    <w:tr2bl w:val="nil"/>
                  </w:tcBorders>
                  <w:vAlign w:val="center"/>
                </w:tcPr>
                <w:p w14:paraId="5AA2C2E9">
                  <w:pPr>
                    <w:widowControl/>
                    <w:jc w:val="center"/>
                    <w:textAlignment w:val="center"/>
                    <w:rPr>
                      <w:bCs/>
                      <w:color w:val="auto"/>
                      <w:sz w:val="16"/>
                      <w:szCs w:val="16"/>
                      <w:highlight w:val="none"/>
                    </w:rPr>
                  </w:pPr>
                  <w:r>
                    <w:rPr>
                      <w:rFonts w:hint="eastAsia"/>
                      <w:bCs/>
                      <w:color w:val="auto"/>
                      <w:kern w:val="0"/>
                      <w:sz w:val="16"/>
                      <w:szCs w:val="16"/>
                      <w:highlight w:val="none"/>
                      <w:lang w:bidi="ar"/>
                    </w:rPr>
                    <w:t>污染物排放</w:t>
                  </w:r>
                </w:p>
              </w:tc>
              <w:tc>
                <w:tcPr>
                  <w:tcW w:w="1088" w:type="dxa"/>
                  <w:gridSpan w:val="2"/>
                  <w:tcBorders>
                    <w:tl2br w:val="nil"/>
                    <w:tr2bl w:val="nil"/>
                  </w:tcBorders>
                  <w:vAlign w:val="center"/>
                </w:tcPr>
                <w:p w14:paraId="2B5A7EB2">
                  <w:pPr>
                    <w:widowControl/>
                    <w:jc w:val="center"/>
                    <w:textAlignment w:val="center"/>
                    <w:rPr>
                      <w:bCs/>
                      <w:color w:val="auto"/>
                      <w:sz w:val="16"/>
                      <w:szCs w:val="16"/>
                      <w:highlight w:val="none"/>
                    </w:rPr>
                  </w:pPr>
                  <w:r>
                    <w:rPr>
                      <w:rFonts w:hint="eastAsia"/>
                      <w:bCs/>
                      <w:color w:val="auto"/>
                      <w:kern w:val="0"/>
                      <w:sz w:val="16"/>
                      <w:szCs w:val="16"/>
                      <w:highlight w:val="none"/>
                      <w:lang w:bidi="ar"/>
                    </w:rPr>
                    <w:t>排放口情况</w:t>
                  </w:r>
                </w:p>
              </w:tc>
              <w:tc>
                <w:tcPr>
                  <w:tcW w:w="562" w:type="dxa"/>
                  <w:vMerge w:val="restart"/>
                  <w:tcBorders>
                    <w:tl2br w:val="nil"/>
                    <w:tr2bl w:val="nil"/>
                  </w:tcBorders>
                  <w:vAlign w:val="center"/>
                </w:tcPr>
                <w:p w14:paraId="70512F42">
                  <w:pPr>
                    <w:widowControl/>
                    <w:jc w:val="center"/>
                    <w:textAlignment w:val="center"/>
                    <w:rPr>
                      <w:bCs/>
                      <w:color w:val="auto"/>
                      <w:sz w:val="16"/>
                      <w:szCs w:val="16"/>
                      <w:highlight w:val="none"/>
                    </w:rPr>
                  </w:pPr>
                  <w:r>
                    <w:rPr>
                      <w:rFonts w:hint="eastAsia"/>
                      <w:bCs/>
                      <w:color w:val="auto"/>
                      <w:kern w:val="0"/>
                      <w:sz w:val="16"/>
                      <w:szCs w:val="16"/>
                      <w:highlight w:val="none"/>
                      <w:lang w:bidi="ar"/>
                    </w:rPr>
                    <w:t>年排放时间</w:t>
                  </w:r>
                </w:p>
              </w:tc>
            </w:tr>
            <w:tr w14:paraId="43EE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55" w:type="dxa"/>
                  <w:vMerge w:val="continue"/>
                  <w:tcBorders>
                    <w:tl2br w:val="nil"/>
                    <w:tr2bl w:val="nil"/>
                  </w:tcBorders>
                  <w:vAlign w:val="center"/>
                </w:tcPr>
                <w:p w14:paraId="11510250">
                  <w:pPr>
                    <w:jc w:val="center"/>
                    <w:rPr>
                      <w:bCs/>
                      <w:color w:val="auto"/>
                      <w:sz w:val="16"/>
                      <w:szCs w:val="16"/>
                      <w:highlight w:val="none"/>
                    </w:rPr>
                  </w:pPr>
                </w:p>
              </w:tc>
              <w:tc>
                <w:tcPr>
                  <w:tcW w:w="355" w:type="dxa"/>
                  <w:vMerge w:val="continue"/>
                  <w:tcBorders>
                    <w:tl2br w:val="nil"/>
                    <w:tr2bl w:val="nil"/>
                  </w:tcBorders>
                  <w:vAlign w:val="center"/>
                </w:tcPr>
                <w:p w14:paraId="1D99A4E9">
                  <w:pPr>
                    <w:jc w:val="center"/>
                    <w:rPr>
                      <w:bCs/>
                      <w:color w:val="auto"/>
                      <w:sz w:val="16"/>
                      <w:szCs w:val="16"/>
                      <w:highlight w:val="none"/>
                    </w:rPr>
                  </w:pPr>
                </w:p>
              </w:tc>
              <w:tc>
                <w:tcPr>
                  <w:tcW w:w="355" w:type="dxa"/>
                  <w:vMerge w:val="restart"/>
                  <w:tcBorders>
                    <w:tl2br w:val="nil"/>
                    <w:tr2bl w:val="nil"/>
                  </w:tcBorders>
                  <w:vAlign w:val="center"/>
                </w:tcPr>
                <w:p w14:paraId="4A700579">
                  <w:pPr>
                    <w:widowControl/>
                    <w:jc w:val="center"/>
                    <w:textAlignment w:val="center"/>
                    <w:rPr>
                      <w:bCs/>
                      <w:color w:val="auto"/>
                      <w:sz w:val="16"/>
                      <w:szCs w:val="16"/>
                      <w:highlight w:val="none"/>
                    </w:rPr>
                  </w:pPr>
                  <w:r>
                    <w:rPr>
                      <w:rFonts w:hint="eastAsia"/>
                      <w:bCs/>
                      <w:color w:val="auto"/>
                      <w:kern w:val="0"/>
                      <w:sz w:val="16"/>
                      <w:szCs w:val="16"/>
                      <w:highlight w:val="none"/>
                      <w:lang w:bidi="ar"/>
                    </w:rPr>
                    <w:t>核算方法</w:t>
                  </w:r>
                </w:p>
              </w:tc>
              <w:tc>
                <w:tcPr>
                  <w:tcW w:w="886" w:type="dxa"/>
                  <w:vMerge w:val="restart"/>
                  <w:tcBorders>
                    <w:tl2br w:val="nil"/>
                    <w:tr2bl w:val="nil"/>
                  </w:tcBorders>
                  <w:vAlign w:val="center"/>
                </w:tcPr>
                <w:p w14:paraId="72BC0B1E">
                  <w:pPr>
                    <w:widowControl/>
                    <w:jc w:val="center"/>
                    <w:textAlignment w:val="center"/>
                    <w:rPr>
                      <w:bCs/>
                      <w:color w:val="auto"/>
                      <w:sz w:val="16"/>
                      <w:szCs w:val="16"/>
                      <w:highlight w:val="none"/>
                    </w:rPr>
                  </w:pPr>
                  <w:r>
                    <w:rPr>
                      <w:rFonts w:hint="eastAsia"/>
                      <w:bCs/>
                      <w:color w:val="auto"/>
                      <w:kern w:val="0"/>
                      <w:sz w:val="16"/>
                      <w:szCs w:val="16"/>
                      <w:highlight w:val="none"/>
                      <w:lang w:bidi="ar"/>
                    </w:rPr>
                    <w:t>产生浓度（mg/m³）</w:t>
                  </w:r>
                </w:p>
              </w:tc>
              <w:tc>
                <w:tcPr>
                  <w:tcW w:w="739" w:type="dxa"/>
                  <w:vMerge w:val="restart"/>
                  <w:tcBorders>
                    <w:tl2br w:val="nil"/>
                    <w:tr2bl w:val="nil"/>
                  </w:tcBorders>
                  <w:vAlign w:val="center"/>
                </w:tcPr>
                <w:p w14:paraId="2E7AF1BA">
                  <w:pPr>
                    <w:widowControl/>
                    <w:jc w:val="center"/>
                    <w:textAlignment w:val="center"/>
                    <w:rPr>
                      <w:bCs/>
                      <w:color w:val="auto"/>
                      <w:sz w:val="16"/>
                      <w:szCs w:val="16"/>
                      <w:highlight w:val="none"/>
                    </w:rPr>
                  </w:pPr>
                  <w:r>
                    <w:rPr>
                      <w:rFonts w:hint="eastAsia"/>
                      <w:bCs/>
                      <w:color w:val="auto"/>
                      <w:kern w:val="0"/>
                      <w:sz w:val="16"/>
                      <w:szCs w:val="16"/>
                      <w:highlight w:val="none"/>
                      <w:lang w:bidi="ar"/>
                    </w:rPr>
                    <w:t>产生量/（kg/h）</w:t>
                  </w:r>
                </w:p>
              </w:tc>
              <w:tc>
                <w:tcPr>
                  <w:tcW w:w="355" w:type="dxa"/>
                  <w:vMerge w:val="continue"/>
                  <w:tcBorders>
                    <w:tl2br w:val="nil"/>
                    <w:tr2bl w:val="nil"/>
                  </w:tcBorders>
                  <w:vAlign w:val="center"/>
                </w:tcPr>
                <w:p w14:paraId="624966BE">
                  <w:pPr>
                    <w:jc w:val="center"/>
                    <w:rPr>
                      <w:bCs/>
                      <w:color w:val="auto"/>
                      <w:sz w:val="16"/>
                      <w:szCs w:val="16"/>
                      <w:highlight w:val="none"/>
                    </w:rPr>
                  </w:pPr>
                </w:p>
              </w:tc>
              <w:tc>
                <w:tcPr>
                  <w:tcW w:w="978" w:type="dxa"/>
                  <w:vMerge w:val="restart"/>
                  <w:tcBorders>
                    <w:tl2br w:val="nil"/>
                    <w:tr2bl w:val="nil"/>
                  </w:tcBorders>
                  <w:vAlign w:val="center"/>
                </w:tcPr>
                <w:p w14:paraId="178AFEF7">
                  <w:pPr>
                    <w:widowControl/>
                    <w:jc w:val="center"/>
                    <w:textAlignment w:val="center"/>
                    <w:rPr>
                      <w:bCs/>
                      <w:color w:val="auto"/>
                      <w:sz w:val="16"/>
                      <w:szCs w:val="16"/>
                      <w:highlight w:val="none"/>
                    </w:rPr>
                  </w:pPr>
                  <w:r>
                    <w:rPr>
                      <w:rFonts w:hint="eastAsia"/>
                      <w:bCs/>
                      <w:color w:val="auto"/>
                      <w:kern w:val="0"/>
                      <w:sz w:val="16"/>
                      <w:szCs w:val="16"/>
                      <w:highlight w:val="none"/>
                      <w:lang w:bidi="ar"/>
                    </w:rPr>
                    <w:t>工艺</w:t>
                  </w:r>
                </w:p>
              </w:tc>
              <w:tc>
                <w:tcPr>
                  <w:tcW w:w="488" w:type="dxa"/>
                  <w:vMerge w:val="restart"/>
                  <w:tcBorders>
                    <w:tl2br w:val="nil"/>
                    <w:tr2bl w:val="nil"/>
                  </w:tcBorders>
                  <w:vAlign w:val="center"/>
                </w:tcPr>
                <w:p w14:paraId="2548FA12">
                  <w:pPr>
                    <w:widowControl/>
                    <w:jc w:val="center"/>
                    <w:textAlignment w:val="center"/>
                    <w:rPr>
                      <w:bCs/>
                      <w:color w:val="auto"/>
                      <w:sz w:val="16"/>
                      <w:szCs w:val="16"/>
                      <w:highlight w:val="none"/>
                    </w:rPr>
                  </w:pPr>
                  <w:r>
                    <w:rPr>
                      <w:rFonts w:hint="eastAsia"/>
                      <w:bCs/>
                      <w:color w:val="auto"/>
                      <w:kern w:val="0"/>
                      <w:sz w:val="16"/>
                      <w:szCs w:val="16"/>
                      <w:highlight w:val="none"/>
                      <w:lang w:bidi="ar"/>
                    </w:rPr>
                    <w:t>收集效率/%</w:t>
                  </w:r>
                </w:p>
              </w:tc>
              <w:tc>
                <w:tcPr>
                  <w:tcW w:w="440" w:type="dxa"/>
                  <w:vMerge w:val="restart"/>
                  <w:tcBorders>
                    <w:tl2br w:val="nil"/>
                    <w:tr2bl w:val="nil"/>
                  </w:tcBorders>
                  <w:vAlign w:val="center"/>
                </w:tcPr>
                <w:p w14:paraId="574A96F3">
                  <w:pPr>
                    <w:widowControl/>
                    <w:jc w:val="center"/>
                    <w:textAlignment w:val="center"/>
                    <w:rPr>
                      <w:bCs/>
                      <w:color w:val="auto"/>
                      <w:sz w:val="16"/>
                      <w:szCs w:val="16"/>
                      <w:highlight w:val="none"/>
                    </w:rPr>
                  </w:pPr>
                  <w:r>
                    <w:rPr>
                      <w:rFonts w:hint="eastAsia"/>
                      <w:bCs/>
                      <w:color w:val="auto"/>
                      <w:kern w:val="0"/>
                      <w:sz w:val="16"/>
                      <w:szCs w:val="16"/>
                      <w:highlight w:val="none"/>
                      <w:lang w:bidi="ar"/>
                    </w:rPr>
                    <w:t>去除效率/%</w:t>
                  </w:r>
                </w:p>
              </w:tc>
              <w:tc>
                <w:tcPr>
                  <w:tcW w:w="600" w:type="dxa"/>
                  <w:vMerge w:val="restart"/>
                  <w:tcBorders>
                    <w:tl2br w:val="nil"/>
                    <w:tr2bl w:val="nil"/>
                  </w:tcBorders>
                  <w:vAlign w:val="center"/>
                </w:tcPr>
                <w:p w14:paraId="2252E791">
                  <w:pPr>
                    <w:widowControl/>
                    <w:jc w:val="center"/>
                    <w:textAlignment w:val="center"/>
                    <w:rPr>
                      <w:bCs/>
                      <w:color w:val="auto"/>
                      <w:sz w:val="16"/>
                      <w:szCs w:val="16"/>
                      <w:highlight w:val="none"/>
                    </w:rPr>
                  </w:pPr>
                  <w:r>
                    <w:rPr>
                      <w:rFonts w:hint="eastAsia"/>
                      <w:bCs/>
                      <w:color w:val="auto"/>
                      <w:kern w:val="0"/>
                      <w:sz w:val="16"/>
                      <w:szCs w:val="16"/>
                      <w:highlight w:val="none"/>
                      <w:lang w:bidi="ar"/>
                    </w:rPr>
                    <w:t>是否可行技术</w:t>
                  </w:r>
                </w:p>
              </w:tc>
              <w:tc>
                <w:tcPr>
                  <w:tcW w:w="404" w:type="dxa"/>
                  <w:vMerge w:val="restart"/>
                  <w:tcBorders>
                    <w:tl2br w:val="nil"/>
                    <w:tr2bl w:val="nil"/>
                  </w:tcBorders>
                  <w:vAlign w:val="center"/>
                </w:tcPr>
                <w:p w14:paraId="14CFE10C">
                  <w:pPr>
                    <w:widowControl/>
                    <w:jc w:val="center"/>
                    <w:textAlignment w:val="center"/>
                    <w:rPr>
                      <w:bCs/>
                      <w:color w:val="auto"/>
                      <w:sz w:val="16"/>
                      <w:szCs w:val="16"/>
                      <w:highlight w:val="none"/>
                    </w:rPr>
                  </w:pPr>
                  <w:r>
                    <w:rPr>
                      <w:rFonts w:hint="eastAsia"/>
                      <w:bCs/>
                      <w:color w:val="auto"/>
                      <w:kern w:val="0"/>
                      <w:sz w:val="16"/>
                      <w:szCs w:val="16"/>
                      <w:highlight w:val="none"/>
                      <w:lang w:bidi="ar"/>
                    </w:rPr>
                    <w:t>核算方法</w:t>
                  </w:r>
                </w:p>
              </w:tc>
              <w:tc>
                <w:tcPr>
                  <w:tcW w:w="768" w:type="dxa"/>
                  <w:vMerge w:val="restart"/>
                  <w:tcBorders>
                    <w:tl2br w:val="nil"/>
                    <w:tr2bl w:val="nil"/>
                  </w:tcBorders>
                  <w:vAlign w:val="center"/>
                </w:tcPr>
                <w:p w14:paraId="514ECD1A">
                  <w:pPr>
                    <w:widowControl/>
                    <w:jc w:val="center"/>
                    <w:textAlignment w:val="center"/>
                    <w:rPr>
                      <w:bCs/>
                      <w:color w:val="auto"/>
                      <w:sz w:val="16"/>
                      <w:szCs w:val="16"/>
                      <w:highlight w:val="none"/>
                    </w:rPr>
                  </w:pPr>
                  <w:r>
                    <w:rPr>
                      <w:rFonts w:hint="eastAsia"/>
                      <w:bCs/>
                      <w:color w:val="auto"/>
                      <w:kern w:val="0"/>
                      <w:sz w:val="16"/>
                      <w:szCs w:val="16"/>
                      <w:highlight w:val="none"/>
                      <w:lang w:bidi="ar"/>
                    </w:rPr>
                    <w:t>废气排放量（m³/h）</w:t>
                  </w:r>
                </w:p>
              </w:tc>
              <w:tc>
                <w:tcPr>
                  <w:tcW w:w="666" w:type="dxa"/>
                  <w:vMerge w:val="restart"/>
                  <w:tcBorders>
                    <w:tl2br w:val="nil"/>
                    <w:tr2bl w:val="nil"/>
                  </w:tcBorders>
                  <w:vAlign w:val="center"/>
                </w:tcPr>
                <w:p w14:paraId="25B1A9FE">
                  <w:pPr>
                    <w:widowControl/>
                    <w:jc w:val="center"/>
                    <w:textAlignment w:val="center"/>
                    <w:rPr>
                      <w:bCs/>
                      <w:color w:val="auto"/>
                      <w:sz w:val="16"/>
                      <w:szCs w:val="16"/>
                      <w:highlight w:val="none"/>
                    </w:rPr>
                  </w:pPr>
                  <w:r>
                    <w:rPr>
                      <w:rFonts w:hint="eastAsia"/>
                      <w:bCs/>
                      <w:color w:val="auto"/>
                      <w:kern w:val="0"/>
                      <w:sz w:val="16"/>
                      <w:szCs w:val="16"/>
                      <w:highlight w:val="none"/>
                      <w:lang w:bidi="ar"/>
                    </w:rPr>
                    <w:t>排放浓度（mg/m³）</w:t>
                  </w:r>
                </w:p>
              </w:tc>
              <w:tc>
                <w:tcPr>
                  <w:tcW w:w="881" w:type="dxa"/>
                  <w:vMerge w:val="restart"/>
                  <w:tcBorders>
                    <w:tl2br w:val="nil"/>
                    <w:tr2bl w:val="nil"/>
                  </w:tcBorders>
                  <w:vAlign w:val="center"/>
                </w:tcPr>
                <w:p w14:paraId="290DED15">
                  <w:pPr>
                    <w:widowControl/>
                    <w:jc w:val="center"/>
                    <w:textAlignment w:val="center"/>
                    <w:rPr>
                      <w:bCs/>
                      <w:color w:val="auto"/>
                      <w:sz w:val="16"/>
                      <w:szCs w:val="16"/>
                      <w:highlight w:val="none"/>
                    </w:rPr>
                  </w:pPr>
                  <w:r>
                    <w:rPr>
                      <w:rFonts w:hint="eastAsia"/>
                      <w:bCs/>
                      <w:color w:val="auto"/>
                      <w:kern w:val="0"/>
                      <w:sz w:val="16"/>
                      <w:szCs w:val="16"/>
                      <w:highlight w:val="none"/>
                      <w:lang w:bidi="ar"/>
                    </w:rPr>
                    <w:t>排放速率（kg/h）</w:t>
                  </w:r>
                </w:p>
              </w:tc>
              <w:tc>
                <w:tcPr>
                  <w:tcW w:w="1270" w:type="dxa"/>
                  <w:gridSpan w:val="2"/>
                  <w:tcBorders>
                    <w:tl2br w:val="nil"/>
                    <w:tr2bl w:val="nil"/>
                  </w:tcBorders>
                  <w:vAlign w:val="center"/>
                </w:tcPr>
                <w:p w14:paraId="1BE51ED6">
                  <w:pPr>
                    <w:widowControl/>
                    <w:jc w:val="center"/>
                    <w:textAlignment w:val="center"/>
                    <w:rPr>
                      <w:bCs/>
                      <w:color w:val="auto"/>
                      <w:sz w:val="16"/>
                      <w:szCs w:val="16"/>
                      <w:highlight w:val="none"/>
                    </w:rPr>
                  </w:pPr>
                  <w:r>
                    <w:rPr>
                      <w:rFonts w:hint="eastAsia"/>
                      <w:bCs/>
                      <w:color w:val="auto"/>
                      <w:kern w:val="0"/>
                      <w:sz w:val="16"/>
                      <w:szCs w:val="16"/>
                      <w:highlight w:val="none"/>
                      <w:lang w:bidi="ar"/>
                    </w:rPr>
                    <w:t>排放标准</w:t>
                  </w:r>
                </w:p>
              </w:tc>
              <w:tc>
                <w:tcPr>
                  <w:tcW w:w="631" w:type="dxa"/>
                  <w:vMerge w:val="restart"/>
                  <w:tcBorders>
                    <w:tl2br w:val="nil"/>
                    <w:tr2bl w:val="nil"/>
                  </w:tcBorders>
                  <w:vAlign w:val="center"/>
                </w:tcPr>
                <w:p w14:paraId="7AFFA141">
                  <w:pPr>
                    <w:widowControl/>
                    <w:jc w:val="center"/>
                    <w:textAlignment w:val="center"/>
                    <w:rPr>
                      <w:bCs/>
                      <w:color w:val="auto"/>
                      <w:sz w:val="16"/>
                      <w:szCs w:val="16"/>
                      <w:highlight w:val="none"/>
                    </w:rPr>
                  </w:pPr>
                  <w:r>
                    <w:rPr>
                      <w:rFonts w:hint="eastAsia"/>
                      <w:bCs/>
                      <w:color w:val="auto"/>
                      <w:kern w:val="0"/>
                      <w:sz w:val="16"/>
                      <w:szCs w:val="16"/>
                      <w:highlight w:val="none"/>
                      <w:lang w:bidi="ar"/>
                    </w:rPr>
                    <w:t>排放量（t/a）</w:t>
                  </w:r>
                </w:p>
              </w:tc>
              <w:tc>
                <w:tcPr>
                  <w:tcW w:w="625" w:type="dxa"/>
                  <w:vMerge w:val="restart"/>
                  <w:tcBorders>
                    <w:tl2br w:val="nil"/>
                    <w:tr2bl w:val="nil"/>
                  </w:tcBorders>
                  <w:vAlign w:val="center"/>
                </w:tcPr>
                <w:p w14:paraId="65BD0DF1">
                  <w:pPr>
                    <w:widowControl/>
                    <w:jc w:val="center"/>
                    <w:textAlignment w:val="center"/>
                    <w:rPr>
                      <w:bCs/>
                      <w:color w:val="auto"/>
                      <w:sz w:val="16"/>
                      <w:szCs w:val="16"/>
                      <w:highlight w:val="none"/>
                    </w:rPr>
                  </w:pPr>
                  <w:r>
                    <w:rPr>
                      <w:rFonts w:hint="eastAsia"/>
                      <w:bCs/>
                      <w:color w:val="auto"/>
                      <w:kern w:val="0"/>
                      <w:sz w:val="16"/>
                      <w:szCs w:val="16"/>
                      <w:highlight w:val="none"/>
                      <w:lang w:bidi="ar"/>
                    </w:rPr>
                    <w:t>编号</w:t>
                  </w:r>
                </w:p>
              </w:tc>
              <w:tc>
                <w:tcPr>
                  <w:tcW w:w="463" w:type="dxa"/>
                  <w:vMerge w:val="restart"/>
                  <w:tcBorders>
                    <w:tl2br w:val="nil"/>
                    <w:tr2bl w:val="nil"/>
                  </w:tcBorders>
                  <w:vAlign w:val="center"/>
                </w:tcPr>
                <w:p w14:paraId="58B217F6">
                  <w:pPr>
                    <w:widowControl/>
                    <w:jc w:val="center"/>
                    <w:textAlignment w:val="center"/>
                    <w:rPr>
                      <w:bCs/>
                      <w:color w:val="auto"/>
                      <w:sz w:val="16"/>
                      <w:szCs w:val="16"/>
                      <w:highlight w:val="none"/>
                    </w:rPr>
                  </w:pPr>
                  <w:r>
                    <w:rPr>
                      <w:rFonts w:hint="eastAsia"/>
                      <w:bCs/>
                      <w:color w:val="auto"/>
                      <w:kern w:val="0"/>
                      <w:sz w:val="16"/>
                      <w:szCs w:val="16"/>
                      <w:highlight w:val="none"/>
                      <w:lang w:bidi="ar"/>
                    </w:rPr>
                    <w:t>高度</w:t>
                  </w:r>
                </w:p>
              </w:tc>
              <w:tc>
                <w:tcPr>
                  <w:tcW w:w="562" w:type="dxa"/>
                  <w:vMerge w:val="continue"/>
                  <w:tcBorders>
                    <w:tl2br w:val="nil"/>
                    <w:tr2bl w:val="nil"/>
                  </w:tcBorders>
                  <w:vAlign w:val="center"/>
                </w:tcPr>
                <w:p w14:paraId="4DC0FE91">
                  <w:pPr>
                    <w:jc w:val="center"/>
                    <w:rPr>
                      <w:bCs/>
                      <w:color w:val="auto"/>
                      <w:sz w:val="16"/>
                      <w:szCs w:val="16"/>
                      <w:highlight w:val="none"/>
                    </w:rPr>
                  </w:pPr>
                </w:p>
              </w:tc>
            </w:tr>
            <w:tr w14:paraId="7A35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55" w:type="dxa"/>
                  <w:vMerge w:val="continue"/>
                  <w:tcBorders>
                    <w:tl2br w:val="nil"/>
                    <w:tr2bl w:val="nil"/>
                  </w:tcBorders>
                  <w:vAlign w:val="center"/>
                </w:tcPr>
                <w:p w14:paraId="05B2189F">
                  <w:pPr>
                    <w:jc w:val="center"/>
                    <w:rPr>
                      <w:bCs/>
                      <w:color w:val="auto"/>
                      <w:sz w:val="16"/>
                      <w:szCs w:val="16"/>
                      <w:highlight w:val="none"/>
                    </w:rPr>
                  </w:pPr>
                </w:p>
              </w:tc>
              <w:tc>
                <w:tcPr>
                  <w:tcW w:w="355" w:type="dxa"/>
                  <w:vMerge w:val="continue"/>
                  <w:tcBorders>
                    <w:tl2br w:val="nil"/>
                    <w:tr2bl w:val="nil"/>
                  </w:tcBorders>
                  <w:vAlign w:val="center"/>
                </w:tcPr>
                <w:p w14:paraId="30CF1199">
                  <w:pPr>
                    <w:jc w:val="center"/>
                    <w:rPr>
                      <w:bCs/>
                      <w:color w:val="auto"/>
                      <w:sz w:val="16"/>
                      <w:szCs w:val="16"/>
                      <w:highlight w:val="none"/>
                    </w:rPr>
                  </w:pPr>
                </w:p>
              </w:tc>
              <w:tc>
                <w:tcPr>
                  <w:tcW w:w="355" w:type="dxa"/>
                  <w:vMerge w:val="continue"/>
                  <w:tcBorders>
                    <w:tl2br w:val="nil"/>
                    <w:tr2bl w:val="nil"/>
                  </w:tcBorders>
                  <w:vAlign w:val="center"/>
                </w:tcPr>
                <w:p w14:paraId="4B44F0B9">
                  <w:pPr>
                    <w:jc w:val="center"/>
                    <w:rPr>
                      <w:bCs/>
                      <w:color w:val="auto"/>
                      <w:sz w:val="16"/>
                      <w:szCs w:val="16"/>
                      <w:highlight w:val="none"/>
                    </w:rPr>
                  </w:pPr>
                </w:p>
              </w:tc>
              <w:tc>
                <w:tcPr>
                  <w:tcW w:w="886" w:type="dxa"/>
                  <w:vMerge w:val="continue"/>
                  <w:tcBorders>
                    <w:tl2br w:val="nil"/>
                    <w:tr2bl w:val="nil"/>
                  </w:tcBorders>
                  <w:vAlign w:val="center"/>
                </w:tcPr>
                <w:p w14:paraId="44B81761">
                  <w:pPr>
                    <w:jc w:val="center"/>
                    <w:rPr>
                      <w:bCs/>
                      <w:color w:val="auto"/>
                      <w:sz w:val="16"/>
                      <w:szCs w:val="16"/>
                      <w:highlight w:val="none"/>
                    </w:rPr>
                  </w:pPr>
                </w:p>
              </w:tc>
              <w:tc>
                <w:tcPr>
                  <w:tcW w:w="739" w:type="dxa"/>
                  <w:vMerge w:val="continue"/>
                  <w:tcBorders>
                    <w:tl2br w:val="nil"/>
                    <w:tr2bl w:val="nil"/>
                  </w:tcBorders>
                  <w:vAlign w:val="center"/>
                </w:tcPr>
                <w:p w14:paraId="615AA0AD">
                  <w:pPr>
                    <w:jc w:val="center"/>
                    <w:rPr>
                      <w:bCs/>
                      <w:color w:val="auto"/>
                      <w:sz w:val="16"/>
                      <w:szCs w:val="16"/>
                      <w:highlight w:val="none"/>
                    </w:rPr>
                  </w:pPr>
                </w:p>
              </w:tc>
              <w:tc>
                <w:tcPr>
                  <w:tcW w:w="355" w:type="dxa"/>
                  <w:vMerge w:val="continue"/>
                  <w:tcBorders>
                    <w:tl2br w:val="nil"/>
                    <w:tr2bl w:val="nil"/>
                  </w:tcBorders>
                  <w:vAlign w:val="center"/>
                </w:tcPr>
                <w:p w14:paraId="43977CE1">
                  <w:pPr>
                    <w:jc w:val="center"/>
                    <w:rPr>
                      <w:bCs/>
                      <w:color w:val="auto"/>
                      <w:sz w:val="16"/>
                      <w:szCs w:val="16"/>
                      <w:highlight w:val="none"/>
                    </w:rPr>
                  </w:pPr>
                </w:p>
              </w:tc>
              <w:tc>
                <w:tcPr>
                  <w:tcW w:w="978" w:type="dxa"/>
                  <w:vMerge w:val="continue"/>
                  <w:tcBorders>
                    <w:tl2br w:val="nil"/>
                    <w:tr2bl w:val="nil"/>
                  </w:tcBorders>
                  <w:vAlign w:val="center"/>
                </w:tcPr>
                <w:p w14:paraId="188D543E">
                  <w:pPr>
                    <w:jc w:val="center"/>
                    <w:rPr>
                      <w:bCs/>
                      <w:color w:val="auto"/>
                      <w:sz w:val="16"/>
                      <w:szCs w:val="16"/>
                      <w:highlight w:val="none"/>
                    </w:rPr>
                  </w:pPr>
                </w:p>
              </w:tc>
              <w:tc>
                <w:tcPr>
                  <w:tcW w:w="488" w:type="dxa"/>
                  <w:vMerge w:val="continue"/>
                  <w:tcBorders>
                    <w:tl2br w:val="nil"/>
                    <w:tr2bl w:val="nil"/>
                  </w:tcBorders>
                  <w:vAlign w:val="center"/>
                </w:tcPr>
                <w:p w14:paraId="4167C493">
                  <w:pPr>
                    <w:jc w:val="center"/>
                    <w:rPr>
                      <w:bCs/>
                      <w:color w:val="auto"/>
                      <w:sz w:val="16"/>
                      <w:szCs w:val="16"/>
                      <w:highlight w:val="none"/>
                    </w:rPr>
                  </w:pPr>
                </w:p>
              </w:tc>
              <w:tc>
                <w:tcPr>
                  <w:tcW w:w="440" w:type="dxa"/>
                  <w:vMerge w:val="continue"/>
                  <w:tcBorders>
                    <w:tl2br w:val="nil"/>
                    <w:tr2bl w:val="nil"/>
                  </w:tcBorders>
                  <w:vAlign w:val="center"/>
                </w:tcPr>
                <w:p w14:paraId="796BF1A3">
                  <w:pPr>
                    <w:jc w:val="center"/>
                    <w:rPr>
                      <w:bCs/>
                      <w:color w:val="auto"/>
                      <w:sz w:val="16"/>
                      <w:szCs w:val="16"/>
                      <w:highlight w:val="none"/>
                    </w:rPr>
                  </w:pPr>
                </w:p>
              </w:tc>
              <w:tc>
                <w:tcPr>
                  <w:tcW w:w="600" w:type="dxa"/>
                  <w:vMerge w:val="continue"/>
                  <w:tcBorders>
                    <w:tl2br w:val="nil"/>
                    <w:tr2bl w:val="nil"/>
                  </w:tcBorders>
                  <w:vAlign w:val="center"/>
                </w:tcPr>
                <w:p w14:paraId="46E089C9">
                  <w:pPr>
                    <w:jc w:val="center"/>
                    <w:rPr>
                      <w:bCs/>
                      <w:color w:val="auto"/>
                      <w:sz w:val="16"/>
                      <w:szCs w:val="16"/>
                      <w:highlight w:val="none"/>
                    </w:rPr>
                  </w:pPr>
                </w:p>
              </w:tc>
              <w:tc>
                <w:tcPr>
                  <w:tcW w:w="404" w:type="dxa"/>
                  <w:vMerge w:val="continue"/>
                  <w:tcBorders>
                    <w:tl2br w:val="nil"/>
                    <w:tr2bl w:val="nil"/>
                  </w:tcBorders>
                  <w:vAlign w:val="center"/>
                </w:tcPr>
                <w:p w14:paraId="365D45E1">
                  <w:pPr>
                    <w:jc w:val="center"/>
                    <w:rPr>
                      <w:bCs/>
                      <w:color w:val="auto"/>
                      <w:sz w:val="16"/>
                      <w:szCs w:val="16"/>
                      <w:highlight w:val="none"/>
                    </w:rPr>
                  </w:pPr>
                </w:p>
              </w:tc>
              <w:tc>
                <w:tcPr>
                  <w:tcW w:w="768" w:type="dxa"/>
                  <w:vMerge w:val="continue"/>
                  <w:tcBorders>
                    <w:tl2br w:val="nil"/>
                    <w:tr2bl w:val="nil"/>
                  </w:tcBorders>
                  <w:vAlign w:val="center"/>
                </w:tcPr>
                <w:p w14:paraId="4D818ABE">
                  <w:pPr>
                    <w:jc w:val="center"/>
                    <w:rPr>
                      <w:bCs/>
                      <w:color w:val="auto"/>
                      <w:sz w:val="16"/>
                      <w:szCs w:val="16"/>
                      <w:highlight w:val="none"/>
                    </w:rPr>
                  </w:pPr>
                </w:p>
              </w:tc>
              <w:tc>
                <w:tcPr>
                  <w:tcW w:w="666" w:type="dxa"/>
                  <w:vMerge w:val="continue"/>
                  <w:tcBorders>
                    <w:tl2br w:val="nil"/>
                    <w:tr2bl w:val="nil"/>
                  </w:tcBorders>
                  <w:vAlign w:val="center"/>
                </w:tcPr>
                <w:p w14:paraId="14F1A554">
                  <w:pPr>
                    <w:jc w:val="center"/>
                    <w:rPr>
                      <w:bCs/>
                      <w:color w:val="auto"/>
                      <w:sz w:val="16"/>
                      <w:szCs w:val="16"/>
                      <w:highlight w:val="none"/>
                    </w:rPr>
                  </w:pPr>
                </w:p>
              </w:tc>
              <w:tc>
                <w:tcPr>
                  <w:tcW w:w="881" w:type="dxa"/>
                  <w:vMerge w:val="continue"/>
                  <w:tcBorders>
                    <w:tl2br w:val="nil"/>
                    <w:tr2bl w:val="nil"/>
                  </w:tcBorders>
                  <w:vAlign w:val="center"/>
                </w:tcPr>
                <w:p w14:paraId="2829E10F">
                  <w:pPr>
                    <w:jc w:val="center"/>
                    <w:rPr>
                      <w:bCs/>
                      <w:color w:val="auto"/>
                      <w:sz w:val="16"/>
                      <w:szCs w:val="16"/>
                      <w:highlight w:val="none"/>
                    </w:rPr>
                  </w:pPr>
                </w:p>
              </w:tc>
              <w:tc>
                <w:tcPr>
                  <w:tcW w:w="544" w:type="dxa"/>
                  <w:tcBorders>
                    <w:tl2br w:val="nil"/>
                    <w:tr2bl w:val="nil"/>
                  </w:tcBorders>
                  <w:vAlign w:val="center"/>
                </w:tcPr>
                <w:p w14:paraId="747944BD">
                  <w:pPr>
                    <w:widowControl/>
                    <w:jc w:val="center"/>
                    <w:textAlignment w:val="center"/>
                    <w:rPr>
                      <w:bCs/>
                      <w:color w:val="auto"/>
                      <w:sz w:val="16"/>
                      <w:szCs w:val="16"/>
                      <w:highlight w:val="none"/>
                    </w:rPr>
                  </w:pPr>
                  <w:r>
                    <w:rPr>
                      <w:rFonts w:hint="eastAsia"/>
                      <w:bCs/>
                      <w:color w:val="auto"/>
                      <w:kern w:val="0"/>
                      <w:sz w:val="16"/>
                      <w:szCs w:val="16"/>
                      <w:highlight w:val="none"/>
                      <w:lang w:bidi="ar"/>
                    </w:rPr>
                    <w:t>速率（kg/h）</w:t>
                  </w:r>
                </w:p>
              </w:tc>
              <w:tc>
                <w:tcPr>
                  <w:tcW w:w="726" w:type="dxa"/>
                  <w:tcBorders>
                    <w:tl2br w:val="nil"/>
                    <w:tr2bl w:val="nil"/>
                  </w:tcBorders>
                  <w:vAlign w:val="center"/>
                </w:tcPr>
                <w:p w14:paraId="3A5D6B9E">
                  <w:pPr>
                    <w:widowControl/>
                    <w:jc w:val="center"/>
                    <w:textAlignment w:val="center"/>
                    <w:rPr>
                      <w:bCs/>
                      <w:color w:val="auto"/>
                      <w:sz w:val="16"/>
                      <w:szCs w:val="16"/>
                      <w:highlight w:val="none"/>
                    </w:rPr>
                  </w:pPr>
                  <w:r>
                    <w:rPr>
                      <w:rFonts w:hint="eastAsia"/>
                      <w:bCs/>
                      <w:color w:val="auto"/>
                      <w:kern w:val="0"/>
                      <w:sz w:val="16"/>
                      <w:szCs w:val="16"/>
                      <w:highlight w:val="none"/>
                      <w:lang w:bidi="ar"/>
                    </w:rPr>
                    <w:t>浓度（mg/m³）</w:t>
                  </w:r>
                </w:p>
              </w:tc>
              <w:tc>
                <w:tcPr>
                  <w:tcW w:w="631" w:type="dxa"/>
                  <w:vMerge w:val="continue"/>
                  <w:tcBorders>
                    <w:tl2br w:val="nil"/>
                    <w:tr2bl w:val="nil"/>
                  </w:tcBorders>
                  <w:vAlign w:val="center"/>
                </w:tcPr>
                <w:p w14:paraId="30617FD1">
                  <w:pPr>
                    <w:jc w:val="center"/>
                    <w:rPr>
                      <w:bCs/>
                      <w:color w:val="auto"/>
                      <w:sz w:val="16"/>
                      <w:szCs w:val="16"/>
                      <w:highlight w:val="none"/>
                    </w:rPr>
                  </w:pPr>
                </w:p>
              </w:tc>
              <w:tc>
                <w:tcPr>
                  <w:tcW w:w="625" w:type="dxa"/>
                  <w:vMerge w:val="continue"/>
                  <w:tcBorders>
                    <w:tl2br w:val="nil"/>
                    <w:tr2bl w:val="nil"/>
                  </w:tcBorders>
                  <w:vAlign w:val="center"/>
                </w:tcPr>
                <w:p w14:paraId="44844F88">
                  <w:pPr>
                    <w:jc w:val="center"/>
                    <w:rPr>
                      <w:bCs/>
                      <w:color w:val="auto"/>
                      <w:sz w:val="16"/>
                      <w:szCs w:val="16"/>
                      <w:highlight w:val="none"/>
                    </w:rPr>
                  </w:pPr>
                </w:p>
              </w:tc>
              <w:tc>
                <w:tcPr>
                  <w:tcW w:w="463" w:type="dxa"/>
                  <w:vMerge w:val="continue"/>
                  <w:tcBorders>
                    <w:tl2br w:val="nil"/>
                    <w:tr2bl w:val="nil"/>
                  </w:tcBorders>
                  <w:vAlign w:val="center"/>
                </w:tcPr>
                <w:p w14:paraId="72D571A0">
                  <w:pPr>
                    <w:jc w:val="center"/>
                    <w:rPr>
                      <w:bCs/>
                      <w:color w:val="auto"/>
                      <w:sz w:val="16"/>
                      <w:szCs w:val="16"/>
                      <w:highlight w:val="none"/>
                    </w:rPr>
                  </w:pPr>
                </w:p>
              </w:tc>
              <w:tc>
                <w:tcPr>
                  <w:tcW w:w="562" w:type="dxa"/>
                  <w:vMerge w:val="continue"/>
                  <w:tcBorders>
                    <w:tl2br w:val="nil"/>
                    <w:tr2bl w:val="nil"/>
                  </w:tcBorders>
                  <w:vAlign w:val="center"/>
                </w:tcPr>
                <w:p w14:paraId="1557FD94">
                  <w:pPr>
                    <w:jc w:val="center"/>
                    <w:rPr>
                      <w:bCs/>
                      <w:color w:val="auto"/>
                      <w:sz w:val="16"/>
                      <w:szCs w:val="16"/>
                      <w:highlight w:val="none"/>
                    </w:rPr>
                  </w:pPr>
                </w:p>
              </w:tc>
            </w:tr>
            <w:tr w14:paraId="008C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55" w:type="dxa"/>
                  <w:vMerge w:val="restart"/>
                  <w:tcBorders>
                    <w:tl2br w:val="nil"/>
                    <w:tr2bl w:val="nil"/>
                  </w:tcBorders>
                  <w:vAlign w:val="center"/>
                </w:tcPr>
                <w:p w14:paraId="54D7AAD8">
                  <w:pPr>
                    <w:widowControl/>
                    <w:jc w:val="center"/>
                    <w:textAlignment w:val="center"/>
                    <w:rPr>
                      <w:bCs/>
                      <w:color w:val="auto"/>
                      <w:sz w:val="16"/>
                      <w:szCs w:val="16"/>
                      <w:highlight w:val="none"/>
                    </w:rPr>
                  </w:pPr>
                  <w:r>
                    <w:rPr>
                      <w:rFonts w:hint="eastAsia"/>
                      <w:bCs/>
                      <w:color w:val="auto"/>
                      <w:sz w:val="16"/>
                      <w:szCs w:val="16"/>
                      <w:highlight w:val="none"/>
                    </w:rPr>
                    <w:t>固定式弧焊</w:t>
                  </w:r>
                </w:p>
              </w:tc>
              <w:tc>
                <w:tcPr>
                  <w:tcW w:w="355" w:type="dxa"/>
                  <w:tcBorders>
                    <w:tl2br w:val="nil"/>
                    <w:tr2bl w:val="nil"/>
                  </w:tcBorders>
                  <w:vAlign w:val="center"/>
                </w:tcPr>
                <w:p w14:paraId="69497D23">
                  <w:pPr>
                    <w:widowControl/>
                    <w:jc w:val="center"/>
                    <w:textAlignment w:val="center"/>
                    <w:rPr>
                      <w:bCs/>
                      <w:color w:val="auto"/>
                      <w:sz w:val="16"/>
                      <w:szCs w:val="16"/>
                      <w:highlight w:val="none"/>
                    </w:rPr>
                  </w:pPr>
                  <w:r>
                    <w:rPr>
                      <w:rFonts w:hint="eastAsia"/>
                      <w:bCs/>
                      <w:color w:val="auto"/>
                      <w:kern w:val="0"/>
                      <w:sz w:val="16"/>
                      <w:szCs w:val="16"/>
                      <w:highlight w:val="none"/>
                      <w:lang w:bidi="ar"/>
                    </w:rPr>
                    <w:t>颗粒物</w:t>
                  </w:r>
                </w:p>
              </w:tc>
              <w:tc>
                <w:tcPr>
                  <w:tcW w:w="355" w:type="dxa"/>
                  <w:vMerge w:val="restart"/>
                  <w:tcBorders>
                    <w:tl2br w:val="nil"/>
                    <w:tr2bl w:val="nil"/>
                  </w:tcBorders>
                  <w:vAlign w:val="center"/>
                </w:tcPr>
                <w:p w14:paraId="1A45F0F6">
                  <w:pPr>
                    <w:widowControl/>
                    <w:jc w:val="center"/>
                    <w:textAlignment w:val="center"/>
                    <w:rPr>
                      <w:bCs/>
                      <w:color w:val="auto"/>
                      <w:sz w:val="16"/>
                      <w:szCs w:val="16"/>
                      <w:highlight w:val="none"/>
                    </w:rPr>
                  </w:pPr>
                  <w:r>
                    <w:rPr>
                      <w:rFonts w:hint="eastAsia"/>
                      <w:bCs/>
                      <w:color w:val="auto"/>
                      <w:kern w:val="0"/>
                      <w:sz w:val="16"/>
                      <w:szCs w:val="16"/>
                      <w:highlight w:val="none"/>
                      <w:lang w:bidi="ar"/>
                    </w:rPr>
                    <w:t>产污系数法</w:t>
                  </w:r>
                </w:p>
              </w:tc>
              <w:tc>
                <w:tcPr>
                  <w:tcW w:w="886" w:type="dxa"/>
                  <w:tcBorders>
                    <w:tl2br w:val="nil"/>
                    <w:tr2bl w:val="nil"/>
                  </w:tcBorders>
                  <w:vAlign w:val="center"/>
                </w:tcPr>
                <w:p w14:paraId="4D8253C0">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3.38</w:t>
                  </w:r>
                </w:p>
              </w:tc>
              <w:tc>
                <w:tcPr>
                  <w:tcW w:w="739" w:type="dxa"/>
                  <w:tcBorders>
                    <w:tl2br w:val="nil"/>
                    <w:tr2bl w:val="nil"/>
                  </w:tcBorders>
                  <w:vAlign w:val="center"/>
                </w:tcPr>
                <w:p w14:paraId="2AADB3C8">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0.06</w:t>
                  </w:r>
                </w:p>
              </w:tc>
              <w:tc>
                <w:tcPr>
                  <w:tcW w:w="355" w:type="dxa"/>
                  <w:tcBorders>
                    <w:tl2br w:val="nil"/>
                    <w:tr2bl w:val="nil"/>
                  </w:tcBorders>
                  <w:vAlign w:val="center"/>
                </w:tcPr>
                <w:p w14:paraId="7E7D747E">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有组织</w:t>
                  </w:r>
                </w:p>
              </w:tc>
              <w:tc>
                <w:tcPr>
                  <w:tcW w:w="978" w:type="dxa"/>
                  <w:vMerge w:val="restart"/>
                  <w:tcBorders>
                    <w:tl2br w:val="nil"/>
                    <w:tr2bl w:val="nil"/>
                  </w:tcBorders>
                  <w:vAlign w:val="center"/>
                </w:tcPr>
                <w:p w14:paraId="0B019EDD">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弧焊间封闭+</w:t>
                  </w:r>
                  <w:r>
                    <w:rPr>
                      <w:bCs/>
                      <w:color w:val="auto"/>
                      <w:kern w:val="0"/>
                      <w:sz w:val="16"/>
                      <w:szCs w:val="16"/>
                      <w:highlight w:val="none"/>
                      <w:lang w:bidi="ar"/>
                    </w:rPr>
                    <w:t>“</w:t>
                  </w:r>
                  <w:r>
                    <w:rPr>
                      <w:rFonts w:hint="eastAsia"/>
                      <w:bCs/>
                      <w:color w:val="auto"/>
                      <w:kern w:val="0"/>
                      <w:sz w:val="16"/>
                      <w:szCs w:val="16"/>
                      <w:highlight w:val="none"/>
                      <w:lang w:bidi="ar"/>
                    </w:rPr>
                    <w:t>滤芯除尘器”+</w:t>
                  </w:r>
                  <w:r>
                    <w:rPr>
                      <w:bCs/>
                      <w:color w:val="auto"/>
                      <w:kern w:val="0"/>
                      <w:sz w:val="16"/>
                      <w:szCs w:val="16"/>
                      <w:highlight w:val="none"/>
                      <w:lang w:bidi="ar"/>
                    </w:rPr>
                    <w:t>15m</w:t>
                  </w:r>
                  <w:r>
                    <w:rPr>
                      <w:rFonts w:hint="eastAsia"/>
                      <w:bCs/>
                      <w:color w:val="auto"/>
                      <w:kern w:val="0"/>
                      <w:sz w:val="16"/>
                      <w:szCs w:val="16"/>
                      <w:highlight w:val="none"/>
                      <w:lang w:bidi="ar"/>
                    </w:rPr>
                    <w:t>高1#排气筒排放</w:t>
                  </w:r>
                </w:p>
              </w:tc>
              <w:tc>
                <w:tcPr>
                  <w:tcW w:w="488" w:type="dxa"/>
                  <w:vMerge w:val="restart"/>
                  <w:tcBorders>
                    <w:tl2br w:val="nil"/>
                    <w:tr2bl w:val="nil"/>
                  </w:tcBorders>
                  <w:vAlign w:val="center"/>
                </w:tcPr>
                <w:p w14:paraId="727EB7CF">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85</w:t>
                  </w:r>
                  <w:r>
                    <w:rPr>
                      <w:bCs/>
                      <w:color w:val="auto"/>
                      <w:kern w:val="0"/>
                      <w:sz w:val="16"/>
                      <w:szCs w:val="16"/>
                      <w:highlight w:val="none"/>
                      <w:lang w:bidi="ar"/>
                    </w:rPr>
                    <w:t>%</w:t>
                  </w:r>
                </w:p>
              </w:tc>
              <w:tc>
                <w:tcPr>
                  <w:tcW w:w="440" w:type="dxa"/>
                  <w:tcBorders>
                    <w:tl2br w:val="nil"/>
                    <w:tr2bl w:val="nil"/>
                  </w:tcBorders>
                  <w:vAlign w:val="center"/>
                </w:tcPr>
                <w:p w14:paraId="419CD795">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95</w:t>
                  </w:r>
                  <w:r>
                    <w:rPr>
                      <w:bCs/>
                      <w:color w:val="auto"/>
                      <w:kern w:val="0"/>
                      <w:sz w:val="16"/>
                      <w:szCs w:val="16"/>
                      <w:highlight w:val="none"/>
                      <w:lang w:bidi="ar"/>
                    </w:rPr>
                    <w:t>%</w:t>
                  </w:r>
                </w:p>
              </w:tc>
              <w:tc>
                <w:tcPr>
                  <w:tcW w:w="600" w:type="dxa"/>
                  <w:vMerge w:val="restart"/>
                  <w:tcBorders>
                    <w:tl2br w:val="nil"/>
                    <w:tr2bl w:val="nil"/>
                  </w:tcBorders>
                  <w:vAlign w:val="center"/>
                </w:tcPr>
                <w:p w14:paraId="7040E7B6">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是</w:t>
                  </w:r>
                </w:p>
              </w:tc>
              <w:tc>
                <w:tcPr>
                  <w:tcW w:w="404" w:type="dxa"/>
                  <w:vMerge w:val="restart"/>
                  <w:tcBorders>
                    <w:tl2br w:val="nil"/>
                    <w:tr2bl w:val="nil"/>
                  </w:tcBorders>
                  <w:vAlign w:val="center"/>
                </w:tcPr>
                <w:p w14:paraId="278BF358">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排污系数法</w:t>
                  </w:r>
                </w:p>
              </w:tc>
              <w:tc>
                <w:tcPr>
                  <w:tcW w:w="768" w:type="dxa"/>
                  <w:tcBorders>
                    <w:tl2br w:val="nil"/>
                    <w:tr2bl w:val="nil"/>
                  </w:tcBorders>
                  <w:vAlign w:val="center"/>
                </w:tcPr>
                <w:p w14:paraId="2F8005F5">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15</w:t>
                  </w:r>
                  <w:r>
                    <w:rPr>
                      <w:bCs/>
                      <w:color w:val="auto"/>
                      <w:kern w:val="0"/>
                      <w:sz w:val="16"/>
                      <w:szCs w:val="16"/>
                      <w:highlight w:val="none"/>
                      <w:lang w:bidi="ar"/>
                    </w:rPr>
                    <w:t xml:space="preserve">000 </w:t>
                  </w:r>
                </w:p>
              </w:tc>
              <w:tc>
                <w:tcPr>
                  <w:tcW w:w="666" w:type="dxa"/>
                  <w:tcBorders>
                    <w:tl2br w:val="nil"/>
                    <w:tr2bl w:val="nil"/>
                  </w:tcBorders>
                  <w:vAlign w:val="center"/>
                </w:tcPr>
                <w:p w14:paraId="6197C22F">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0.169</w:t>
                  </w:r>
                </w:p>
              </w:tc>
              <w:tc>
                <w:tcPr>
                  <w:tcW w:w="881" w:type="dxa"/>
                  <w:tcBorders>
                    <w:tl2br w:val="nil"/>
                    <w:tr2bl w:val="nil"/>
                  </w:tcBorders>
                  <w:vAlign w:val="center"/>
                </w:tcPr>
                <w:p w14:paraId="6AF4274C">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0.003</w:t>
                  </w:r>
                  <w:r>
                    <w:rPr>
                      <w:bCs/>
                      <w:color w:val="auto"/>
                      <w:kern w:val="0"/>
                      <w:sz w:val="16"/>
                      <w:szCs w:val="16"/>
                      <w:highlight w:val="none"/>
                      <w:lang w:bidi="ar"/>
                    </w:rPr>
                    <w:t xml:space="preserve"> </w:t>
                  </w:r>
                </w:p>
              </w:tc>
              <w:tc>
                <w:tcPr>
                  <w:tcW w:w="544" w:type="dxa"/>
                  <w:tcBorders>
                    <w:tl2br w:val="nil"/>
                    <w:tr2bl w:val="nil"/>
                  </w:tcBorders>
                  <w:vAlign w:val="center"/>
                </w:tcPr>
                <w:p w14:paraId="32458390">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1.5</w:t>
                  </w:r>
                </w:p>
              </w:tc>
              <w:tc>
                <w:tcPr>
                  <w:tcW w:w="726" w:type="dxa"/>
                  <w:tcBorders>
                    <w:tl2br w:val="nil"/>
                    <w:tr2bl w:val="nil"/>
                  </w:tcBorders>
                  <w:vAlign w:val="center"/>
                </w:tcPr>
                <w:p w14:paraId="7B5D791F">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100</w:t>
                  </w:r>
                </w:p>
              </w:tc>
              <w:tc>
                <w:tcPr>
                  <w:tcW w:w="631" w:type="dxa"/>
                  <w:tcBorders>
                    <w:tl2br w:val="nil"/>
                    <w:tr2bl w:val="nil"/>
                  </w:tcBorders>
                  <w:vAlign w:val="center"/>
                </w:tcPr>
                <w:p w14:paraId="36C5302D">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0.01</w:t>
                  </w:r>
                </w:p>
              </w:tc>
              <w:tc>
                <w:tcPr>
                  <w:tcW w:w="625" w:type="dxa"/>
                  <w:tcBorders>
                    <w:tl2br w:val="nil"/>
                    <w:tr2bl w:val="nil"/>
                  </w:tcBorders>
                  <w:vAlign w:val="center"/>
                </w:tcPr>
                <w:p w14:paraId="06ACDD05">
                  <w:pPr>
                    <w:widowControl/>
                    <w:jc w:val="center"/>
                    <w:textAlignment w:val="center"/>
                    <w:rPr>
                      <w:bCs/>
                      <w:color w:val="auto"/>
                      <w:kern w:val="0"/>
                      <w:sz w:val="16"/>
                      <w:szCs w:val="16"/>
                      <w:highlight w:val="none"/>
                      <w:lang w:bidi="ar"/>
                    </w:rPr>
                  </w:pPr>
                  <w:r>
                    <w:rPr>
                      <w:bCs/>
                      <w:color w:val="auto"/>
                      <w:kern w:val="0"/>
                      <w:sz w:val="16"/>
                      <w:szCs w:val="16"/>
                      <w:highlight w:val="none"/>
                      <w:lang w:bidi="ar"/>
                    </w:rPr>
                    <w:t>DA001</w:t>
                  </w:r>
                </w:p>
              </w:tc>
              <w:tc>
                <w:tcPr>
                  <w:tcW w:w="463" w:type="dxa"/>
                  <w:tcBorders>
                    <w:tl2br w:val="nil"/>
                    <w:tr2bl w:val="nil"/>
                  </w:tcBorders>
                  <w:vAlign w:val="center"/>
                </w:tcPr>
                <w:p w14:paraId="3CB8BABA">
                  <w:pPr>
                    <w:widowControl/>
                    <w:jc w:val="center"/>
                    <w:textAlignment w:val="center"/>
                    <w:rPr>
                      <w:bCs/>
                      <w:color w:val="auto"/>
                      <w:sz w:val="16"/>
                      <w:szCs w:val="16"/>
                      <w:highlight w:val="none"/>
                    </w:rPr>
                  </w:pPr>
                  <w:r>
                    <w:rPr>
                      <w:bCs/>
                      <w:color w:val="auto"/>
                      <w:kern w:val="0"/>
                      <w:sz w:val="16"/>
                      <w:szCs w:val="16"/>
                      <w:highlight w:val="none"/>
                      <w:lang w:bidi="ar"/>
                    </w:rPr>
                    <w:t>15m</w:t>
                  </w:r>
                </w:p>
              </w:tc>
              <w:tc>
                <w:tcPr>
                  <w:tcW w:w="562" w:type="dxa"/>
                  <w:vMerge w:val="restart"/>
                  <w:tcBorders>
                    <w:tl2br w:val="nil"/>
                    <w:tr2bl w:val="nil"/>
                  </w:tcBorders>
                  <w:vAlign w:val="center"/>
                </w:tcPr>
                <w:p w14:paraId="03E7DCA5">
                  <w:pPr>
                    <w:widowControl/>
                    <w:jc w:val="center"/>
                    <w:textAlignment w:val="center"/>
                    <w:rPr>
                      <w:bCs/>
                      <w:color w:val="auto"/>
                      <w:sz w:val="16"/>
                      <w:szCs w:val="16"/>
                      <w:highlight w:val="none"/>
                    </w:rPr>
                  </w:pPr>
                  <w:r>
                    <w:rPr>
                      <w:rFonts w:hint="eastAsia"/>
                      <w:bCs/>
                      <w:color w:val="auto"/>
                      <w:kern w:val="0"/>
                      <w:sz w:val="16"/>
                      <w:szCs w:val="16"/>
                      <w:highlight w:val="none"/>
                      <w:lang w:bidi="ar"/>
                    </w:rPr>
                    <w:t>4800</w:t>
                  </w:r>
                  <w:r>
                    <w:rPr>
                      <w:bCs/>
                      <w:color w:val="auto"/>
                      <w:kern w:val="0"/>
                      <w:sz w:val="16"/>
                      <w:szCs w:val="16"/>
                      <w:highlight w:val="none"/>
                      <w:lang w:bidi="ar"/>
                    </w:rPr>
                    <w:t>h</w:t>
                  </w:r>
                </w:p>
              </w:tc>
            </w:tr>
            <w:tr w14:paraId="5879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55" w:type="dxa"/>
                  <w:vMerge w:val="continue"/>
                  <w:tcBorders>
                    <w:tl2br w:val="nil"/>
                    <w:tr2bl w:val="nil"/>
                  </w:tcBorders>
                  <w:vAlign w:val="center"/>
                </w:tcPr>
                <w:p w14:paraId="6702A1FE">
                  <w:pPr>
                    <w:jc w:val="center"/>
                    <w:rPr>
                      <w:bCs/>
                      <w:color w:val="auto"/>
                      <w:sz w:val="16"/>
                      <w:szCs w:val="16"/>
                      <w:highlight w:val="none"/>
                    </w:rPr>
                  </w:pPr>
                </w:p>
              </w:tc>
              <w:tc>
                <w:tcPr>
                  <w:tcW w:w="355" w:type="dxa"/>
                  <w:tcBorders>
                    <w:tl2br w:val="nil"/>
                    <w:tr2bl w:val="nil"/>
                  </w:tcBorders>
                  <w:vAlign w:val="center"/>
                </w:tcPr>
                <w:p w14:paraId="7C0B2C70">
                  <w:pPr>
                    <w:widowControl/>
                    <w:jc w:val="center"/>
                    <w:textAlignment w:val="center"/>
                    <w:rPr>
                      <w:bCs/>
                      <w:color w:val="auto"/>
                      <w:sz w:val="16"/>
                      <w:szCs w:val="16"/>
                      <w:highlight w:val="none"/>
                    </w:rPr>
                  </w:pPr>
                  <w:r>
                    <w:rPr>
                      <w:rFonts w:hint="eastAsia"/>
                      <w:bCs/>
                      <w:color w:val="auto"/>
                      <w:kern w:val="0"/>
                      <w:sz w:val="16"/>
                      <w:szCs w:val="16"/>
                      <w:highlight w:val="none"/>
                      <w:lang w:bidi="ar"/>
                    </w:rPr>
                    <w:t>颗粒物</w:t>
                  </w:r>
                </w:p>
              </w:tc>
              <w:tc>
                <w:tcPr>
                  <w:tcW w:w="355" w:type="dxa"/>
                  <w:vMerge w:val="continue"/>
                  <w:tcBorders>
                    <w:tl2br w:val="nil"/>
                    <w:tr2bl w:val="nil"/>
                  </w:tcBorders>
                  <w:vAlign w:val="center"/>
                </w:tcPr>
                <w:p w14:paraId="23DFF2E9">
                  <w:pPr>
                    <w:jc w:val="center"/>
                    <w:rPr>
                      <w:bCs/>
                      <w:color w:val="auto"/>
                      <w:sz w:val="16"/>
                      <w:szCs w:val="16"/>
                      <w:highlight w:val="none"/>
                    </w:rPr>
                  </w:pPr>
                </w:p>
              </w:tc>
              <w:tc>
                <w:tcPr>
                  <w:tcW w:w="886" w:type="dxa"/>
                  <w:tcBorders>
                    <w:tl2br w:val="nil"/>
                    <w:tr2bl w:val="nil"/>
                  </w:tcBorders>
                  <w:vAlign w:val="center"/>
                </w:tcPr>
                <w:p w14:paraId="26E14E14">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739" w:type="dxa"/>
                  <w:tcBorders>
                    <w:tl2br w:val="nil"/>
                    <w:tr2bl w:val="nil"/>
                  </w:tcBorders>
                  <w:vAlign w:val="center"/>
                </w:tcPr>
                <w:p w14:paraId="5D661441">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0.01</w:t>
                  </w:r>
                </w:p>
              </w:tc>
              <w:tc>
                <w:tcPr>
                  <w:tcW w:w="355" w:type="dxa"/>
                  <w:tcBorders>
                    <w:tl2br w:val="nil"/>
                    <w:tr2bl w:val="nil"/>
                  </w:tcBorders>
                  <w:vAlign w:val="center"/>
                </w:tcPr>
                <w:p w14:paraId="7B96CB03">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无组织</w:t>
                  </w:r>
                </w:p>
              </w:tc>
              <w:tc>
                <w:tcPr>
                  <w:tcW w:w="978" w:type="dxa"/>
                  <w:vMerge w:val="continue"/>
                  <w:tcBorders>
                    <w:tl2br w:val="nil"/>
                    <w:tr2bl w:val="nil"/>
                  </w:tcBorders>
                  <w:vAlign w:val="center"/>
                </w:tcPr>
                <w:p w14:paraId="35D464AA">
                  <w:pPr>
                    <w:widowControl/>
                    <w:jc w:val="center"/>
                    <w:textAlignment w:val="center"/>
                    <w:rPr>
                      <w:bCs/>
                      <w:color w:val="auto"/>
                      <w:kern w:val="0"/>
                      <w:sz w:val="16"/>
                      <w:szCs w:val="16"/>
                      <w:highlight w:val="none"/>
                      <w:lang w:bidi="ar"/>
                    </w:rPr>
                  </w:pPr>
                </w:p>
              </w:tc>
              <w:tc>
                <w:tcPr>
                  <w:tcW w:w="488" w:type="dxa"/>
                  <w:vMerge w:val="continue"/>
                  <w:tcBorders>
                    <w:tl2br w:val="nil"/>
                    <w:tr2bl w:val="nil"/>
                  </w:tcBorders>
                  <w:vAlign w:val="center"/>
                </w:tcPr>
                <w:p w14:paraId="7A5E6BE8">
                  <w:pPr>
                    <w:widowControl/>
                    <w:jc w:val="center"/>
                    <w:textAlignment w:val="center"/>
                    <w:rPr>
                      <w:bCs/>
                      <w:color w:val="auto"/>
                      <w:kern w:val="0"/>
                      <w:sz w:val="16"/>
                      <w:szCs w:val="16"/>
                      <w:highlight w:val="none"/>
                      <w:lang w:bidi="ar"/>
                    </w:rPr>
                  </w:pPr>
                </w:p>
              </w:tc>
              <w:tc>
                <w:tcPr>
                  <w:tcW w:w="440" w:type="dxa"/>
                  <w:tcBorders>
                    <w:tl2br w:val="nil"/>
                    <w:tr2bl w:val="nil"/>
                  </w:tcBorders>
                  <w:vAlign w:val="center"/>
                </w:tcPr>
                <w:p w14:paraId="3A65B0C8">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600" w:type="dxa"/>
                  <w:vMerge w:val="continue"/>
                  <w:tcBorders>
                    <w:tl2br w:val="nil"/>
                    <w:tr2bl w:val="nil"/>
                  </w:tcBorders>
                  <w:vAlign w:val="center"/>
                </w:tcPr>
                <w:p w14:paraId="57963FA4">
                  <w:pPr>
                    <w:widowControl/>
                    <w:jc w:val="center"/>
                    <w:textAlignment w:val="center"/>
                    <w:rPr>
                      <w:bCs/>
                      <w:color w:val="auto"/>
                      <w:kern w:val="0"/>
                      <w:sz w:val="16"/>
                      <w:szCs w:val="16"/>
                      <w:highlight w:val="none"/>
                      <w:lang w:bidi="ar"/>
                    </w:rPr>
                  </w:pPr>
                </w:p>
              </w:tc>
              <w:tc>
                <w:tcPr>
                  <w:tcW w:w="404" w:type="dxa"/>
                  <w:vMerge w:val="continue"/>
                  <w:tcBorders>
                    <w:tl2br w:val="nil"/>
                    <w:tr2bl w:val="nil"/>
                  </w:tcBorders>
                  <w:vAlign w:val="center"/>
                </w:tcPr>
                <w:p w14:paraId="2007BC57">
                  <w:pPr>
                    <w:widowControl/>
                    <w:jc w:val="center"/>
                    <w:textAlignment w:val="center"/>
                    <w:rPr>
                      <w:bCs/>
                      <w:color w:val="auto"/>
                      <w:kern w:val="0"/>
                      <w:sz w:val="16"/>
                      <w:szCs w:val="16"/>
                      <w:highlight w:val="none"/>
                      <w:lang w:bidi="ar"/>
                    </w:rPr>
                  </w:pPr>
                </w:p>
              </w:tc>
              <w:tc>
                <w:tcPr>
                  <w:tcW w:w="768" w:type="dxa"/>
                  <w:tcBorders>
                    <w:tl2br w:val="nil"/>
                    <w:tr2bl w:val="nil"/>
                  </w:tcBorders>
                  <w:vAlign w:val="center"/>
                </w:tcPr>
                <w:p w14:paraId="0A7ABC49">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666" w:type="dxa"/>
                  <w:tcBorders>
                    <w:tl2br w:val="nil"/>
                    <w:tr2bl w:val="nil"/>
                  </w:tcBorders>
                  <w:vAlign w:val="center"/>
                </w:tcPr>
                <w:p w14:paraId="4FAA9813">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881" w:type="dxa"/>
                  <w:tcBorders>
                    <w:tl2br w:val="nil"/>
                    <w:tr2bl w:val="nil"/>
                  </w:tcBorders>
                  <w:vAlign w:val="center"/>
                </w:tcPr>
                <w:p w14:paraId="08F6AA2D">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0.01</w:t>
                  </w:r>
                </w:p>
              </w:tc>
              <w:tc>
                <w:tcPr>
                  <w:tcW w:w="544" w:type="dxa"/>
                  <w:tcBorders>
                    <w:tl2br w:val="nil"/>
                    <w:tr2bl w:val="nil"/>
                  </w:tcBorders>
                  <w:vAlign w:val="center"/>
                </w:tcPr>
                <w:p w14:paraId="3C14A5B2">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726" w:type="dxa"/>
                  <w:tcBorders>
                    <w:tl2br w:val="nil"/>
                    <w:tr2bl w:val="nil"/>
                  </w:tcBorders>
                  <w:vAlign w:val="center"/>
                </w:tcPr>
                <w:p w14:paraId="5C337769">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1.0</w:t>
                  </w:r>
                </w:p>
              </w:tc>
              <w:tc>
                <w:tcPr>
                  <w:tcW w:w="631" w:type="dxa"/>
                  <w:tcBorders>
                    <w:tl2br w:val="nil"/>
                    <w:tr2bl w:val="nil"/>
                  </w:tcBorders>
                  <w:vAlign w:val="center"/>
                </w:tcPr>
                <w:p w14:paraId="06A5B059">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0.04</w:t>
                  </w:r>
                </w:p>
              </w:tc>
              <w:tc>
                <w:tcPr>
                  <w:tcW w:w="625" w:type="dxa"/>
                  <w:tcBorders>
                    <w:tl2br w:val="nil"/>
                    <w:tr2bl w:val="nil"/>
                  </w:tcBorders>
                  <w:vAlign w:val="center"/>
                </w:tcPr>
                <w:p w14:paraId="08690FF8">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463" w:type="dxa"/>
                  <w:tcBorders>
                    <w:tl2br w:val="nil"/>
                    <w:tr2bl w:val="nil"/>
                  </w:tcBorders>
                  <w:vAlign w:val="center"/>
                </w:tcPr>
                <w:p w14:paraId="6B5C5A22">
                  <w:pPr>
                    <w:widowControl/>
                    <w:jc w:val="center"/>
                    <w:textAlignment w:val="center"/>
                    <w:rPr>
                      <w:bCs/>
                      <w:color w:val="auto"/>
                      <w:sz w:val="16"/>
                      <w:szCs w:val="16"/>
                      <w:highlight w:val="none"/>
                    </w:rPr>
                  </w:pPr>
                  <w:r>
                    <w:rPr>
                      <w:bCs/>
                      <w:color w:val="auto"/>
                      <w:kern w:val="0"/>
                      <w:sz w:val="16"/>
                      <w:szCs w:val="16"/>
                      <w:highlight w:val="none"/>
                      <w:lang w:bidi="ar"/>
                    </w:rPr>
                    <w:t>/</w:t>
                  </w:r>
                </w:p>
              </w:tc>
              <w:tc>
                <w:tcPr>
                  <w:tcW w:w="562" w:type="dxa"/>
                  <w:vMerge w:val="continue"/>
                  <w:tcBorders>
                    <w:tl2br w:val="nil"/>
                    <w:tr2bl w:val="nil"/>
                  </w:tcBorders>
                  <w:vAlign w:val="center"/>
                </w:tcPr>
                <w:p w14:paraId="53DD03E3">
                  <w:pPr>
                    <w:jc w:val="center"/>
                    <w:rPr>
                      <w:bCs/>
                      <w:color w:val="auto"/>
                      <w:sz w:val="16"/>
                      <w:szCs w:val="16"/>
                      <w:highlight w:val="none"/>
                    </w:rPr>
                  </w:pPr>
                </w:p>
              </w:tc>
            </w:tr>
            <w:tr w14:paraId="6746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55" w:type="dxa"/>
                  <w:tcBorders>
                    <w:tl2br w:val="nil"/>
                    <w:tr2bl w:val="nil"/>
                  </w:tcBorders>
                  <w:vAlign w:val="center"/>
                </w:tcPr>
                <w:p w14:paraId="12C51BCC">
                  <w:pPr>
                    <w:widowControl/>
                    <w:jc w:val="center"/>
                    <w:textAlignment w:val="center"/>
                    <w:rPr>
                      <w:bCs/>
                      <w:color w:val="auto"/>
                      <w:sz w:val="16"/>
                      <w:szCs w:val="16"/>
                      <w:highlight w:val="none"/>
                    </w:rPr>
                  </w:pPr>
                  <w:r>
                    <w:rPr>
                      <w:rFonts w:hint="eastAsia"/>
                      <w:bCs/>
                      <w:color w:val="auto"/>
                      <w:sz w:val="16"/>
                      <w:szCs w:val="16"/>
                      <w:highlight w:val="none"/>
                    </w:rPr>
                    <w:t>切割</w:t>
                  </w:r>
                </w:p>
              </w:tc>
              <w:tc>
                <w:tcPr>
                  <w:tcW w:w="355" w:type="dxa"/>
                  <w:tcBorders>
                    <w:tl2br w:val="nil"/>
                    <w:tr2bl w:val="nil"/>
                  </w:tcBorders>
                  <w:vAlign w:val="center"/>
                </w:tcPr>
                <w:p w14:paraId="07431D4B">
                  <w:pPr>
                    <w:widowControl/>
                    <w:jc w:val="center"/>
                    <w:textAlignment w:val="center"/>
                    <w:rPr>
                      <w:bCs/>
                      <w:color w:val="auto"/>
                      <w:sz w:val="16"/>
                      <w:szCs w:val="16"/>
                      <w:highlight w:val="none"/>
                    </w:rPr>
                  </w:pPr>
                  <w:r>
                    <w:rPr>
                      <w:rFonts w:hint="eastAsia"/>
                      <w:bCs/>
                      <w:color w:val="auto"/>
                      <w:kern w:val="0"/>
                      <w:sz w:val="16"/>
                      <w:szCs w:val="16"/>
                      <w:highlight w:val="none"/>
                      <w:lang w:bidi="ar"/>
                    </w:rPr>
                    <w:t>颗粒物</w:t>
                  </w:r>
                </w:p>
              </w:tc>
              <w:tc>
                <w:tcPr>
                  <w:tcW w:w="355" w:type="dxa"/>
                  <w:vMerge w:val="continue"/>
                  <w:tcBorders>
                    <w:tl2br w:val="nil"/>
                    <w:tr2bl w:val="nil"/>
                  </w:tcBorders>
                  <w:vAlign w:val="center"/>
                </w:tcPr>
                <w:p w14:paraId="22C7CD01">
                  <w:pPr>
                    <w:jc w:val="center"/>
                    <w:rPr>
                      <w:bCs/>
                      <w:color w:val="auto"/>
                      <w:sz w:val="16"/>
                      <w:szCs w:val="16"/>
                      <w:highlight w:val="none"/>
                    </w:rPr>
                  </w:pPr>
                </w:p>
              </w:tc>
              <w:tc>
                <w:tcPr>
                  <w:tcW w:w="886" w:type="dxa"/>
                  <w:tcBorders>
                    <w:tl2br w:val="nil"/>
                    <w:tr2bl w:val="nil"/>
                  </w:tcBorders>
                  <w:vAlign w:val="center"/>
                </w:tcPr>
                <w:p w14:paraId="22E56E8E">
                  <w:pPr>
                    <w:widowControl/>
                    <w:jc w:val="center"/>
                    <w:textAlignment w:val="center"/>
                    <w:rPr>
                      <w:bCs/>
                      <w:color w:val="auto"/>
                      <w:sz w:val="16"/>
                      <w:szCs w:val="16"/>
                      <w:highlight w:val="none"/>
                    </w:rPr>
                  </w:pPr>
                  <w:r>
                    <w:rPr>
                      <w:bCs/>
                      <w:color w:val="auto"/>
                      <w:kern w:val="0"/>
                      <w:sz w:val="16"/>
                      <w:szCs w:val="16"/>
                      <w:highlight w:val="none"/>
                      <w:lang w:bidi="ar"/>
                    </w:rPr>
                    <w:t>/</w:t>
                  </w:r>
                </w:p>
              </w:tc>
              <w:tc>
                <w:tcPr>
                  <w:tcW w:w="739" w:type="dxa"/>
                  <w:tcBorders>
                    <w:tl2br w:val="nil"/>
                    <w:tr2bl w:val="nil"/>
                  </w:tcBorders>
                  <w:vAlign w:val="center"/>
                </w:tcPr>
                <w:p w14:paraId="68C4ECFB">
                  <w:pPr>
                    <w:widowControl/>
                    <w:jc w:val="center"/>
                    <w:textAlignment w:val="center"/>
                    <w:rPr>
                      <w:rFonts w:hint="default" w:eastAsia="宋体"/>
                      <w:bCs/>
                      <w:color w:val="auto"/>
                      <w:sz w:val="16"/>
                      <w:szCs w:val="16"/>
                      <w:highlight w:val="none"/>
                      <w:lang w:val="en-US" w:eastAsia="zh-CN"/>
                    </w:rPr>
                  </w:pPr>
                  <w:r>
                    <w:rPr>
                      <w:rFonts w:hint="eastAsia"/>
                      <w:bCs/>
                      <w:color w:val="auto"/>
                      <w:sz w:val="16"/>
                      <w:szCs w:val="16"/>
                      <w:highlight w:val="none"/>
                      <w:lang w:val="en-US" w:eastAsia="zh-CN"/>
                    </w:rPr>
                    <w:t>0.23</w:t>
                  </w:r>
                </w:p>
              </w:tc>
              <w:tc>
                <w:tcPr>
                  <w:tcW w:w="355" w:type="dxa"/>
                  <w:tcBorders>
                    <w:tl2br w:val="nil"/>
                    <w:tr2bl w:val="nil"/>
                  </w:tcBorders>
                  <w:vAlign w:val="center"/>
                </w:tcPr>
                <w:p w14:paraId="65FF62CB">
                  <w:pPr>
                    <w:widowControl/>
                    <w:jc w:val="center"/>
                    <w:textAlignment w:val="center"/>
                    <w:rPr>
                      <w:bCs/>
                      <w:color w:val="auto"/>
                      <w:sz w:val="16"/>
                      <w:szCs w:val="16"/>
                      <w:highlight w:val="none"/>
                    </w:rPr>
                  </w:pPr>
                  <w:r>
                    <w:rPr>
                      <w:rFonts w:hint="eastAsia"/>
                      <w:bCs/>
                      <w:color w:val="auto"/>
                      <w:kern w:val="0"/>
                      <w:sz w:val="16"/>
                      <w:szCs w:val="16"/>
                      <w:highlight w:val="none"/>
                      <w:lang w:bidi="ar"/>
                    </w:rPr>
                    <w:t>无组织</w:t>
                  </w:r>
                </w:p>
              </w:tc>
              <w:tc>
                <w:tcPr>
                  <w:tcW w:w="978" w:type="dxa"/>
                  <w:tcBorders>
                    <w:tl2br w:val="nil"/>
                    <w:tr2bl w:val="nil"/>
                  </w:tcBorders>
                  <w:vAlign w:val="center"/>
                </w:tcPr>
                <w:p w14:paraId="189FFB22">
                  <w:pPr>
                    <w:widowControl/>
                    <w:jc w:val="center"/>
                    <w:textAlignment w:val="center"/>
                    <w:rPr>
                      <w:bCs/>
                      <w:color w:val="auto"/>
                      <w:sz w:val="16"/>
                      <w:szCs w:val="16"/>
                      <w:highlight w:val="none"/>
                    </w:rPr>
                  </w:pPr>
                  <w:r>
                    <w:rPr>
                      <w:bCs/>
                      <w:color w:val="auto"/>
                      <w:sz w:val="16"/>
                      <w:szCs w:val="16"/>
                      <w:highlight w:val="none"/>
                    </w:rPr>
                    <w:t>设备密闭</w:t>
                  </w:r>
                  <w:r>
                    <w:rPr>
                      <w:rFonts w:hint="eastAsia"/>
                      <w:bCs/>
                      <w:color w:val="auto"/>
                      <w:sz w:val="16"/>
                      <w:szCs w:val="16"/>
                      <w:highlight w:val="none"/>
                    </w:rPr>
                    <w:t>、</w:t>
                  </w:r>
                  <w:r>
                    <w:rPr>
                      <w:bCs/>
                      <w:color w:val="auto"/>
                      <w:sz w:val="16"/>
                      <w:szCs w:val="16"/>
                      <w:highlight w:val="none"/>
                    </w:rPr>
                    <w:t>自带滤筒除尘器</w:t>
                  </w:r>
                </w:p>
              </w:tc>
              <w:tc>
                <w:tcPr>
                  <w:tcW w:w="488" w:type="dxa"/>
                  <w:tcBorders>
                    <w:tl2br w:val="nil"/>
                    <w:tr2bl w:val="nil"/>
                  </w:tcBorders>
                  <w:vAlign w:val="center"/>
                </w:tcPr>
                <w:p w14:paraId="65B04D03">
                  <w:pPr>
                    <w:widowControl/>
                    <w:jc w:val="center"/>
                    <w:textAlignment w:val="center"/>
                    <w:rPr>
                      <w:bCs/>
                      <w:color w:val="auto"/>
                      <w:sz w:val="16"/>
                      <w:szCs w:val="16"/>
                      <w:highlight w:val="none"/>
                    </w:rPr>
                  </w:pPr>
                  <w:r>
                    <w:rPr>
                      <w:rFonts w:hint="eastAsia"/>
                      <w:bCs/>
                      <w:color w:val="auto"/>
                      <w:sz w:val="16"/>
                      <w:szCs w:val="16"/>
                      <w:highlight w:val="none"/>
                    </w:rPr>
                    <w:t>98%</w:t>
                  </w:r>
                </w:p>
              </w:tc>
              <w:tc>
                <w:tcPr>
                  <w:tcW w:w="440" w:type="dxa"/>
                  <w:tcBorders>
                    <w:tl2br w:val="nil"/>
                    <w:tr2bl w:val="nil"/>
                  </w:tcBorders>
                  <w:vAlign w:val="center"/>
                </w:tcPr>
                <w:p w14:paraId="3D245471">
                  <w:pPr>
                    <w:widowControl/>
                    <w:jc w:val="center"/>
                    <w:textAlignment w:val="center"/>
                    <w:rPr>
                      <w:bCs/>
                      <w:color w:val="auto"/>
                      <w:sz w:val="16"/>
                      <w:szCs w:val="16"/>
                      <w:highlight w:val="none"/>
                    </w:rPr>
                  </w:pPr>
                  <w:r>
                    <w:rPr>
                      <w:rFonts w:hint="eastAsia"/>
                      <w:bCs/>
                      <w:color w:val="auto"/>
                      <w:sz w:val="16"/>
                      <w:szCs w:val="16"/>
                      <w:highlight w:val="none"/>
                      <w:lang w:val="en-US" w:eastAsia="zh-CN"/>
                    </w:rPr>
                    <w:t>95</w:t>
                  </w:r>
                  <w:r>
                    <w:rPr>
                      <w:rFonts w:hint="eastAsia"/>
                      <w:bCs/>
                      <w:color w:val="auto"/>
                      <w:sz w:val="16"/>
                      <w:szCs w:val="16"/>
                      <w:highlight w:val="none"/>
                    </w:rPr>
                    <w:t>%</w:t>
                  </w:r>
                </w:p>
              </w:tc>
              <w:tc>
                <w:tcPr>
                  <w:tcW w:w="600" w:type="dxa"/>
                  <w:tcBorders>
                    <w:tl2br w:val="nil"/>
                    <w:tr2bl w:val="nil"/>
                  </w:tcBorders>
                  <w:vAlign w:val="center"/>
                </w:tcPr>
                <w:p w14:paraId="3649118E">
                  <w:pPr>
                    <w:widowControl/>
                    <w:jc w:val="center"/>
                    <w:textAlignment w:val="center"/>
                    <w:rPr>
                      <w:bCs/>
                      <w:color w:val="auto"/>
                      <w:sz w:val="16"/>
                      <w:szCs w:val="16"/>
                      <w:highlight w:val="none"/>
                    </w:rPr>
                  </w:pPr>
                  <w:r>
                    <w:rPr>
                      <w:rFonts w:hint="eastAsia"/>
                      <w:bCs/>
                      <w:color w:val="auto"/>
                      <w:kern w:val="0"/>
                      <w:sz w:val="16"/>
                      <w:szCs w:val="16"/>
                      <w:highlight w:val="none"/>
                      <w:lang w:bidi="ar"/>
                    </w:rPr>
                    <w:t>是</w:t>
                  </w:r>
                </w:p>
              </w:tc>
              <w:tc>
                <w:tcPr>
                  <w:tcW w:w="404" w:type="dxa"/>
                  <w:vMerge w:val="continue"/>
                  <w:tcBorders>
                    <w:tl2br w:val="nil"/>
                    <w:tr2bl w:val="nil"/>
                  </w:tcBorders>
                  <w:vAlign w:val="center"/>
                </w:tcPr>
                <w:p w14:paraId="0A76DCE8">
                  <w:pPr>
                    <w:jc w:val="center"/>
                    <w:rPr>
                      <w:bCs/>
                      <w:color w:val="auto"/>
                      <w:sz w:val="16"/>
                      <w:szCs w:val="16"/>
                      <w:highlight w:val="none"/>
                    </w:rPr>
                  </w:pPr>
                </w:p>
              </w:tc>
              <w:tc>
                <w:tcPr>
                  <w:tcW w:w="768" w:type="dxa"/>
                  <w:tcBorders>
                    <w:tl2br w:val="nil"/>
                    <w:tr2bl w:val="nil"/>
                  </w:tcBorders>
                  <w:vAlign w:val="center"/>
                </w:tcPr>
                <w:p w14:paraId="77B5A71F">
                  <w:pPr>
                    <w:widowControl/>
                    <w:jc w:val="center"/>
                    <w:textAlignment w:val="center"/>
                    <w:rPr>
                      <w:bCs/>
                      <w:color w:val="auto"/>
                      <w:sz w:val="16"/>
                      <w:szCs w:val="16"/>
                      <w:highlight w:val="none"/>
                    </w:rPr>
                  </w:pPr>
                  <w:r>
                    <w:rPr>
                      <w:bCs/>
                      <w:color w:val="auto"/>
                      <w:kern w:val="0"/>
                      <w:sz w:val="16"/>
                      <w:szCs w:val="16"/>
                      <w:highlight w:val="none"/>
                      <w:lang w:bidi="ar"/>
                    </w:rPr>
                    <w:t>/</w:t>
                  </w:r>
                </w:p>
              </w:tc>
              <w:tc>
                <w:tcPr>
                  <w:tcW w:w="666" w:type="dxa"/>
                  <w:tcBorders>
                    <w:tl2br w:val="nil"/>
                    <w:tr2bl w:val="nil"/>
                  </w:tcBorders>
                  <w:vAlign w:val="center"/>
                </w:tcPr>
                <w:p w14:paraId="6E43C667">
                  <w:pPr>
                    <w:widowControl/>
                    <w:jc w:val="center"/>
                    <w:textAlignment w:val="center"/>
                    <w:rPr>
                      <w:bCs/>
                      <w:color w:val="auto"/>
                      <w:sz w:val="16"/>
                      <w:szCs w:val="16"/>
                      <w:highlight w:val="none"/>
                    </w:rPr>
                  </w:pPr>
                  <w:r>
                    <w:rPr>
                      <w:bCs/>
                      <w:color w:val="auto"/>
                      <w:kern w:val="0"/>
                      <w:sz w:val="16"/>
                      <w:szCs w:val="16"/>
                      <w:highlight w:val="none"/>
                      <w:lang w:bidi="ar"/>
                    </w:rPr>
                    <w:t>/</w:t>
                  </w:r>
                </w:p>
              </w:tc>
              <w:tc>
                <w:tcPr>
                  <w:tcW w:w="881" w:type="dxa"/>
                  <w:tcBorders>
                    <w:tl2br w:val="nil"/>
                    <w:tr2bl w:val="nil"/>
                  </w:tcBorders>
                  <w:vAlign w:val="center"/>
                </w:tcPr>
                <w:p w14:paraId="511F42DD">
                  <w:pPr>
                    <w:widowControl/>
                    <w:jc w:val="center"/>
                    <w:textAlignment w:val="center"/>
                    <w:rPr>
                      <w:rFonts w:hint="default" w:eastAsia="宋体"/>
                      <w:bCs/>
                      <w:color w:val="auto"/>
                      <w:sz w:val="16"/>
                      <w:szCs w:val="16"/>
                      <w:highlight w:val="none"/>
                      <w:lang w:val="en-US" w:eastAsia="zh-CN"/>
                    </w:rPr>
                  </w:pPr>
                  <w:r>
                    <w:rPr>
                      <w:rFonts w:hint="eastAsia"/>
                      <w:bCs/>
                      <w:color w:val="auto"/>
                      <w:sz w:val="16"/>
                      <w:szCs w:val="16"/>
                      <w:highlight w:val="none"/>
                      <w:lang w:val="en-US" w:eastAsia="zh-CN"/>
                    </w:rPr>
                    <w:t>0.02</w:t>
                  </w:r>
                </w:p>
              </w:tc>
              <w:tc>
                <w:tcPr>
                  <w:tcW w:w="544" w:type="dxa"/>
                  <w:tcBorders>
                    <w:tl2br w:val="nil"/>
                    <w:tr2bl w:val="nil"/>
                  </w:tcBorders>
                  <w:vAlign w:val="center"/>
                </w:tcPr>
                <w:p w14:paraId="232F6BAF">
                  <w:pPr>
                    <w:widowControl/>
                    <w:jc w:val="center"/>
                    <w:textAlignment w:val="center"/>
                    <w:rPr>
                      <w:bCs/>
                      <w:color w:val="auto"/>
                      <w:sz w:val="16"/>
                      <w:szCs w:val="16"/>
                      <w:highlight w:val="none"/>
                    </w:rPr>
                  </w:pPr>
                  <w:r>
                    <w:rPr>
                      <w:bCs/>
                      <w:color w:val="auto"/>
                      <w:kern w:val="0"/>
                      <w:sz w:val="16"/>
                      <w:szCs w:val="16"/>
                      <w:highlight w:val="none"/>
                      <w:lang w:bidi="ar"/>
                    </w:rPr>
                    <w:t>/</w:t>
                  </w:r>
                </w:p>
              </w:tc>
              <w:tc>
                <w:tcPr>
                  <w:tcW w:w="726" w:type="dxa"/>
                  <w:tcBorders>
                    <w:tl2br w:val="nil"/>
                    <w:tr2bl w:val="nil"/>
                  </w:tcBorders>
                  <w:vAlign w:val="center"/>
                </w:tcPr>
                <w:p w14:paraId="636145A2">
                  <w:pPr>
                    <w:widowControl/>
                    <w:jc w:val="center"/>
                    <w:textAlignment w:val="center"/>
                    <w:rPr>
                      <w:bCs/>
                      <w:color w:val="auto"/>
                      <w:sz w:val="16"/>
                      <w:szCs w:val="16"/>
                      <w:highlight w:val="none"/>
                    </w:rPr>
                  </w:pPr>
                  <w:r>
                    <w:rPr>
                      <w:rFonts w:hint="eastAsia"/>
                      <w:bCs/>
                      <w:color w:val="auto"/>
                      <w:sz w:val="16"/>
                      <w:szCs w:val="16"/>
                      <w:highlight w:val="none"/>
                    </w:rPr>
                    <w:t>1.0</w:t>
                  </w:r>
                </w:p>
              </w:tc>
              <w:tc>
                <w:tcPr>
                  <w:tcW w:w="631" w:type="dxa"/>
                  <w:tcBorders>
                    <w:tl2br w:val="nil"/>
                    <w:tr2bl w:val="nil"/>
                  </w:tcBorders>
                  <w:vAlign w:val="center"/>
                </w:tcPr>
                <w:p w14:paraId="5A8FB07F">
                  <w:pPr>
                    <w:widowControl/>
                    <w:jc w:val="center"/>
                    <w:textAlignment w:val="center"/>
                    <w:rPr>
                      <w:rFonts w:hint="default" w:eastAsia="宋体"/>
                      <w:bCs/>
                      <w:color w:val="auto"/>
                      <w:sz w:val="16"/>
                      <w:szCs w:val="16"/>
                      <w:highlight w:val="none"/>
                      <w:lang w:val="en-US" w:eastAsia="zh-CN"/>
                    </w:rPr>
                  </w:pPr>
                  <w:r>
                    <w:rPr>
                      <w:rFonts w:hint="eastAsia"/>
                      <w:bCs/>
                      <w:color w:val="auto"/>
                      <w:sz w:val="16"/>
                      <w:szCs w:val="16"/>
                      <w:highlight w:val="none"/>
                      <w:lang w:val="en-US" w:eastAsia="zh-CN"/>
                    </w:rPr>
                    <w:t>0.08</w:t>
                  </w:r>
                </w:p>
              </w:tc>
              <w:tc>
                <w:tcPr>
                  <w:tcW w:w="625" w:type="dxa"/>
                  <w:tcBorders>
                    <w:tl2br w:val="nil"/>
                    <w:tr2bl w:val="nil"/>
                  </w:tcBorders>
                  <w:vAlign w:val="center"/>
                </w:tcPr>
                <w:p w14:paraId="726FB98B">
                  <w:pPr>
                    <w:widowControl/>
                    <w:jc w:val="center"/>
                    <w:textAlignment w:val="center"/>
                    <w:rPr>
                      <w:bCs/>
                      <w:color w:val="auto"/>
                      <w:sz w:val="16"/>
                      <w:szCs w:val="16"/>
                      <w:highlight w:val="none"/>
                    </w:rPr>
                  </w:pPr>
                  <w:r>
                    <w:rPr>
                      <w:bCs/>
                      <w:color w:val="auto"/>
                      <w:kern w:val="0"/>
                      <w:sz w:val="16"/>
                      <w:szCs w:val="16"/>
                      <w:highlight w:val="none"/>
                      <w:lang w:bidi="ar"/>
                    </w:rPr>
                    <w:t>/</w:t>
                  </w:r>
                </w:p>
              </w:tc>
              <w:tc>
                <w:tcPr>
                  <w:tcW w:w="463" w:type="dxa"/>
                  <w:tcBorders>
                    <w:tl2br w:val="nil"/>
                    <w:tr2bl w:val="nil"/>
                  </w:tcBorders>
                  <w:vAlign w:val="center"/>
                </w:tcPr>
                <w:p w14:paraId="3DAFF419">
                  <w:pPr>
                    <w:widowControl/>
                    <w:jc w:val="center"/>
                    <w:textAlignment w:val="center"/>
                    <w:rPr>
                      <w:bCs/>
                      <w:color w:val="auto"/>
                      <w:sz w:val="16"/>
                      <w:szCs w:val="16"/>
                      <w:highlight w:val="none"/>
                    </w:rPr>
                  </w:pPr>
                  <w:r>
                    <w:rPr>
                      <w:bCs/>
                      <w:color w:val="auto"/>
                      <w:kern w:val="0"/>
                      <w:sz w:val="16"/>
                      <w:szCs w:val="16"/>
                      <w:highlight w:val="none"/>
                      <w:lang w:bidi="ar"/>
                    </w:rPr>
                    <w:t>/</w:t>
                  </w:r>
                </w:p>
              </w:tc>
              <w:tc>
                <w:tcPr>
                  <w:tcW w:w="562" w:type="dxa"/>
                  <w:tcBorders>
                    <w:tl2br w:val="nil"/>
                    <w:tr2bl w:val="nil"/>
                  </w:tcBorders>
                  <w:vAlign w:val="center"/>
                </w:tcPr>
                <w:p w14:paraId="7E9AD129">
                  <w:pPr>
                    <w:widowControl/>
                    <w:jc w:val="center"/>
                    <w:textAlignment w:val="center"/>
                    <w:rPr>
                      <w:bCs/>
                      <w:color w:val="auto"/>
                      <w:sz w:val="16"/>
                      <w:szCs w:val="16"/>
                      <w:highlight w:val="none"/>
                    </w:rPr>
                  </w:pPr>
                  <w:r>
                    <w:rPr>
                      <w:rFonts w:hint="eastAsia"/>
                      <w:bCs/>
                      <w:color w:val="auto"/>
                      <w:kern w:val="0"/>
                      <w:sz w:val="16"/>
                      <w:szCs w:val="16"/>
                      <w:highlight w:val="none"/>
                      <w:lang w:bidi="ar"/>
                    </w:rPr>
                    <w:t>4800</w:t>
                  </w:r>
                  <w:r>
                    <w:rPr>
                      <w:bCs/>
                      <w:color w:val="auto"/>
                      <w:kern w:val="0"/>
                      <w:sz w:val="16"/>
                      <w:szCs w:val="16"/>
                      <w:highlight w:val="none"/>
                      <w:lang w:bidi="ar"/>
                    </w:rPr>
                    <w:t>h</w:t>
                  </w:r>
                </w:p>
              </w:tc>
            </w:tr>
            <w:tr w14:paraId="7E0A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55" w:type="dxa"/>
                  <w:tcBorders>
                    <w:tl2br w:val="nil"/>
                    <w:tr2bl w:val="nil"/>
                  </w:tcBorders>
                  <w:vAlign w:val="center"/>
                </w:tcPr>
                <w:p w14:paraId="579F4D3F">
                  <w:pPr>
                    <w:widowControl/>
                    <w:jc w:val="center"/>
                    <w:textAlignment w:val="center"/>
                    <w:rPr>
                      <w:bCs/>
                      <w:color w:val="auto"/>
                      <w:sz w:val="16"/>
                      <w:szCs w:val="16"/>
                      <w:highlight w:val="none"/>
                    </w:rPr>
                  </w:pPr>
                  <w:r>
                    <w:rPr>
                      <w:rFonts w:hint="eastAsia"/>
                      <w:bCs/>
                      <w:color w:val="auto"/>
                      <w:sz w:val="16"/>
                      <w:szCs w:val="16"/>
                      <w:highlight w:val="none"/>
                    </w:rPr>
                    <w:t>打磨</w:t>
                  </w:r>
                </w:p>
              </w:tc>
              <w:tc>
                <w:tcPr>
                  <w:tcW w:w="355" w:type="dxa"/>
                  <w:tcBorders>
                    <w:tl2br w:val="nil"/>
                    <w:tr2bl w:val="nil"/>
                  </w:tcBorders>
                  <w:vAlign w:val="center"/>
                </w:tcPr>
                <w:p w14:paraId="2782D223">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颗粒物</w:t>
                  </w:r>
                </w:p>
              </w:tc>
              <w:tc>
                <w:tcPr>
                  <w:tcW w:w="355" w:type="dxa"/>
                  <w:vMerge w:val="continue"/>
                  <w:tcBorders>
                    <w:tl2br w:val="nil"/>
                    <w:tr2bl w:val="nil"/>
                  </w:tcBorders>
                  <w:vAlign w:val="center"/>
                </w:tcPr>
                <w:p w14:paraId="3B297E6C">
                  <w:pPr>
                    <w:jc w:val="center"/>
                    <w:rPr>
                      <w:bCs/>
                      <w:color w:val="auto"/>
                      <w:sz w:val="16"/>
                      <w:szCs w:val="16"/>
                      <w:highlight w:val="none"/>
                    </w:rPr>
                  </w:pPr>
                </w:p>
              </w:tc>
              <w:tc>
                <w:tcPr>
                  <w:tcW w:w="886" w:type="dxa"/>
                  <w:tcBorders>
                    <w:tl2br w:val="nil"/>
                    <w:tr2bl w:val="nil"/>
                  </w:tcBorders>
                  <w:vAlign w:val="center"/>
                </w:tcPr>
                <w:p w14:paraId="2CF82B1B">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739" w:type="dxa"/>
                  <w:tcBorders>
                    <w:tl2br w:val="nil"/>
                    <w:tr2bl w:val="nil"/>
                  </w:tcBorders>
                  <w:vAlign w:val="center"/>
                </w:tcPr>
                <w:p w14:paraId="5868CE74">
                  <w:pPr>
                    <w:widowControl/>
                    <w:jc w:val="center"/>
                    <w:textAlignment w:val="center"/>
                    <w:rPr>
                      <w:rFonts w:hint="default" w:eastAsia="宋体"/>
                      <w:bCs/>
                      <w:color w:val="auto"/>
                      <w:kern w:val="0"/>
                      <w:sz w:val="16"/>
                      <w:szCs w:val="16"/>
                      <w:highlight w:val="none"/>
                      <w:lang w:val="en-US" w:eastAsia="zh-CN" w:bidi="ar"/>
                    </w:rPr>
                  </w:pPr>
                  <w:r>
                    <w:rPr>
                      <w:rFonts w:hint="eastAsia"/>
                      <w:bCs/>
                      <w:color w:val="auto"/>
                      <w:kern w:val="0"/>
                      <w:sz w:val="16"/>
                      <w:szCs w:val="16"/>
                      <w:highlight w:val="none"/>
                      <w:lang w:val="en-US" w:eastAsia="zh-CN" w:bidi="ar"/>
                    </w:rPr>
                    <w:t>0.09</w:t>
                  </w:r>
                </w:p>
              </w:tc>
              <w:tc>
                <w:tcPr>
                  <w:tcW w:w="355" w:type="dxa"/>
                  <w:tcBorders>
                    <w:tl2br w:val="nil"/>
                    <w:tr2bl w:val="nil"/>
                  </w:tcBorders>
                  <w:vAlign w:val="center"/>
                </w:tcPr>
                <w:p w14:paraId="2B2A3C25">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无组织</w:t>
                  </w:r>
                </w:p>
              </w:tc>
              <w:tc>
                <w:tcPr>
                  <w:tcW w:w="978" w:type="dxa"/>
                  <w:vMerge w:val="restart"/>
                  <w:tcBorders>
                    <w:tl2br w:val="nil"/>
                    <w:tr2bl w:val="nil"/>
                  </w:tcBorders>
                  <w:vAlign w:val="center"/>
                </w:tcPr>
                <w:p w14:paraId="040F4C92">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每个不合格品返修平台配套1个移动式</w:t>
                  </w:r>
                  <w:r>
                    <w:rPr>
                      <w:rFonts w:hint="eastAsia"/>
                      <w:bCs/>
                      <w:color w:val="auto"/>
                      <w:kern w:val="0"/>
                      <w:sz w:val="16"/>
                      <w:szCs w:val="16"/>
                      <w:highlight w:val="none"/>
                      <w:lang w:eastAsia="zh-CN" w:bidi="ar"/>
                    </w:rPr>
                    <w:t>滤芯除尘器</w:t>
                  </w:r>
                  <w:r>
                    <w:rPr>
                      <w:rFonts w:hint="eastAsia"/>
                      <w:bCs/>
                      <w:color w:val="auto"/>
                      <w:kern w:val="0"/>
                      <w:sz w:val="16"/>
                      <w:szCs w:val="16"/>
                      <w:highlight w:val="none"/>
                      <w:lang w:bidi="ar"/>
                    </w:rPr>
                    <w:t>（含集气设备）</w:t>
                  </w:r>
                </w:p>
              </w:tc>
              <w:tc>
                <w:tcPr>
                  <w:tcW w:w="488" w:type="dxa"/>
                  <w:tcBorders>
                    <w:tl2br w:val="nil"/>
                    <w:tr2bl w:val="nil"/>
                  </w:tcBorders>
                  <w:vAlign w:val="center"/>
                </w:tcPr>
                <w:p w14:paraId="15C396AC">
                  <w:pPr>
                    <w:widowControl/>
                    <w:jc w:val="center"/>
                    <w:textAlignment w:val="center"/>
                    <w:rPr>
                      <w:bCs/>
                      <w:color w:val="auto"/>
                      <w:sz w:val="16"/>
                      <w:szCs w:val="16"/>
                      <w:highlight w:val="none"/>
                    </w:rPr>
                  </w:pPr>
                  <w:r>
                    <w:rPr>
                      <w:rFonts w:hint="eastAsia"/>
                      <w:bCs/>
                      <w:color w:val="auto"/>
                      <w:sz w:val="16"/>
                      <w:szCs w:val="16"/>
                      <w:highlight w:val="none"/>
                    </w:rPr>
                    <w:t>60%</w:t>
                  </w:r>
                </w:p>
              </w:tc>
              <w:tc>
                <w:tcPr>
                  <w:tcW w:w="440" w:type="dxa"/>
                  <w:tcBorders>
                    <w:tl2br w:val="nil"/>
                    <w:tr2bl w:val="nil"/>
                  </w:tcBorders>
                  <w:vAlign w:val="center"/>
                </w:tcPr>
                <w:p w14:paraId="79C87317">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95%</w:t>
                  </w:r>
                </w:p>
              </w:tc>
              <w:tc>
                <w:tcPr>
                  <w:tcW w:w="600" w:type="dxa"/>
                  <w:tcBorders>
                    <w:tl2br w:val="nil"/>
                    <w:tr2bl w:val="nil"/>
                  </w:tcBorders>
                  <w:vAlign w:val="center"/>
                </w:tcPr>
                <w:p w14:paraId="23830D1A">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是</w:t>
                  </w:r>
                </w:p>
              </w:tc>
              <w:tc>
                <w:tcPr>
                  <w:tcW w:w="404" w:type="dxa"/>
                  <w:vMerge w:val="continue"/>
                  <w:tcBorders>
                    <w:tl2br w:val="nil"/>
                    <w:tr2bl w:val="nil"/>
                  </w:tcBorders>
                  <w:vAlign w:val="center"/>
                </w:tcPr>
                <w:p w14:paraId="32EBFD3F">
                  <w:pPr>
                    <w:jc w:val="center"/>
                    <w:rPr>
                      <w:bCs/>
                      <w:color w:val="auto"/>
                      <w:sz w:val="16"/>
                      <w:szCs w:val="16"/>
                      <w:highlight w:val="none"/>
                    </w:rPr>
                  </w:pPr>
                </w:p>
              </w:tc>
              <w:tc>
                <w:tcPr>
                  <w:tcW w:w="768" w:type="dxa"/>
                  <w:tcBorders>
                    <w:tl2br w:val="nil"/>
                    <w:tr2bl w:val="nil"/>
                  </w:tcBorders>
                  <w:vAlign w:val="center"/>
                </w:tcPr>
                <w:p w14:paraId="28761E26">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666" w:type="dxa"/>
                  <w:tcBorders>
                    <w:tl2br w:val="nil"/>
                    <w:tr2bl w:val="nil"/>
                  </w:tcBorders>
                  <w:vAlign w:val="center"/>
                </w:tcPr>
                <w:p w14:paraId="4917996C">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881" w:type="dxa"/>
                  <w:tcBorders>
                    <w:tl2br w:val="nil"/>
                    <w:tr2bl w:val="nil"/>
                  </w:tcBorders>
                  <w:vAlign w:val="center"/>
                </w:tcPr>
                <w:p w14:paraId="1A5B1910">
                  <w:pPr>
                    <w:widowControl/>
                    <w:jc w:val="center"/>
                    <w:textAlignment w:val="center"/>
                    <w:rPr>
                      <w:rFonts w:hint="default" w:eastAsia="宋体"/>
                      <w:bCs/>
                      <w:color w:val="auto"/>
                      <w:kern w:val="0"/>
                      <w:sz w:val="16"/>
                      <w:szCs w:val="16"/>
                      <w:highlight w:val="none"/>
                      <w:lang w:val="en-US" w:eastAsia="zh-CN" w:bidi="ar"/>
                    </w:rPr>
                  </w:pPr>
                  <w:r>
                    <w:rPr>
                      <w:rFonts w:hint="eastAsia"/>
                      <w:bCs/>
                      <w:color w:val="auto"/>
                      <w:kern w:val="0"/>
                      <w:sz w:val="16"/>
                      <w:szCs w:val="16"/>
                      <w:highlight w:val="none"/>
                      <w:lang w:val="en-US" w:eastAsia="zh-CN" w:bidi="ar"/>
                    </w:rPr>
                    <w:t>0.04</w:t>
                  </w:r>
                </w:p>
              </w:tc>
              <w:tc>
                <w:tcPr>
                  <w:tcW w:w="544" w:type="dxa"/>
                  <w:tcBorders>
                    <w:tl2br w:val="nil"/>
                    <w:tr2bl w:val="nil"/>
                  </w:tcBorders>
                  <w:vAlign w:val="center"/>
                </w:tcPr>
                <w:p w14:paraId="60620DA3">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726" w:type="dxa"/>
                  <w:tcBorders>
                    <w:tl2br w:val="nil"/>
                    <w:tr2bl w:val="nil"/>
                  </w:tcBorders>
                  <w:vAlign w:val="center"/>
                </w:tcPr>
                <w:p w14:paraId="6881970C">
                  <w:pPr>
                    <w:widowControl/>
                    <w:jc w:val="center"/>
                    <w:textAlignment w:val="center"/>
                    <w:rPr>
                      <w:bCs/>
                      <w:color w:val="auto"/>
                      <w:sz w:val="16"/>
                      <w:szCs w:val="16"/>
                      <w:highlight w:val="none"/>
                    </w:rPr>
                  </w:pPr>
                  <w:r>
                    <w:rPr>
                      <w:rFonts w:hint="eastAsia"/>
                      <w:bCs/>
                      <w:color w:val="auto"/>
                      <w:sz w:val="16"/>
                      <w:szCs w:val="16"/>
                      <w:highlight w:val="none"/>
                    </w:rPr>
                    <w:t>1.0</w:t>
                  </w:r>
                </w:p>
              </w:tc>
              <w:tc>
                <w:tcPr>
                  <w:tcW w:w="631" w:type="dxa"/>
                  <w:tcBorders>
                    <w:tl2br w:val="nil"/>
                    <w:tr2bl w:val="nil"/>
                  </w:tcBorders>
                  <w:vAlign w:val="center"/>
                </w:tcPr>
                <w:p w14:paraId="25AF3193">
                  <w:pPr>
                    <w:widowControl/>
                    <w:jc w:val="center"/>
                    <w:textAlignment w:val="center"/>
                    <w:rPr>
                      <w:rFonts w:hint="default" w:eastAsia="宋体"/>
                      <w:bCs/>
                      <w:color w:val="auto"/>
                      <w:kern w:val="0"/>
                      <w:sz w:val="16"/>
                      <w:szCs w:val="16"/>
                      <w:highlight w:val="none"/>
                      <w:lang w:val="en-US" w:eastAsia="zh-CN" w:bidi="ar"/>
                    </w:rPr>
                  </w:pPr>
                  <w:r>
                    <w:rPr>
                      <w:rFonts w:hint="eastAsia"/>
                      <w:bCs/>
                      <w:color w:val="auto"/>
                      <w:kern w:val="0"/>
                      <w:sz w:val="16"/>
                      <w:szCs w:val="16"/>
                      <w:highlight w:val="none"/>
                      <w:lang w:val="en-US" w:eastAsia="zh-CN" w:bidi="ar"/>
                    </w:rPr>
                    <w:t>0.02</w:t>
                  </w:r>
                </w:p>
              </w:tc>
              <w:tc>
                <w:tcPr>
                  <w:tcW w:w="625" w:type="dxa"/>
                  <w:tcBorders>
                    <w:tl2br w:val="nil"/>
                    <w:tr2bl w:val="nil"/>
                  </w:tcBorders>
                  <w:vAlign w:val="center"/>
                </w:tcPr>
                <w:p w14:paraId="2A93995E">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463" w:type="dxa"/>
                  <w:tcBorders>
                    <w:tl2br w:val="nil"/>
                    <w:tr2bl w:val="nil"/>
                  </w:tcBorders>
                  <w:vAlign w:val="center"/>
                </w:tcPr>
                <w:p w14:paraId="71F6D24B">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562" w:type="dxa"/>
                  <w:tcBorders>
                    <w:tl2br w:val="nil"/>
                    <w:tr2bl w:val="nil"/>
                  </w:tcBorders>
                  <w:vAlign w:val="center"/>
                </w:tcPr>
                <w:p w14:paraId="15D2C5BE">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600h</w:t>
                  </w:r>
                </w:p>
              </w:tc>
            </w:tr>
            <w:tr w14:paraId="546C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5" w:type="dxa"/>
                  <w:tcBorders>
                    <w:tl2br w:val="nil"/>
                    <w:tr2bl w:val="nil"/>
                  </w:tcBorders>
                  <w:vAlign w:val="center"/>
                </w:tcPr>
                <w:p w14:paraId="675D2A4B">
                  <w:pPr>
                    <w:widowControl/>
                    <w:jc w:val="center"/>
                    <w:textAlignment w:val="center"/>
                    <w:rPr>
                      <w:bCs/>
                      <w:color w:val="auto"/>
                      <w:sz w:val="16"/>
                      <w:szCs w:val="16"/>
                      <w:highlight w:val="none"/>
                    </w:rPr>
                  </w:pPr>
                  <w:r>
                    <w:rPr>
                      <w:rFonts w:hint="eastAsia"/>
                      <w:bCs/>
                      <w:color w:val="auto"/>
                      <w:sz w:val="16"/>
                      <w:szCs w:val="16"/>
                      <w:highlight w:val="none"/>
                    </w:rPr>
                    <w:t>补焊</w:t>
                  </w:r>
                </w:p>
              </w:tc>
              <w:tc>
                <w:tcPr>
                  <w:tcW w:w="355" w:type="dxa"/>
                  <w:tcBorders>
                    <w:tl2br w:val="nil"/>
                    <w:tr2bl w:val="nil"/>
                  </w:tcBorders>
                  <w:vAlign w:val="center"/>
                </w:tcPr>
                <w:p w14:paraId="3D3E7433">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颗粒物</w:t>
                  </w:r>
                </w:p>
              </w:tc>
              <w:tc>
                <w:tcPr>
                  <w:tcW w:w="355" w:type="dxa"/>
                  <w:vMerge w:val="continue"/>
                  <w:tcBorders>
                    <w:tl2br w:val="nil"/>
                    <w:tr2bl w:val="nil"/>
                  </w:tcBorders>
                  <w:vAlign w:val="center"/>
                </w:tcPr>
                <w:p w14:paraId="6B1DA481">
                  <w:pPr>
                    <w:jc w:val="center"/>
                    <w:rPr>
                      <w:bCs/>
                      <w:color w:val="auto"/>
                      <w:sz w:val="16"/>
                      <w:szCs w:val="16"/>
                      <w:highlight w:val="none"/>
                    </w:rPr>
                  </w:pPr>
                </w:p>
              </w:tc>
              <w:tc>
                <w:tcPr>
                  <w:tcW w:w="886" w:type="dxa"/>
                  <w:tcBorders>
                    <w:tl2br w:val="nil"/>
                    <w:tr2bl w:val="nil"/>
                  </w:tcBorders>
                  <w:vAlign w:val="center"/>
                </w:tcPr>
                <w:p w14:paraId="5A65C869">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739" w:type="dxa"/>
                  <w:tcBorders>
                    <w:tl2br w:val="nil"/>
                    <w:tr2bl w:val="nil"/>
                  </w:tcBorders>
                  <w:vAlign w:val="center"/>
                </w:tcPr>
                <w:p w14:paraId="31DAB015">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0.034</w:t>
                  </w:r>
                </w:p>
              </w:tc>
              <w:tc>
                <w:tcPr>
                  <w:tcW w:w="355" w:type="dxa"/>
                  <w:tcBorders>
                    <w:tl2br w:val="nil"/>
                    <w:tr2bl w:val="nil"/>
                  </w:tcBorders>
                  <w:vAlign w:val="center"/>
                </w:tcPr>
                <w:p w14:paraId="3B8690E3">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无组织</w:t>
                  </w:r>
                </w:p>
              </w:tc>
              <w:tc>
                <w:tcPr>
                  <w:tcW w:w="978" w:type="dxa"/>
                  <w:vMerge w:val="continue"/>
                  <w:tcBorders>
                    <w:tl2br w:val="nil"/>
                    <w:tr2bl w:val="nil"/>
                  </w:tcBorders>
                  <w:vAlign w:val="center"/>
                </w:tcPr>
                <w:p w14:paraId="137ED32E">
                  <w:pPr>
                    <w:widowControl/>
                    <w:jc w:val="center"/>
                    <w:textAlignment w:val="center"/>
                    <w:rPr>
                      <w:bCs/>
                      <w:color w:val="auto"/>
                      <w:kern w:val="0"/>
                      <w:sz w:val="16"/>
                      <w:szCs w:val="16"/>
                      <w:highlight w:val="none"/>
                      <w:lang w:bidi="ar"/>
                    </w:rPr>
                  </w:pPr>
                </w:p>
              </w:tc>
              <w:tc>
                <w:tcPr>
                  <w:tcW w:w="488" w:type="dxa"/>
                  <w:tcBorders>
                    <w:tl2br w:val="nil"/>
                    <w:tr2bl w:val="nil"/>
                  </w:tcBorders>
                  <w:vAlign w:val="center"/>
                </w:tcPr>
                <w:p w14:paraId="4BFF726B">
                  <w:pPr>
                    <w:widowControl/>
                    <w:jc w:val="center"/>
                    <w:textAlignment w:val="center"/>
                    <w:rPr>
                      <w:bCs/>
                      <w:color w:val="auto"/>
                      <w:sz w:val="16"/>
                      <w:szCs w:val="16"/>
                      <w:highlight w:val="none"/>
                    </w:rPr>
                  </w:pPr>
                  <w:r>
                    <w:rPr>
                      <w:rFonts w:hint="eastAsia"/>
                      <w:bCs/>
                      <w:color w:val="auto"/>
                      <w:sz w:val="16"/>
                      <w:szCs w:val="16"/>
                      <w:highlight w:val="none"/>
                    </w:rPr>
                    <w:t>60%</w:t>
                  </w:r>
                </w:p>
              </w:tc>
              <w:tc>
                <w:tcPr>
                  <w:tcW w:w="440" w:type="dxa"/>
                  <w:tcBorders>
                    <w:tl2br w:val="nil"/>
                    <w:tr2bl w:val="nil"/>
                  </w:tcBorders>
                  <w:vAlign w:val="center"/>
                </w:tcPr>
                <w:p w14:paraId="2D0142A6">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95%</w:t>
                  </w:r>
                </w:p>
              </w:tc>
              <w:tc>
                <w:tcPr>
                  <w:tcW w:w="600" w:type="dxa"/>
                  <w:tcBorders>
                    <w:tl2br w:val="nil"/>
                    <w:tr2bl w:val="nil"/>
                  </w:tcBorders>
                  <w:vAlign w:val="center"/>
                </w:tcPr>
                <w:p w14:paraId="6BF0AA69">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是</w:t>
                  </w:r>
                </w:p>
              </w:tc>
              <w:tc>
                <w:tcPr>
                  <w:tcW w:w="404" w:type="dxa"/>
                  <w:vMerge w:val="continue"/>
                  <w:tcBorders>
                    <w:tl2br w:val="nil"/>
                    <w:tr2bl w:val="nil"/>
                  </w:tcBorders>
                  <w:vAlign w:val="center"/>
                </w:tcPr>
                <w:p w14:paraId="6EFEB9CC">
                  <w:pPr>
                    <w:jc w:val="center"/>
                    <w:rPr>
                      <w:bCs/>
                      <w:color w:val="auto"/>
                      <w:sz w:val="16"/>
                      <w:szCs w:val="16"/>
                      <w:highlight w:val="none"/>
                    </w:rPr>
                  </w:pPr>
                </w:p>
              </w:tc>
              <w:tc>
                <w:tcPr>
                  <w:tcW w:w="768" w:type="dxa"/>
                  <w:tcBorders>
                    <w:tl2br w:val="nil"/>
                    <w:tr2bl w:val="nil"/>
                  </w:tcBorders>
                  <w:vAlign w:val="center"/>
                </w:tcPr>
                <w:p w14:paraId="55D5371B">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666" w:type="dxa"/>
                  <w:tcBorders>
                    <w:tl2br w:val="nil"/>
                    <w:tr2bl w:val="nil"/>
                  </w:tcBorders>
                  <w:vAlign w:val="center"/>
                </w:tcPr>
                <w:p w14:paraId="6A4289F9">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881" w:type="dxa"/>
                  <w:tcBorders>
                    <w:tl2br w:val="nil"/>
                    <w:tr2bl w:val="nil"/>
                  </w:tcBorders>
                  <w:vAlign w:val="center"/>
                </w:tcPr>
                <w:p w14:paraId="63A9DB01">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0.015</w:t>
                  </w:r>
                </w:p>
              </w:tc>
              <w:tc>
                <w:tcPr>
                  <w:tcW w:w="544" w:type="dxa"/>
                  <w:tcBorders>
                    <w:tl2br w:val="nil"/>
                    <w:tr2bl w:val="nil"/>
                  </w:tcBorders>
                  <w:vAlign w:val="center"/>
                </w:tcPr>
                <w:p w14:paraId="594B0362">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726" w:type="dxa"/>
                  <w:tcBorders>
                    <w:tl2br w:val="nil"/>
                    <w:tr2bl w:val="nil"/>
                  </w:tcBorders>
                  <w:vAlign w:val="center"/>
                </w:tcPr>
                <w:p w14:paraId="1A2788B5">
                  <w:pPr>
                    <w:widowControl/>
                    <w:jc w:val="center"/>
                    <w:textAlignment w:val="center"/>
                    <w:rPr>
                      <w:bCs/>
                      <w:color w:val="auto"/>
                      <w:sz w:val="16"/>
                      <w:szCs w:val="16"/>
                      <w:highlight w:val="none"/>
                    </w:rPr>
                  </w:pPr>
                  <w:r>
                    <w:rPr>
                      <w:rFonts w:hint="eastAsia"/>
                      <w:bCs/>
                      <w:color w:val="auto"/>
                      <w:sz w:val="16"/>
                      <w:szCs w:val="16"/>
                      <w:highlight w:val="none"/>
                    </w:rPr>
                    <w:t>1.0</w:t>
                  </w:r>
                </w:p>
              </w:tc>
              <w:tc>
                <w:tcPr>
                  <w:tcW w:w="631" w:type="dxa"/>
                  <w:tcBorders>
                    <w:tl2br w:val="nil"/>
                    <w:tr2bl w:val="nil"/>
                  </w:tcBorders>
                  <w:vAlign w:val="center"/>
                </w:tcPr>
                <w:p w14:paraId="7424ACF5">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0.02</w:t>
                  </w:r>
                </w:p>
              </w:tc>
              <w:tc>
                <w:tcPr>
                  <w:tcW w:w="625" w:type="dxa"/>
                  <w:tcBorders>
                    <w:tl2br w:val="nil"/>
                    <w:tr2bl w:val="nil"/>
                  </w:tcBorders>
                  <w:vAlign w:val="center"/>
                </w:tcPr>
                <w:p w14:paraId="3EB617E0">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463" w:type="dxa"/>
                  <w:tcBorders>
                    <w:tl2br w:val="nil"/>
                    <w:tr2bl w:val="nil"/>
                  </w:tcBorders>
                  <w:vAlign w:val="center"/>
                </w:tcPr>
                <w:p w14:paraId="7E413999">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562" w:type="dxa"/>
                  <w:tcBorders>
                    <w:tl2br w:val="nil"/>
                    <w:tr2bl w:val="nil"/>
                  </w:tcBorders>
                  <w:vAlign w:val="center"/>
                </w:tcPr>
                <w:p w14:paraId="36170BDA">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1200h</w:t>
                  </w:r>
                </w:p>
              </w:tc>
            </w:tr>
            <w:tr w14:paraId="1B72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55" w:type="dxa"/>
                  <w:tcBorders>
                    <w:tl2br w:val="nil"/>
                    <w:tr2bl w:val="nil"/>
                  </w:tcBorders>
                  <w:vAlign w:val="center"/>
                </w:tcPr>
                <w:p w14:paraId="270608DC">
                  <w:pPr>
                    <w:widowControl/>
                    <w:jc w:val="center"/>
                    <w:textAlignment w:val="center"/>
                    <w:rPr>
                      <w:bCs/>
                      <w:color w:val="auto"/>
                      <w:sz w:val="16"/>
                      <w:szCs w:val="16"/>
                      <w:highlight w:val="none"/>
                    </w:rPr>
                  </w:pPr>
                  <w:bookmarkStart w:id="67" w:name="hmcheck_b0fc72db04194bfc99374221f02f8b2c"/>
                  <w:r>
                    <w:rPr>
                      <w:rFonts w:hint="eastAsia"/>
                      <w:bCs/>
                      <w:color w:val="auto"/>
                      <w:sz w:val="16"/>
                      <w:szCs w:val="16"/>
                      <w:highlight w:val="none"/>
                      <w:shd w:val="clear" w:fill="FFAFAA"/>
                    </w:rPr>
                    <w:t>滚边</w:t>
                  </w:r>
                  <w:bookmarkEnd w:id="67"/>
                  <w:r>
                    <w:rPr>
                      <w:rFonts w:hint="eastAsia"/>
                      <w:bCs/>
                      <w:color w:val="auto"/>
                      <w:sz w:val="16"/>
                      <w:szCs w:val="16"/>
                      <w:highlight w:val="none"/>
                    </w:rPr>
                    <w:t>打胶</w:t>
                  </w:r>
                </w:p>
              </w:tc>
              <w:tc>
                <w:tcPr>
                  <w:tcW w:w="355" w:type="dxa"/>
                  <w:tcBorders>
                    <w:tl2br w:val="nil"/>
                    <w:tr2bl w:val="nil"/>
                  </w:tcBorders>
                  <w:vAlign w:val="center"/>
                </w:tcPr>
                <w:p w14:paraId="6D0B29AB">
                  <w:pPr>
                    <w:widowControl/>
                    <w:jc w:val="center"/>
                    <w:textAlignment w:val="center"/>
                    <w:rPr>
                      <w:rFonts w:hint="default" w:eastAsia="宋体"/>
                      <w:bCs/>
                      <w:color w:val="auto"/>
                      <w:kern w:val="0"/>
                      <w:sz w:val="16"/>
                      <w:szCs w:val="16"/>
                      <w:highlight w:val="none"/>
                      <w:lang w:val="en-US" w:eastAsia="zh-CN" w:bidi="ar"/>
                    </w:rPr>
                  </w:pPr>
                  <w:r>
                    <w:rPr>
                      <w:rFonts w:hint="eastAsia"/>
                      <w:bCs/>
                      <w:color w:val="auto"/>
                      <w:kern w:val="0"/>
                      <w:sz w:val="16"/>
                      <w:szCs w:val="16"/>
                      <w:highlight w:val="none"/>
                      <w:lang w:val="en-US" w:eastAsia="zh-CN" w:bidi="ar"/>
                    </w:rPr>
                    <w:t>NMHC</w:t>
                  </w:r>
                </w:p>
              </w:tc>
              <w:tc>
                <w:tcPr>
                  <w:tcW w:w="355" w:type="dxa"/>
                  <w:vMerge w:val="continue"/>
                  <w:tcBorders>
                    <w:tl2br w:val="nil"/>
                    <w:tr2bl w:val="nil"/>
                  </w:tcBorders>
                  <w:vAlign w:val="center"/>
                </w:tcPr>
                <w:p w14:paraId="19A13436">
                  <w:pPr>
                    <w:jc w:val="center"/>
                    <w:rPr>
                      <w:bCs/>
                      <w:color w:val="auto"/>
                      <w:sz w:val="16"/>
                      <w:szCs w:val="16"/>
                      <w:highlight w:val="none"/>
                    </w:rPr>
                  </w:pPr>
                </w:p>
              </w:tc>
              <w:tc>
                <w:tcPr>
                  <w:tcW w:w="886" w:type="dxa"/>
                  <w:tcBorders>
                    <w:tl2br w:val="nil"/>
                    <w:tr2bl w:val="nil"/>
                  </w:tcBorders>
                  <w:vAlign w:val="center"/>
                </w:tcPr>
                <w:p w14:paraId="1EE85BFA">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739" w:type="dxa"/>
                  <w:tcBorders>
                    <w:tl2br w:val="nil"/>
                    <w:tr2bl w:val="nil"/>
                  </w:tcBorders>
                  <w:vAlign w:val="center"/>
                </w:tcPr>
                <w:p w14:paraId="4A736B43">
                  <w:pPr>
                    <w:widowControl/>
                    <w:jc w:val="center"/>
                    <w:textAlignment w:val="center"/>
                    <w:rPr>
                      <w:rFonts w:hint="default" w:eastAsia="宋体"/>
                      <w:bCs/>
                      <w:color w:val="auto"/>
                      <w:kern w:val="0"/>
                      <w:sz w:val="16"/>
                      <w:szCs w:val="16"/>
                      <w:highlight w:val="none"/>
                      <w:lang w:val="en-US" w:eastAsia="zh-CN" w:bidi="ar"/>
                    </w:rPr>
                  </w:pPr>
                  <w:r>
                    <w:rPr>
                      <w:rFonts w:hint="eastAsia"/>
                      <w:bCs/>
                      <w:color w:val="auto"/>
                      <w:kern w:val="0"/>
                      <w:sz w:val="16"/>
                      <w:szCs w:val="16"/>
                      <w:highlight w:val="none"/>
                      <w:lang w:val="en-US" w:eastAsia="zh-CN" w:bidi="ar"/>
                    </w:rPr>
                    <w:t>0.001</w:t>
                  </w:r>
                </w:p>
              </w:tc>
              <w:tc>
                <w:tcPr>
                  <w:tcW w:w="355" w:type="dxa"/>
                  <w:tcBorders>
                    <w:tl2br w:val="nil"/>
                    <w:tr2bl w:val="nil"/>
                  </w:tcBorders>
                  <w:vAlign w:val="center"/>
                </w:tcPr>
                <w:p w14:paraId="387F9D9C">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无组织</w:t>
                  </w:r>
                </w:p>
              </w:tc>
              <w:tc>
                <w:tcPr>
                  <w:tcW w:w="978" w:type="dxa"/>
                  <w:tcBorders>
                    <w:tl2br w:val="nil"/>
                    <w:tr2bl w:val="nil"/>
                  </w:tcBorders>
                  <w:vAlign w:val="center"/>
                </w:tcPr>
                <w:p w14:paraId="20A9E59E">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选用低挥发性</w:t>
                  </w:r>
                  <w:bookmarkStart w:id="68" w:name="hmcheck_d6b9510099054148ad1053f2c9a32cc8"/>
                  <w:r>
                    <w:rPr>
                      <w:rFonts w:hint="eastAsia"/>
                      <w:bCs/>
                      <w:color w:val="auto"/>
                      <w:kern w:val="0"/>
                      <w:sz w:val="16"/>
                      <w:szCs w:val="16"/>
                      <w:highlight w:val="none"/>
                      <w:shd w:val="clear" w:fill="B2E9BC"/>
                      <w:lang w:eastAsia="zh-CN" w:bidi="ar"/>
                    </w:rPr>
                    <w:t>胶黏剂</w:t>
                  </w:r>
                  <w:bookmarkEnd w:id="68"/>
                </w:p>
              </w:tc>
              <w:tc>
                <w:tcPr>
                  <w:tcW w:w="488" w:type="dxa"/>
                  <w:tcBorders>
                    <w:tl2br w:val="nil"/>
                    <w:tr2bl w:val="nil"/>
                  </w:tcBorders>
                  <w:vAlign w:val="center"/>
                </w:tcPr>
                <w:p w14:paraId="069C3EBF">
                  <w:pPr>
                    <w:widowControl/>
                    <w:jc w:val="center"/>
                    <w:textAlignment w:val="center"/>
                    <w:rPr>
                      <w:bCs/>
                      <w:color w:val="auto"/>
                      <w:sz w:val="16"/>
                      <w:szCs w:val="16"/>
                      <w:highlight w:val="none"/>
                    </w:rPr>
                  </w:pPr>
                  <w:r>
                    <w:rPr>
                      <w:rFonts w:hint="eastAsia"/>
                      <w:bCs/>
                      <w:color w:val="auto"/>
                      <w:sz w:val="16"/>
                      <w:szCs w:val="16"/>
                      <w:highlight w:val="none"/>
                    </w:rPr>
                    <w:t>/</w:t>
                  </w:r>
                </w:p>
              </w:tc>
              <w:tc>
                <w:tcPr>
                  <w:tcW w:w="440" w:type="dxa"/>
                  <w:tcBorders>
                    <w:tl2br w:val="nil"/>
                    <w:tr2bl w:val="nil"/>
                  </w:tcBorders>
                  <w:vAlign w:val="center"/>
                </w:tcPr>
                <w:p w14:paraId="42211E7E">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w:t>
                  </w:r>
                </w:p>
              </w:tc>
              <w:tc>
                <w:tcPr>
                  <w:tcW w:w="600" w:type="dxa"/>
                  <w:tcBorders>
                    <w:tl2br w:val="nil"/>
                    <w:tr2bl w:val="nil"/>
                  </w:tcBorders>
                  <w:vAlign w:val="center"/>
                </w:tcPr>
                <w:p w14:paraId="29956781">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是</w:t>
                  </w:r>
                </w:p>
              </w:tc>
              <w:tc>
                <w:tcPr>
                  <w:tcW w:w="404" w:type="dxa"/>
                  <w:vMerge w:val="continue"/>
                  <w:tcBorders>
                    <w:tl2br w:val="nil"/>
                    <w:tr2bl w:val="nil"/>
                  </w:tcBorders>
                  <w:vAlign w:val="center"/>
                </w:tcPr>
                <w:p w14:paraId="1AE6EB00">
                  <w:pPr>
                    <w:jc w:val="center"/>
                    <w:rPr>
                      <w:bCs/>
                      <w:color w:val="auto"/>
                      <w:sz w:val="16"/>
                      <w:szCs w:val="16"/>
                      <w:highlight w:val="none"/>
                    </w:rPr>
                  </w:pPr>
                </w:p>
              </w:tc>
              <w:tc>
                <w:tcPr>
                  <w:tcW w:w="768" w:type="dxa"/>
                  <w:tcBorders>
                    <w:tl2br w:val="nil"/>
                    <w:tr2bl w:val="nil"/>
                  </w:tcBorders>
                  <w:vAlign w:val="center"/>
                </w:tcPr>
                <w:p w14:paraId="671FBAA9">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666" w:type="dxa"/>
                  <w:tcBorders>
                    <w:tl2br w:val="nil"/>
                    <w:tr2bl w:val="nil"/>
                  </w:tcBorders>
                  <w:vAlign w:val="center"/>
                </w:tcPr>
                <w:p w14:paraId="38F7E1A9">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881" w:type="dxa"/>
                  <w:tcBorders>
                    <w:tl2br w:val="nil"/>
                    <w:tr2bl w:val="nil"/>
                  </w:tcBorders>
                  <w:vAlign w:val="center"/>
                </w:tcPr>
                <w:p w14:paraId="23B1ACE0">
                  <w:pPr>
                    <w:widowControl/>
                    <w:jc w:val="center"/>
                    <w:textAlignment w:val="center"/>
                    <w:rPr>
                      <w:rFonts w:hint="default" w:eastAsia="宋体"/>
                      <w:bCs/>
                      <w:color w:val="auto"/>
                      <w:kern w:val="0"/>
                      <w:sz w:val="16"/>
                      <w:szCs w:val="16"/>
                      <w:highlight w:val="none"/>
                      <w:lang w:val="en-US" w:eastAsia="zh-CN" w:bidi="ar"/>
                    </w:rPr>
                  </w:pPr>
                  <w:r>
                    <w:rPr>
                      <w:rFonts w:hint="eastAsia"/>
                      <w:bCs/>
                      <w:color w:val="auto"/>
                      <w:kern w:val="0"/>
                      <w:sz w:val="16"/>
                      <w:szCs w:val="16"/>
                      <w:highlight w:val="none"/>
                      <w:lang w:val="en-US" w:eastAsia="zh-CN" w:bidi="ar"/>
                    </w:rPr>
                    <w:t>0.001</w:t>
                  </w:r>
                </w:p>
              </w:tc>
              <w:tc>
                <w:tcPr>
                  <w:tcW w:w="544" w:type="dxa"/>
                  <w:tcBorders>
                    <w:tl2br w:val="nil"/>
                    <w:tr2bl w:val="nil"/>
                  </w:tcBorders>
                  <w:vAlign w:val="center"/>
                </w:tcPr>
                <w:p w14:paraId="74E23CF9">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726" w:type="dxa"/>
                  <w:tcBorders>
                    <w:tl2br w:val="nil"/>
                    <w:tr2bl w:val="nil"/>
                  </w:tcBorders>
                  <w:vAlign w:val="center"/>
                </w:tcPr>
                <w:p w14:paraId="64C3A358">
                  <w:pPr>
                    <w:widowControl/>
                    <w:jc w:val="center"/>
                    <w:textAlignment w:val="center"/>
                    <w:rPr>
                      <w:bCs/>
                      <w:color w:val="auto"/>
                      <w:sz w:val="16"/>
                      <w:szCs w:val="16"/>
                      <w:highlight w:val="none"/>
                    </w:rPr>
                  </w:pPr>
                  <w:r>
                    <w:rPr>
                      <w:rFonts w:hint="eastAsia"/>
                      <w:bCs/>
                      <w:color w:val="auto"/>
                      <w:sz w:val="16"/>
                      <w:szCs w:val="16"/>
                      <w:highlight w:val="none"/>
                    </w:rPr>
                    <w:t>4.0</w:t>
                  </w:r>
                </w:p>
              </w:tc>
              <w:tc>
                <w:tcPr>
                  <w:tcW w:w="631" w:type="dxa"/>
                  <w:tcBorders>
                    <w:tl2br w:val="nil"/>
                    <w:tr2bl w:val="nil"/>
                  </w:tcBorders>
                  <w:vAlign w:val="center"/>
                </w:tcPr>
                <w:p w14:paraId="5809671E">
                  <w:pPr>
                    <w:widowControl/>
                    <w:jc w:val="center"/>
                    <w:textAlignment w:val="center"/>
                    <w:rPr>
                      <w:rFonts w:hint="default" w:eastAsia="宋体"/>
                      <w:bCs/>
                      <w:color w:val="auto"/>
                      <w:kern w:val="0"/>
                      <w:sz w:val="16"/>
                      <w:szCs w:val="16"/>
                      <w:highlight w:val="none"/>
                      <w:lang w:val="en-US" w:eastAsia="zh-CN" w:bidi="ar"/>
                    </w:rPr>
                  </w:pPr>
                  <w:r>
                    <w:rPr>
                      <w:rFonts w:hint="eastAsia"/>
                      <w:bCs/>
                      <w:color w:val="auto"/>
                      <w:kern w:val="0"/>
                      <w:sz w:val="16"/>
                      <w:szCs w:val="16"/>
                      <w:highlight w:val="none"/>
                      <w:lang w:val="en-US" w:eastAsia="zh-CN" w:bidi="ar"/>
                    </w:rPr>
                    <w:t>0.006</w:t>
                  </w:r>
                </w:p>
              </w:tc>
              <w:tc>
                <w:tcPr>
                  <w:tcW w:w="625" w:type="dxa"/>
                  <w:tcBorders>
                    <w:tl2br w:val="nil"/>
                    <w:tr2bl w:val="nil"/>
                  </w:tcBorders>
                  <w:vAlign w:val="center"/>
                </w:tcPr>
                <w:p w14:paraId="2BB81252">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463" w:type="dxa"/>
                  <w:tcBorders>
                    <w:tl2br w:val="nil"/>
                    <w:tr2bl w:val="nil"/>
                  </w:tcBorders>
                  <w:vAlign w:val="center"/>
                </w:tcPr>
                <w:p w14:paraId="75A032C8">
                  <w:pPr>
                    <w:widowControl/>
                    <w:jc w:val="center"/>
                    <w:textAlignment w:val="center"/>
                    <w:rPr>
                      <w:bCs/>
                      <w:color w:val="auto"/>
                      <w:kern w:val="0"/>
                      <w:sz w:val="16"/>
                      <w:szCs w:val="16"/>
                      <w:highlight w:val="none"/>
                      <w:lang w:bidi="ar"/>
                    </w:rPr>
                  </w:pPr>
                  <w:r>
                    <w:rPr>
                      <w:bCs/>
                      <w:color w:val="auto"/>
                      <w:kern w:val="0"/>
                      <w:sz w:val="16"/>
                      <w:szCs w:val="16"/>
                      <w:highlight w:val="none"/>
                      <w:lang w:bidi="ar"/>
                    </w:rPr>
                    <w:t>/</w:t>
                  </w:r>
                </w:p>
              </w:tc>
              <w:tc>
                <w:tcPr>
                  <w:tcW w:w="562" w:type="dxa"/>
                  <w:tcBorders>
                    <w:tl2br w:val="nil"/>
                    <w:tr2bl w:val="nil"/>
                  </w:tcBorders>
                  <w:vAlign w:val="center"/>
                </w:tcPr>
                <w:p w14:paraId="2B0311FE">
                  <w:pPr>
                    <w:widowControl/>
                    <w:jc w:val="center"/>
                    <w:textAlignment w:val="center"/>
                    <w:rPr>
                      <w:rFonts w:hint="default" w:eastAsia="宋体"/>
                      <w:bCs/>
                      <w:color w:val="auto"/>
                      <w:kern w:val="0"/>
                      <w:sz w:val="16"/>
                      <w:szCs w:val="16"/>
                      <w:highlight w:val="none"/>
                      <w:lang w:val="en-US" w:eastAsia="zh-CN" w:bidi="ar"/>
                    </w:rPr>
                  </w:pPr>
                  <w:r>
                    <w:rPr>
                      <w:rFonts w:hint="eastAsia"/>
                      <w:bCs/>
                      <w:color w:val="auto"/>
                      <w:kern w:val="0"/>
                      <w:sz w:val="16"/>
                      <w:szCs w:val="16"/>
                      <w:highlight w:val="none"/>
                      <w:lang w:val="en-US" w:eastAsia="zh-CN" w:bidi="ar"/>
                    </w:rPr>
                    <w:t>600h</w:t>
                  </w:r>
                </w:p>
              </w:tc>
            </w:tr>
            <w:tr w14:paraId="252A9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55" w:type="dxa"/>
                  <w:tcBorders>
                    <w:tl2br w:val="nil"/>
                    <w:tr2bl w:val="nil"/>
                  </w:tcBorders>
                  <w:vAlign w:val="center"/>
                </w:tcPr>
                <w:p w14:paraId="0DF6D8BE">
                  <w:pPr>
                    <w:jc w:val="center"/>
                    <w:rPr>
                      <w:bCs/>
                      <w:color w:val="auto"/>
                      <w:sz w:val="16"/>
                      <w:szCs w:val="16"/>
                      <w:highlight w:val="none"/>
                    </w:rPr>
                  </w:pPr>
                  <w:r>
                    <w:rPr>
                      <w:rFonts w:hint="eastAsia"/>
                      <w:bCs/>
                      <w:color w:val="auto"/>
                      <w:sz w:val="16"/>
                      <w:szCs w:val="16"/>
                      <w:highlight w:val="none"/>
                    </w:rPr>
                    <w:t>有组织</w:t>
                  </w:r>
                </w:p>
              </w:tc>
              <w:tc>
                <w:tcPr>
                  <w:tcW w:w="355" w:type="dxa"/>
                  <w:tcBorders>
                    <w:tl2br w:val="nil"/>
                    <w:tr2bl w:val="nil"/>
                  </w:tcBorders>
                  <w:vAlign w:val="center"/>
                </w:tcPr>
                <w:p w14:paraId="6C4F526A">
                  <w:pPr>
                    <w:jc w:val="center"/>
                    <w:rPr>
                      <w:bCs/>
                      <w:color w:val="auto"/>
                      <w:kern w:val="0"/>
                      <w:sz w:val="16"/>
                      <w:szCs w:val="16"/>
                      <w:highlight w:val="none"/>
                      <w:lang w:bidi="ar"/>
                    </w:rPr>
                  </w:pPr>
                  <w:r>
                    <w:rPr>
                      <w:rFonts w:hint="eastAsia"/>
                      <w:bCs/>
                      <w:color w:val="auto"/>
                      <w:sz w:val="16"/>
                      <w:szCs w:val="16"/>
                      <w:highlight w:val="none"/>
                    </w:rPr>
                    <w:t>颗粒物</w:t>
                  </w:r>
                </w:p>
              </w:tc>
              <w:tc>
                <w:tcPr>
                  <w:tcW w:w="355" w:type="dxa"/>
                  <w:vMerge w:val="continue"/>
                  <w:tcBorders>
                    <w:tl2br w:val="nil"/>
                    <w:tr2bl w:val="nil"/>
                  </w:tcBorders>
                  <w:vAlign w:val="center"/>
                </w:tcPr>
                <w:p w14:paraId="277195C6">
                  <w:pPr>
                    <w:widowControl/>
                    <w:jc w:val="center"/>
                    <w:textAlignment w:val="center"/>
                    <w:rPr>
                      <w:bCs/>
                      <w:color w:val="auto"/>
                      <w:sz w:val="16"/>
                      <w:szCs w:val="16"/>
                      <w:highlight w:val="none"/>
                    </w:rPr>
                  </w:pPr>
                </w:p>
              </w:tc>
              <w:tc>
                <w:tcPr>
                  <w:tcW w:w="886" w:type="dxa"/>
                  <w:tcBorders>
                    <w:tl2br w:val="nil"/>
                    <w:tr2bl w:val="nil"/>
                  </w:tcBorders>
                  <w:vAlign w:val="center"/>
                </w:tcPr>
                <w:p w14:paraId="7AC4E694">
                  <w:pPr>
                    <w:widowControl/>
                    <w:jc w:val="center"/>
                    <w:textAlignment w:val="center"/>
                    <w:rPr>
                      <w:bCs/>
                      <w:color w:val="auto"/>
                      <w:kern w:val="0"/>
                      <w:sz w:val="16"/>
                      <w:szCs w:val="16"/>
                      <w:highlight w:val="none"/>
                      <w:lang w:bidi="ar"/>
                    </w:rPr>
                  </w:pPr>
                  <w:r>
                    <w:rPr>
                      <w:rFonts w:hint="eastAsia"/>
                      <w:bCs/>
                      <w:color w:val="auto"/>
                      <w:sz w:val="16"/>
                      <w:szCs w:val="16"/>
                      <w:highlight w:val="none"/>
                    </w:rPr>
                    <w:t>/</w:t>
                  </w:r>
                </w:p>
              </w:tc>
              <w:tc>
                <w:tcPr>
                  <w:tcW w:w="739" w:type="dxa"/>
                  <w:tcBorders>
                    <w:tl2br w:val="nil"/>
                    <w:tr2bl w:val="nil"/>
                  </w:tcBorders>
                  <w:vAlign w:val="center"/>
                </w:tcPr>
                <w:p w14:paraId="6A033D78">
                  <w:pPr>
                    <w:widowControl/>
                    <w:jc w:val="center"/>
                    <w:textAlignment w:val="center"/>
                    <w:rPr>
                      <w:bCs/>
                      <w:color w:val="auto"/>
                      <w:kern w:val="0"/>
                      <w:sz w:val="16"/>
                      <w:szCs w:val="16"/>
                      <w:highlight w:val="none"/>
                      <w:lang w:bidi="ar"/>
                    </w:rPr>
                  </w:pPr>
                  <w:r>
                    <w:rPr>
                      <w:rFonts w:hint="eastAsia"/>
                      <w:bCs/>
                      <w:color w:val="auto"/>
                      <w:sz w:val="16"/>
                      <w:szCs w:val="16"/>
                      <w:highlight w:val="none"/>
                    </w:rPr>
                    <w:t>/</w:t>
                  </w:r>
                </w:p>
              </w:tc>
              <w:tc>
                <w:tcPr>
                  <w:tcW w:w="355" w:type="dxa"/>
                  <w:tcBorders>
                    <w:tl2br w:val="nil"/>
                    <w:tr2bl w:val="nil"/>
                  </w:tcBorders>
                  <w:vAlign w:val="center"/>
                </w:tcPr>
                <w:p w14:paraId="5756E89B">
                  <w:pPr>
                    <w:widowControl/>
                    <w:jc w:val="center"/>
                    <w:textAlignment w:val="center"/>
                    <w:rPr>
                      <w:bCs/>
                      <w:color w:val="auto"/>
                      <w:kern w:val="0"/>
                      <w:sz w:val="16"/>
                      <w:szCs w:val="16"/>
                      <w:highlight w:val="none"/>
                      <w:lang w:bidi="ar"/>
                    </w:rPr>
                  </w:pPr>
                  <w:r>
                    <w:rPr>
                      <w:rFonts w:hint="eastAsia"/>
                      <w:bCs/>
                      <w:color w:val="auto"/>
                      <w:sz w:val="16"/>
                      <w:szCs w:val="16"/>
                      <w:highlight w:val="none"/>
                    </w:rPr>
                    <w:t>/</w:t>
                  </w:r>
                </w:p>
              </w:tc>
              <w:tc>
                <w:tcPr>
                  <w:tcW w:w="978" w:type="dxa"/>
                  <w:tcBorders>
                    <w:tl2br w:val="nil"/>
                    <w:tr2bl w:val="nil"/>
                  </w:tcBorders>
                  <w:vAlign w:val="center"/>
                </w:tcPr>
                <w:p w14:paraId="211798F1">
                  <w:pPr>
                    <w:widowControl/>
                    <w:jc w:val="center"/>
                    <w:textAlignment w:val="center"/>
                    <w:rPr>
                      <w:bCs/>
                      <w:color w:val="auto"/>
                      <w:kern w:val="0"/>
                      <w:sz w:val="16"/>
                      <w:szCs w:val="16"/>
                      <w:highlight w:val="none"/>
                      <w:lang w:bidi="ar"/>
                    </w:rPr>
                  </w:pPr>
                  <w:r>
                    <w:rPr>
                      <w:rFonts w:hint="eastAsia"/>
                      <w:bCs/>
                      <w:color w:val="auto"/>
                      <w:sz w:val="16"/>
                      <w:szCs w:val="16"/>
                      <w:highlight w:val="none"/>
                    </w:rPr>
                    <w:t>/</w:t>
                  </w:r>
                </w:p>
              </w:tc>
              <w:tc>
                <w:tcPr>
                  <w:tcW w:w="488" w:type="dxa"/>
                  <w:tcBorders>
                    <w:tl2br w:val="nil"/>
                    <w:tr2bl w:val="nil"/>
                  </w:tcBorders>
                  <w:vAlign w:val="center"/>
                </w:tcPr>
                <w:p w14:paraId="2D8B4DDC">
                  <w:pPr>
                    <w:widowControl/>
                    <w:jc w:val="center"/>
                    <w:textAlignment w:val="center"/>
                    <w:rPr>
                      <w:bCs/>
                      <w:color w:val="auto"/>
                      <w:kern w:val="0"/>
                      <w:sz w:val="16"/>
                      <w:szCs w:val="16"/>
                      <w:highlight w:val="none"/>
                      <w:lang w:bidi="ar"/>
                    </w:rPr>
                  </w:pPr>
                  <w:r>
                    <w:rPr>
                      <w:rFonts w:hint="eastAsia"/>
                      <w:bCs/>
                      <w:color w:val="auto"/>
                      <w:sz w:val="16"/>
                      <w:szCs w:val="16"/>
                      <w:highlight w:val="none"/>
                    </w:rPr>
                    <w:t>/</w:t>
                  </w:r>
                </w:p>
              </w:tc>
              <w:tc>
                <w:tcPr>
                  <w:tcW w:w="440" w:type="dxa"/>
                  <w:tcBorders>
                    <w:tl2br w:val="nil"/>
                    <w:tr2bl w:val="nil"/>
                  </w:tcBorders>
                  <w:vAlign w:val="center"/>
                </w:tcPr>
                <w:p w14:paraId="6BEB293B">
                  <w:pPr>
                    <w:widowControl/>
                    <w:jc w:val="center"/>
                    <w:textAlignment w:val="center"/>
                    <w:rPr>
                      <w:bCs/>
                      <w:color w:val="auto"/>
                      <w:kern w:val="0"/>
                      <w:sz w:val="16"/>
                      <w:szCs w:val="16"/>
                      <w:highlight w:val="none"/>
                      <w:lang w:bidi="ar"/>
                    </w:rPr>
                  </w:pPr>
                  <w:r>
                    <w:rPr>
                      <w:rFonts w:hint="eastAsia"/>
                      <w:bCs/>
                      <w:color w:val="auto"/>
                      <w:sz w:val="16"/>
                      <w:szCs w:val="16"/>
                      <w:highlight w:val="none"/>
                    </w:rPr>
                    <w:t>/</w:t>
                  </w:r>
                </w:p>
              </w:tc>
              <w:tc>
                <w:tcPr>
                  <w:tcW w:w="600" w:type="dxa"/>
                  <w:tcBorders>
                    <w:tl2br w:val="nil"/>
                    <w:tr2bl w:val="nil"/>
                  </w:tcBorders>
                  <w:vAlign w:val="center"/>
                </w:tcPr>
                <w:p w14:paraId="51B6E15B">
                  <w:pPr>
                    <w:widowControl/>
                    <w:jc w:val="center"/>
                    <w:textAlignment w:val="center"/>
                    <w:rPr>
                      <w:bCs/>
                      <w:color w:val="auto"/>
                      <w:kern w:val="0"/>
                      <w:sz w:val="16"/>
                      <w:szCs w:val="16"/>
                      <w:highlight w:val="none"/>
                      <w:lang w:bidi="ar"/>
                    </w:rPr>
                  </w:pPr>
                  <w:r>
                    <w:rPr>
                      <w:rFonts w:hint="eastAsia"/>
                      <w:bCs/>
                      <w:color w:val="auto"/>
                      <w:sz w:val="16"/>
                      <w:szCs w:val="16"/>
                      <w:highlight w:val="none"/>
                    </w:rPr>
                    <w:t>/</w:t>
                  </w:r>
                </w:p>
              </w:tc>
              <w:tc>
                <w:tcPr>
                  <w:tcW w:w="404" w:type="dxa"/>
                  <w:tcBorders>
                    <w:tl2br w:val="nil"/>
                    <w:tr2bl w:val="nil"/>
                  </w:tcBorders>
                  <w:vAlign w:val="center"/>
                </w:tcPr>
                <w:p w14:paraId="7C20E5E9">
                  <w:pPr>
                    <w:widowControl/>
                    <w:jc w:val="center"/>
                    <w:textAlignment w:val="center"/>
                    <w:rPr>
                      <w:bCs/>
                      <w:color w:val="auto"/>
                      <w:kern w:val="0"/>
                      <w:sz w:val="16"/>
                      <w:szCs w:val="16"/>
                      <w:highlight w:val="none"/>
                      <w:lang w:bidi="ar"/>
                    </w:rPr>
                  </w:pPr>
                  <w:r>
                    <w:rPr>
                      <w:rFonts w:hint="eastAsia"/>
                      <w:bCs/>
                      <w:color w:val="auto"/>
                      <w:sz w:val="16"/>
                      <w:szCs w:val="16"/>
                      <w:highlight w:val="none"/>
                    </w:rPr>
                    <w:t>/</w:t>
                  </w:r>
                </w:p>
              </w:tc>
              <w:tc>
                <w:tcPr>
                  <w:tcW w:w="768" w:type="dxa"/>
                  <w:tcBorders>
                    <w:tl2br w:val="nil"/>
                    <w:tr2bl w:val="nil"/>
                  </w:tcBorders>
                  <w:vAlign w:val="center"/>
                </w:tcPr>
                <w:p w14:paraId="6CDAF7F0">
                  <w:pPr>
                    <w:widowControl/>
                    <w:jc w:val="center"/>
                    <w:textAlignment w:val="center"/>
                    <w:rPr>
                      <w:bCs/>
                      <w:color w:val="auto"/>
                      <w:kern w:val="0"/>
                      <w:sz w:val="16"/>
                      <w:szCs w:val="16"/>
                      <w:highlight w:val="none"/>
                      <w:lang w:bidi="ar"/>
                    </w:rPr>
                  </w:pPr>
                  <w:r>
                    <w:rPr>
                      <w:rFonts w:hint="eastAsia"/>
                      <w:bCs/>
                      <w:color w:val="auto"/>
                      <w:sz w:val="16"/>
                      <w:szCs w:val="16"/>
                      <w:highlight w:val="none"/>
                    </w:rPr>
                    <w:t>/</w:t>
                  </w:r>
                </w:p>
              </w:tc>
              <w:tc>
                <w:tcPr>
                  <w:tcW w:w="666" w:type="dxa"/>
                  <w:tcBorders>
                    <w:tl2br w:val="nil"/>
                    <w:tr2bl w:val="nil"/>
                  </w:tcBorders>
                  <w:vAlign w:val="center"/>
                </w:tcPr>
                <w:p w14:paraId="5F6EEA2D">
                  <w:pPr>
                    <w:widowControl/>
                    <w:jc w:val="center"/>
                    <w:textAlignment w:val="center"/>
                    <w:rPr>
                      <w:bCs/>
                      <w:color w:val="auto"/>
                      <w:kern w:val="0"/>
                      <w:sz w:val="16"/>
                      <w:szCs w:val="16"/>
                      <w:highlight w:val="none"/>
                      <w:lang w:bidi="ar"/>
                    </w:rPr>
                  </w:pPr>
                  <w:r>
                    <w:rPr>
                      <w:rFonts w:hint="eastAsia"/>
                      <w:bCs/>
                      <w:color w:val="auto"/>
                      <w:sz w:val="16"/>
                      <w:szCs w:val="16"/>
                      <w:highlight w:val="none"/>
                    </w:rPr>
                    <w:t>/</w:t>
                  </w:r>
                </w:p>
              </w:tc>
              <w:tc>
                <w:tcPr>
                  <w:tcW w:w="881" w:type="dxa"/>
                  <w:tcBorders>
                    <w:tl2br w:val="nil"/>
                    <w:tr2bl w:val="nil"/>
                  </w:tcBorders>
                  <w:vAlign w:val="center"/>
                </w:tcPr>
                <w:p w14:paraId="3B5B83CA">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0.003</w:t>
                  </w:r>
                  <w:r>
                    <w:rPr>
                      <w:bCs/>
                      <w:color w:val="auto"/>
                      <w:kern w:val="0"/>
                      <w:sz w:val="16"/>
                      <w:szCs w:val="16"/>
                      <w:highlight w:val="none"/>
                      <w:lang w:bidi="ar"/>
                    </w:rPr>
                    <w:t xml:space="preserve"> </w:t>
                  </w:r>
                </w:p>
              </w:tc>
              <w:tc>
                <w:tcPr>
                  <w:tcW w:w="544" w:type="dxa"/>
                  <w:tcBorders>
                    <w:tl2br w:val="nil"/>
                    <w:tr2bl w:val="nil"/>
                  </w:tcBorders>
                  <w:vAlign w:val="center"/>
                </w:tcPr>
                <w:p w14:paraId="128EC1AE">
                  <w:pPr>
                    <w:widowControl/>
                    <w:jc w:val="center"/>
                    <w:textAlignment w:val="center"/>
                    <w:rPr>
                      <w:bCs/>
                      <w:color w:val="auto"/>
                      <w:kern w:val="0"/>
                      <w:sz w:val="16"/>
                      <w:szCs w:val="16"/>
                      <w:highlight w:val="none"/>
                      <w:lang w:bidi="ar"/>
                    </w:rPr>
                  </w:pPr>
                  <w:r>
                    <w:rPr>
                      <w:rFonts w:hint="eastAsia"/>
                      <w:bCs/>
                      <w:color w:val="auto"/>
                      <w:sz w:val="16"/>
                      <w:szCs w:val="16"/>
                      <w:highlight w:val="none"/>
                    </w:rPr>
                    <w:t>/</w:t>
                  </w:r>
                </w:p>
              </w:tc>
              <w:tc>
                <w:tcPr>
                  <w:tcW w:w="726" w:type="dxa"/>
                  <w:tcBorders>
                    <w:tl2br w:val="nil"/>
                    <w:tr2bl w:val="nil"/>
                  </w:tcBorders>
                  <w:vAlign w:val="center"/>
                </w:tcPr>
                <w:p w14:paraId="2426BDA7">
                  <w:pPr>
                    <w:widowControl/>
                    <w:jc w:val="center"/>
                    <w:textAlignment w:val="center"/>
                    <w:rPr>
                      <w:bCs/>
                      <w:color w:val="auto"/>
                      <w:kern w:val="0"/>
                      <w:sz w:val="16"/>
                      <w:szCs w:val="16"/>
                      <w:highlight w:val="none"/>
                      <w:lang w:bidi="ar"/>
                    </w:rPr>
                  </w:pPr>
                  <w:r>
                    <w:rPr>
                      <w:rFonts w:hint="eastAsia"/>
                      <w:bCs/>
                      <w:color w:val="auto"/>
                      <w:sz w:val="16"/>
                      <w:szCs w:val="16"/>
                      <w:highlight w:val="none"/>
                    </w:rPr>
                    <w:t>/</w:t>
                  </w:r>
                </w:p>
              </w:tc>
              <w:tc>
                <w:tcPr>
                  <w:tcW w:w="631" w:type="dxa"/>
                  <w:tcBorders>
                    <w:tl2br w:val="nil"/>
                    <w:tr2bl w:val="nil"/>
                  </w:tcBorders>
                  <w:vAlign w:val="center"/>
                </w:tcPr>
                <w:p w14:paraId="4B282278">
                  <w:pPr>
                    <w:widowControl/>
                    <w:jc w:val="center"/>
                    <w:textAlignment w:val="center"/>
                    <w:rPr>
                      <w:bCs/>
                      <w:color w:val="auto"/>
                      <w:kern w:val="0"/>
                      <w:sz w:val="16"/>
                      <w:szCs w:val="16"/>
                      <w:highlight w:val="none"/>
                      <w:lang w:bidi="ar"/>
                    </w:rPr>
                  </w:pPr>
                  <w:r>
                    <w:rPr>
                      <w:rFonts w:hint="eastAsia"/>
                      <w:bCs/>
                      <w:color w:val="auto"/>
                      <w:kern w:val="0"/>
                      <w:sz w:val="16"/>
                      <w:szCs w:val="16"/>
                      <w:highlight w:val="none"/>
                      <w:lang w:bidi="ar"/>
                    </w:rPr>
                    <w:t>0.01</w:t>
                  </w:r>
                  <w:r>
                    <w:rPr>
                      <w:bCs/>
                      <w:color w:val="auto"/>
                      <w:kern w:val="0"/>
                      <w:sz w:val="16"/>
                      <w:szCs w:val="16"/>
                      <w:highlight w:val="none"/>
                      <w:lang w:bidi="ar"/>
                    </w:rPr>
                    <w:t xml:space="preserve"> </w:t>
                  </w:r>
                </w:p>
              </w:tc>
              <w:tc>
                <w:tcPr>
                  <w:tcW w:w="625" w:type="dxa"/>
                  <w:tcBorders>
                    <w:tl2br w:val="nil"/>
                    <w:tr2bl w:val="nil"/>
                  </w:tcBorders>
                  <w:vAlign w:val="center"/>
                </w:tcPr>
                <w:p w14:paraId="1C081328">
                  <w:pPr>
                    <w:widowControl/>
                    <w:jc w:val="center"/>
                    <w:textAlignment w:val="center"/>
                    <w:rPr>
                      <w:bCs/>
                      <w:color w:val="auto"/>
                      <w:kern w:val="0"/>
                      <w:sz w:val="16"/>
                      <w:szCs w:val="16"/>
                      <w:highlight w:val="none"/>
                      <w:lang w:bidi="ar"/>
                    </w:rPr>
                  </w:pPr>
                  <w:r>
                    <w:rPr>
                      <w:rFonts w:hint="eastAsia"/>
                      <w:bCs/>
                      <w:color w:val="auto"/>
                      <w:sz w:val="16"/>
                      <w:szCs w:val="16"/>
                      <w:highlight w:val="none"/>
                    </w:rPr>
                    <w:t>/</w:t>
                  </w:r>
                </w:p>
              </w:tc>
              <w:tc>
                <w:tcPr>
                  <w:tcW w:w="463" w:type="dxa"/>
                  <w:tcBorders>
                    <w:tl2br w:val="nil"/>
                    <w:tr2bl w:val="nil"/>
                  </w:tcBorders>
                  <w:vAlign w:val="center"/>
                </w:tcPr>
                <w:p w14:paraId="59DEF5F8">
                  <w:pPr>
                    <w:widowControl/>
                    <w:jc w:val="center"/>
                    <w:textAlignment w:val="center"/>
                    <w:rPr>
                      <w:bCs/>
                      <w:color w:val="auto"/>
                      <w:kern w:val="0"/>
                      <w:sz w:val="16"/>
                      <w:szCs w:val="16"/>
                      <w:highlight w:val="none"/>
                      <w:lang w:bidi="ar"/>
                    </w:rPr>
                  </w:pPr>
                  <w:r>
                    <w:rPr>
                      <w:rFonts w:hint="eastAsia"/>
                      <w:bCs/>
                      <w:color w:val="auto"/>
                      <w:sz w:val="16"/>
                      <w:szCs w:val="16"/>
                      <w:highlight w:val="none"/>
                    </w:rPr>
                    <w:t>/</w:t>
                  </w:r>
                </w:p>
              </w:tc>
              <w:tc>
                <w:tcPr>
                  <w:tcW w:w="562" w:type="dxa"/>
                  <w:tcBorders>
                    <w:tl2br w:val="nil"/>
                    <w:tr2bl w:val="nil"/>
                  </w:tcBorders>
                  <w:vAlign w:val="center"/>
                </w:tcPr>
                <w:p w14:paraId="338DE6A1">
                  <w:pPr>
                    <w:widowControl/>
                    <w:jc w:val="center"/>
                    <w:textAlignment w:val="center"/>
                    <w:rPr>
                      <w:bCs/>
                      <w:color w:val="auto"/>
                      <w:sz w:val="16"/>
                      <w:szCs w:val="16"/>
                      <w:highlight w:val="none"/>
                    </w:rPr>
                  </w:pPr>
                  <w:r>
                    <w:rPr>
                      <w:rFonts w:hint="eastAsia"/>
                      <w:bCs/>
                      <w:color w:val="auto"/>
                      <w:sz w:val="16"/>
                      <w:szCs w:val="16"/>
                      <w:highlight w:val="none"/>
                    </w:rPr>
                    <w:t>/</w:t>
                  </w:r>
                </w:p>
              </w:tc>
            </w:tr>
          </w:tbl>
          <w:p w14:paraId="4717D654">
            <w:pPr>
              <w:adjustRightInd w:val="0"/>
              <w:snapToGrid w:val="0"/>
              <w:spacing w:line="480" w:lineRule="exact"/>
              <w:ind w:firstLine="520" w:firstLineChars="200"/>
              <w:rPr>
                <w:color w:val="auto"/>
                <w:sz w:val="26"/>
                <w:szCs w:val="26"/>
                <w:highlight w:val="none"/>
              </w:rPr>
            </w:pPr>
          </w:p>
        </w:tc>
      </w:tr>
    </w:tbl>
    <w:p w14:paraId="0B46AFCA">
      <w:pPr>
        <w:adjustRightInd w:val="0"/>
        <w:snapToGrid w:val="0"/>
        <w:rPr>
          <w:rFonts w:ascii="宋体" w:hAnsi="宋体" w:cs="宋体"/>
          <w:bCs/>
          <w:color w:val="auto"/>
          <w:szCs w:val="21"/>
          <w:highlight w:val="none"/>
        </w:rPr>
      </w:pPr>
    </w:p>
    <w:p w14:paraId="4F6E4C9C">
      <w:pPr>
        <w:adjustRightInd w:val="0"/>
        <w:snapToGrid w:val="0"/>
        <w:jc w:val="center"/>
        <w:rPr>
          <w:rFonts w:ascii="宋体" w:hAnsi="宋体" w:cs="宋体"/>
          <w:bCs/>
          <w:color w:val="auto"/>
          <w:szCs w:val="21"/>
          <w:highlight w:val="none"/>
        </w:rPr>
        <w:sectPr>
          <w:pgSz w:w="16840" w:h="11907" w:orient="landscape"/>
          <w:pgMar w:top="1531" w:right="1701" w:bottom="1531" w:left="2127" w:header="851" w:footer="851" w:gutter="0"/>
          <w:cols w:space="720" w:num="1"/>
          <w:docGrid w:linePitch="312" w:charSpace="0"/>
        </w:sectPr>
      </w:pP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65A132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5" w:hRule="atLeast"/>
          <w:jc w:val="center"/>
        </w:trPr>
        <w:tc>
          <w:tcPr>
            <w:tcW w:w="746" w:type="dxa"/>
            <w:tcMar>
              <w:left w:w="28" w:type="dxa"/>
              <w:right w:w="28" w:type="dxa"/>
            </w:tcMar>
            <w:vAlign w:val="center"/>
          </w:tcPr>
          <w:p w14:paraId="58A95F43">
            <w:pPr>
              <w:adjustRightInd w:val="0"/>
              <w:snapToGrid w:val="0"/>
              <w:ind w:firstLine="130" w:firstLineChars="50"/>
              <w:jc w:val="center"/>
              <w:rPr>
                <w:bCs/>
                <w:color w:val="auto"/>
                <w:sz w:val="26"/>
                <w:szCs w:val="26"/>
                <w:highlight w:val="none"/>
              </w:rPr>
            </w:pPr>
            <w:r>
              <w:rPr>
                <w:bCs/>
                <w:color w:val="auto"/>
                <w:sz w:val="26"/>
                <w:szCs w:val="26"/>
                <w:highlight w:val="none"/>
              </w:rPr>
              <w:t>运营</w:t>
            </w:r>
          </w:p>
          <w:p w14:paraId="36461B18">
            <w:pPr>
              <w:adjustRightInd w:val="0"/>
              <w:snapToGrid w:val="0"/>
              <w:jc w:val="center"/>
              <w:rPr>
                <w:bCs/>
                <w:color w:val="auto"/>
                <w:sz w:val="26"/>
                <w:szCs w:val="26"/>
                <w:highlight w:val="none"/>
              </w:rPr>
            </w:pPr>
            <w:r>
              <w:rPr>
                <w:bCs/>
                <w:color w:val="auto"/>
                <w:sz w:val="26"/>
                <w:szCs w:val="26"/>
                <w:highlight w:val="none"/>
              </w:rPr>
              <w:t>期环</w:t>
            </w:r>
          </w:p>
          <w:p w14:paraId="57C93BE2">
            <w:pPr>
              <w:adjustRightInd w:val="0"/>
              <w:snapToGrid w:val="0"/>
              <w:jc w:val="center"/>
              <w:rPr>
                <w:bCs/>
                <w:color w:val="auto"/>
                <w:sz w:val="26"/>
                <w:szCs w:val="26"/>
                <w:highlight w:val="none"/>
              </w:rPr>
            </w:pPr>
            <w:r>
              <w:rPr>
                <w:bCs/>
                <w:color w:val="auto"/>
                <w:sz w:val="26"/>
                <w:szCs w:val="26"/>
                <w:highlight w:val="none"/>
              </w:rPr>
              <w:t>境影</w:t>
            </w:r>
          </w:p>
          <w:p w14:paraId="18BE72A3">
            <w:pPr>
              <w:adjustRightInd w:val="0"/>
              <w:snapToGrid w:val="0"/>
              <w:jc w:val="center"/>
              <w:rPr>
                <w:bCs/>
                <w:color w:val="auto"/>
                <w:sz w:val="26"/>
                <w:szCs w:val="26"/>
                <w:highlight w:val="none"/>
              </w:rPr>
            </w:pPr>
            <w:r>
              <w:rPr>
                <w:bCs/>
                <w:color w:val="auto"/>
                <w:sz w:val="26"/>
                <w:szCs w:val="26"/>
                <w:highlight w:val="none"/>
              </w:rPr>
              <w:t>响和</w:t>
            </w:r>
          </w:p>
          <w:p w14:paraId="4E5D23C2">
            <w:pPr>
              <w:adjustRightInd w:val="0"/>
              <w:snapToGrid w:val="0"/>
              <w:jc w:val="center"/>
              <w:rPr>
                <w:bCs/>
                <w:color w:val="auto"/>
                <w:sz w:val="26"/>
                <w:szCs w:val="26"/>
                <w:highlight w:val="none"/>
              </w:rPr>
            </w:pPr>
            <w:r>
              <w:rPr>
                <w:bCs/>
                <w:color w:val="auto"/>
                <w:sz w:val="26"/>
                <w:szCs w:val="26"/>
                <w:highlight w:val="none"/>
              </w:rPr>
              <w:t>保护</w:t>
            </w:r>
          </w:p>
          <w:p w14:paraId="737A5288">
            <w:pPr>
              <w:pStyle w:val="15"/>
              <w:adjustRightInd w:val="0"/>
              <w:snapToGrid w:val="0"/>
              <w:spacing w:before="0" w:beforeAutospacing="0" w:after="0" w:afterAutospacing="0"/>
              <w:jc w:val="center"/>
              <w:rPr>
                <w:rFonts w:ascii="Times New Roman" w:hAnsi="Times New Roman"/>
                <w:bCs/>
                <w:color w:val="auto"/>
                <w:kern w:val="2"/>
                <w:sz w:val="21"/>
                <w:szCs w:val="21"/>
                <w:highlight w:val="none"/>
              </w:rPr>
            </w:pPr>
            <w:r>
              <w:rPr>
                <w:rFonts w:ascii="Times New Roman" w:hAnsi="Times New Roman"/>
                <w:bCs/>
                <w:color w:val="auto"/>
                <w:sz w:val="26"/>
                <w:szCs w:val="26"/>
                <w:highlight w:val="none"/>
              </w:rPr>
              <w:t>措施</w:t>
            </w:r>
          </w:p>
        </w:tc>
        <w:tc>
          <w:tcPr>
            <w:tcW w:w="8162" w:type="dxa"/>
          </w:tcPr>
          <w:p w14:paraId="2D21F05C">
            <w:pPr>
              <w:pStyle w:val="79"/>
              <w:spacing w:line="480" w:lineRule="exact"/>
              <w:ind w:firstLine="522" w:firstLineChars="200"/>
              <w:jc w:val="both"/>
              <w:outlineLvl w:val="1"/>
              <w:rPr>
                <w:bCs w:val="0"/>
                <w:color w:val="auto"/>
                <w:sz w:val="26"/>
                <w:szCs w:val="26"/>
                <w:highlight w:val="none"/>
              </w:rPr>
            </w:pPr>
            <w:r>
              <w:rPr>
                <w:bCs w:val="0"/>
                <w:color w:val="auto"/>
                <w:sz w:val="26"/>
                <w:szCs w:val="26"/>
                <w:highlight w:val="none"/>
              </w:rPr>
              <w:t>4.2.1.1 废气污染源源强核算</w:t>
            </w:r>
          </w:p>
          <w:p w14:paraId="636229B9">
            <w:pPr>
              <w:pStyle w:val="67"/>
              <w:spacing w:line="480" w:lineRule="exact"/>
              <w:ind w:firstLine="522"/>
              <w:jc w:val="both"/>
              <w:rPr>
                <w:b/>
                <w:color w:val="auto"/>
                <w:sz w:val="26"/>
                <w:szCs w:val="26"/>
                <w:highlight w:val="none"/>
              </w:rPr>
            </w:pPr>
            <w:r>
              <w:rPr>
                <w:b/>
                <w:color w:val="auto"/>
                <w:sz w:val="26"/>
                <w:szCs w:val="26"/>
                <w:highlight w:val="none"/>
              </w:rPr>
              <w:t>（1）切割粉尘G1</w:t>
            </w:r>
          </w:p>
          <w:p w14:paraId="188A3A87">
            <w:pPr>
              <w:pStyle w:val="67"/>
              <w:spacing w:line="480" w:lineRule="exact"/>
              <w:ind w:firstLine="520"/>
              <w:jc w:val="both"/>
              <w:rPr>
                <w:rFonts w:eastAsiaTheme="minorEastAsia"/>
                <w:b/>
                <w:color w:val="auto"/>
                <w:sz w:val="26"/>
                <w:szCs w:val="26"/>
                <w:highlight w:val="none"/>
              </w:rPr>
            </w:pPr>
            <w:r>
              <w:rPr>
                <w:color w:val="auto"/>
                <w:sz w:val="26"/>
                <w:szCs w:val="26"/>
                <w:highlight w:val="none"/>
              </w:rPr>
              <w:t>根据《第二次全国污染源普查工业污染源产排污系数手册》中“33-37，431-434 机械行业系数手册”，类比等离子切割颗粒物产污系数为1.10kg/t原料。激光切割设备全密闭，产生的切割粉尘经设备自带的滤筒除尘器处理后在厂房内无组织排放。</w:t>
            </w:r>
            <w:r>
              <w:rPr>
                <w:rFonts w:hint="eastAsia"/>
                <w:color w:val="auto"/>
                <w:sz w:val="26"/>
                <w:szCs w:val="26"/>
                <w:highlight w:val="none"/>
                <w:lang w:eastAsia="zh-CN"/>
              </w:rPr>
              <w:t>根据建设单位提供资料，</w:t>
            </w:r>
            <w:r>
              <w:rPr>
                <w:color w:val="auto"/>
                <w:sz w:val="26"/>
                <w:szCs w:val="26"/>
                <w:highlight w:val="none"/>
              </w:rPr>
              <w:t>项目</w:t>
            </w:r>
            <w:r>
              <w:rPr>
                <w:rFonts w:hint="eastAsia"/>
                <w:color w:val="auto"/>
                <w:sz w:val="26"/>
                <w:szCs w:val="26"/>
                <w:highlight w:val="none"/>
                <w:lang w:eastAsia="zh-CN"/>
              </w:rPr>
              <w:t>使用</w:t>
            </w:r>
            <w:r>
              <w:rPr>
                <w:color w:val="auto"/>
                <w:sz w:val="26"/>
                <w:szCs w:val="26"/>
                <w:highlight w:val="none"/>
              </w:rPr>
              <w:t>原料年消耗量34090t，</w:t>
            </w:r>
            <w:r>
              <w:rPr>
                <w:rFonts w:hint="eastAsia"/>
                <w:color w:val="auto"/>
                <w:sz w:val="26"/>
                <w:szCs w:val="26"/>
                <w:highlight w:val="none"/>
                <w:lang w:eastAsia="zh-CN"/>
              </w:rPr>
              <w:t>按照产品尺寸设计将钢板、钢卷切割为固定形状，并非原料所有部位都需要进行切割，原料中实际切割物料仅为原料的</w:t>
            </w:r>
            <w:r>
              <w:rPr>
                <w:rFonts w:hint="eastAsia"/>
                <w:color w:val="auto"/>
                <w:sz w:val="26"/>
                <w:szCs w:val="26"/>
                <w:highlight w:val="none"/>
                <w:lang w:val="en-US" w:eastAsia="zh-CN"/>
              </w:rPr>
              <w:t>3%</w:t>
            </w:r>
            <w:r>
              <w:rPr>
                <w:rFonts w:hint="eastAsia"/>
                <w:color w:val="auto"/>
                <w:sz w:val="26"/>
                <w:szCs w:val="26"/>
                <w:highlight w:val="none"/>
                <w:lang w:eastAsia="zh-CN"/>
              </w:rPr>
              <w:t>，则项目年切割物料量为</w:t>
            </w:r>
            <w:r>
              <w:rPr>
                <w:rFonts w:hint="eastAsia"/>
                <w:color w:val="auto"/>
                <w:sz w:val="26"/>
                <w:szCs w:val="26"/>
                <w:highlight w:val="none"/>
                <w:lang w:val="en-US" w:eastAsia="zh-CN"/>
              </w:rPr>
              <w:t>1022.7t</w:t>
            </w:r>
            <w:r>
              <w:rPr>
                <w:rFonts w:hint="eastAsia"/>
                <w:color w:val="auto"/>
                <w:sz w:val="26"/>
                <w:szCs w:val="26"/>
                <w:highlight w:val="none"/>
                <w:lang w:eastAsia="zh-CN"/>
              </w:rPr>
              <w:t>，</w:t>
            </w:r>
            <w:r>
              <w:rPr>
                <w:color w:val="auto"/>
                <w:sz w:val="26"/>
                <w:szCs w:val="26"/>
                <w:highlight w:val="none"/>
              </w:rPr>
              <w:t>激光切割工作时间约4800h/a，则颗粒物产生量为</w:t>
            </w:r>
            <w:r>
              <w:rPr>
                <w:rFonts w:hint="default"/>
                <w:color w:val="auto"/>
                <w:sz w:val="26"/>
                <w:szCs w:val="26"/>
                <w:highlight w:val="none"/>
                <w:lang w:val="en-US" w:eastAsia="zh-CN"/>
              </w:rPr>
              <w:t>1.12</w:t>
            </w:r>
            <w:r>
              <w:rPr>
                <w:color w:val="auto"/>
                <w:sz w:val="26"/>
                <w:szCs w:val="26"/>
                <w:highlight w:val="none"/>
              </w:rPr>
              <w:t>t/a（</w:t>
            </w:r>
            <w:r>
              <w:rPr>
                <w:rFonts w:hint="default"/>
                <w:color w:val="auto"/>
                <w:sz w:val="26"/>
                <w:szCs w:val="26"/>
                <w:highlight w:val="none"/>
                <w:lang w:val="en-US" w:eastAsia="zh-CN"/>
              </w:rPr>
              <w:t>0.23</w:t>
            </w:r>
            <w:r>
              <w:rPr>
                <w:color w:val="auto"/>
                <w:sz w:val="26"/>
                <w:szCs w:val="26"/>
                <w:highlight w:val="none"/>
              </w:rPr>
              <w:t>kg/h）；激光切割设备全密闭，粉尘收集率约98%，滤筒除尘器除尘效率</w:t>
            </w:r>
            <w:r>
              <w:rPr>
                <w:rFonts w:hint="eastAsia"/>
                <w:color w:val="auto"/>
                <w:sz w:val="26"/>
                <w:szCs w:val="26"/>
                <w:highlight w:val="none"/>
                <w:lang w:eastAsia="zh-CN"/>
              </w:rPr>
              <w:t>取</w:t>
            </w:r>
            <w:r>
              <w:rPr>
                <w:rFonts w:hint="eastAsia"/>
                <w:color w:val="auto"/>
                <w:sz w:val="26"/>
                <w:szCs w:val="26"/>
                <w:highlight w:val="none"/>
                <w:lang w:val="en-US" w:eastAsia="zh-CN"/>
              </w:rPr>
              <w:t>95</w:t>
            </w:r>
            <w:r>
              <w:rPr>
                <w:color w:val="auto"/>
                <w:sz w:val="26"/>
                <w:szCs w:val="26"/>
                <w:highlight w:val="none"/>
              </w:rPr>
              <w:t>%，则切割粉尘厂房内无组织排放量约</w:t>
            </w:r>
            <w:r>
              <w:rPr>
                <w:rFonts w:hint="eastAsia"/>
                <w:color w:val="auto"/>
                <w:sz w:val="26"/>
                <w:szCs w:val="26"/>
                <w:highlight w:val="none"/>
                <w:lang w:val="en-US" w:eastAsia="zh-CN"/>
              </w:rPr>
              <w:t>0.08</w:t>
            </w:r>
            <w:r>
              <w:rPr>
                <w:color w:val="auto"/>
                <w:sz w:val="26"/>
                <w:szCs w:val="26"/>
                <w:highlight w:val="none"/>
              </w:rPr>
              <w:t>t/a（</w:t>
            </w:r>
            <w:r>
              <w:rPr>
                <w:rFonts w:hint="eastAsia" w:eastAsiaTheme="minorEastAsia"/>
                <w:color w:val="auto"/>
                <w:sz w:val="26"/>
                <w:szCs w:val="26"/>
                <w:highlight w:val="none"/>
                <w:lang w:val="en-US" w:eastAsia="zh-CN"/>
              </w:rPr>
              <w:t>0.02</w:t>
            </w:r>
            <w:r>
              <w:rPr>
                <w:rFonts w:eastAsiaTheme="minorEastAsia"/>
                <w:color w:val="auto"/>
                <w:sz w:val="26"/>
                <w:szCs w:val="26"/>
                <w:highlight w:val="none"/>
              </w:rPr>
              <w:t>kg/h</w:t>
            </w:r>
            <w:r>
              <w:rPr>
                <w:color w:val="auto"/>
                <w:sz w:val="26"/>
                <w:szCs w:val="26"/>
                <w:highlight w:val="none"/>
              </w:rPr>
              <w:t>）</w:t>
            </w:r>
            <w:r>
              <w:rPr>
                <w:rFonts w:eastAsiaTheme="minorEastAsia"/>
                <w:color w:val="auto"/>
                <w:sz w:val="26"/>
                <w:szCs w:val="26"/>
                <w:highlight w:val="none"/>
              </w:rPr>
              <w:t>。</w:t>
            </w:r>
          </w:p>
          <w:p w14:paraId="285DFB29">
            <w:pPr>
              <w:spacing w:line="480" w:lineRule="exact"/>
              <w:ind w:firstLine="522" w:firstLineChars="200"/>
              <w:rPr>
                <w:rFonts w:eastAsiaTheme="minorEastAsia"/>
                <w:b/>
                <w:bCs/>
                <w:color w:val="auto"/>
                <w:sz w:val="26"/>
                <w:szCs w:val="26"/>
                <w:highlight w:val="none"/>
              </w:rPr>
            </w:pPr>
            <w:r>
              <w:rPr>
                <w:rFonts w:eastAsiaTheme="minorEastAsia"/>
                <w:b/>
                <w:bCs/>
                <w:color w:val="auto"/>
                <w:sz w:val="26"/>
                <w:szCs w:val="26"/>
                <w:highlight w:val="none"/>
              </w:rPr>
              <w:t>（2）打磨粉尘G2</w:t>
            </w:r>
          </w:p>
          <w:p w14:paraId="3A668C8D">
            <w:pPr>
              <w:widowControl/>
              <w:spacing w:line="480" w:lineRule="exact"/>
              <w:ind w:firstLine="520" w:firstLineChars="200"/>
              <w:jc w:val="left"/>
              <w:rPr>
                <w:rFonts w:eastAsiaTheme="minorEastAsia"/>
                <w:color w:val="auto"/>
                <w:kern w:val="0"/>
                <w:sz w:val="26"/>
                <w:szCs w:val="26"/>
                <w:highlight w:val="none"/>
                <w:lang w:bidi="ar"/>
              </w:rPr>
            </w:pPr>
            <w:r>
              <w:rPr>
                <w:rFonts w:eastAsiaTheme="minorEastAsia"/>
                <w:color w:val="auto"/>
                <w:kern w:val="0"/>
                <w:sz w:val="26"/>
                <w:szCs w:val="26"/>
                <w:highlight w:val="none"/>
                <w:lang w:bidi="ar"/>
              </w:rPr>
              <w:t>打磨粉尘主要为不合格产品返修时因砂轮打磨而产生。根据建设单位提供的资料，需打磨的不合格产品占比约为3%，</w:t>
            </w:r>
            <w:r>
              <w:rPr>
                <w:rFonts w:hint="eastAsia" w:eastAsiaTheme="minorEastAsia"/>
                <w:color w:val="auto"/>
                <w:kern w:val="0"/>
                <w:sz w:val="26"/>
                <w:szCs w:val="26"/>
                <w:highlight w:val="none"/>
                <w:lang w:eastAsia="zh-CN" w:bidi="ar"/>
              </w:rPr>
              <w:t>不合格产品需打磨物料占比约</w:t>
            </w:r>
            <w:r>
              <w:rPr>
                <w:rFonts w:hint="eastAsia" w:eastAsiaTheme="minorEastAsia"/>
                <w:color w:val="auto"/>
                <w:kern w:val="0"/>
                <w:sz w:val="26"/>
                <w:szCs w:val="26"/>
                <w:highlight w:val="none"/>
                <w:lang w:val="en-US" w:eastAsia="zh-CN" w:bidi="ar"/>
              </w:rPr>
              <w:t>2.8%</w:t>
            </w:r>
            <w:r>
              <w:rPr>
                <w:rFonts w:hint="eastAsia" w:eastAsiaTheme="minorEastAsia"/>
                <w:color w:val="auto"/>
                <w:kern w:val="0"/>
                <w:sz w:val="26"/>
                <w:szCs w:val="26"/>
                <w:highlight w:val="none"/>
                <w:lang w:eastAsia="zh-CN" w:bidi="ar"/>
              </w:rPr>
              <w:t>，</w:t>
            </w:r>
            <w:r>
              <w:rPr>
                <w:rFonts w:eastAsiaTheme="minorEastAsia"/>
                <w:color w:val="auto"/>
                <w:kern w:val="0"/>
                <w:sz w:val="26"/>
                <w:szCs w:val="26"/>
                <w:highlight w:val="none"/>
                <w:lang w:bidi="ar"/>
              </w:rPr>
              <w:t>利用便携式手持打磨机对不合格产品相应位置进行打磨抛光。</w:t>
            </w:r>
          </w:p>
          <w:p w14:paraId="24739D6F">
            <w:pPr>
              <w:widowControl/>
              <w:spacing w:line="480" w:lineRule="exact"/>
              <w:ind w:firstLine="520" w:firstLineChars="200"/>
              <w:jc w:val="left"/>
              <w:rPr>
                <w:rFonts w:eastAsiaTheme="minorEastAsia"/>
                <w:color w:val="auto"/>
                <w:kern w:val="0"/>
                <w:sz w:val="26"/>
                <w:szCs w:val="26"/>
                <w:highlight w:val="none"/>
                <w:lang w:bidi="ar"/>
              </w:rPr>
            </w:pPr>
            <w:r>
              <w:rPr>
                <w:rFonts w:eastAsiaTheme="minorEastAsia"/>
                <w:color w:val="auto"/>
                <w:kern w:val="0"/>
                <w:sz w:val="26"/>
                <w:szCs w:val="26"/>
                <w:highlight w:val="none"/>
                <w:lang w:bidi="ar"/>
              </w:rPr>
              <w:t>根据《第二次全国污染源普查工业污染源产排污系数手册》中“33-37，431-434 机械行业系数手册”，打磨工序颗粒物产污系数为2.19千克/吨原料。每个不合格品返修工位配套1个移动式</w:t>
            </w:r>
            <w:r>
              <w:rPr>
                <w:rFonts w:hint="eastAsia" w:eastAsiaTheme="minorEastAsia"/>
                <w:color w:val="auto"/>
                <w:kern w:val="0"/>
                <w:sz w:val="26"/>
                <w:szCs w:val="26"/>
                <w:highlight w:val="none"/>
                <w:lang w:eastAsia="zh-CN" w:bidi="ar"/>
              </w:rPr>
              <w:t>滤芯除尘器</w:t>
            </w:r>
            <w:r>
              <w:rPr>
                <w:rFonts w:eastAsiaTheme="minorEastAsia"/>
                <w:color w:val="auto"/>
                <w:kern w:val="0"/>
                <w:sz w:val="26"/>
                <w:szCs w:val="26"/>
                <w:highlight w:val="none"/>
                <w:lang w:bidi="ar"/>
              </w:rPr>
              <w:t>（含集气设备），打磨粉尘经收集处理后厂房内无组织排放。项目需打磨</w:t>
            </w:r>
            <w:r>
              <w:rPr>
                <w:rFonts w:hint="eastAsia" w:eastAsiaTheme="minorEastAsia"/>
                <w:color w:val="auto"/>
                <w:kern w:val="0"/>
                <w:sz w:val="26"/>
                <w:szCs w:val="26"/>
                <w:highlight w:val="none"/>
                <w:lang w:eastAsia="zh-CN" w:bidi="ar"/>
              </w:rPr>
              <w:t>物料</w:t>
            </w:r>
            <w:r>
              <w:rPr>
                <w:rFonts w:eastAsiaTheme="minorEastAsia"/>
                <w:color w:val="auto"/>
                <w:kern w:val="0"/>
                <w:sz w:val="26"/>
                <w:szCs w:val="26"/>
                <w:highlight w:val="none"/>
                <w:lang w:bidi="ar"/>
              </w:rPr>
              <w:t>约</w:t>
            </w:r>
            <w:r>
              <w:rPr>
                <w:rFonts w:hint="eastAsia" w:eastAsiaTheme="minorEastAsia"/>
                <w:color w:val="auto"/>
                <w:kern w:val="0"/>
                <w:sz w:val="26"/>
                <w:szCs w:val="26"/>
                <w:highlight w:val="none"/>
                <w:lang w:val="en-US" w:eastAsia="zh-CN" w:bidi="ar"/>
              </w:rPr>
              <w:t>25.2</w:t>
            </w:r>
            <w:r>
              <w:rPr>
                <w:rFonts w:eastAsiaTheme="minorEastAsia"/>
                <w:color w:val="auto"/>
                <w:kern w:val="0"/>
                <w:sz w:val="26"/>
                <w:szCs w:val="26"/>
                <w:highlight w:val="none"/>
                <w:lang w:bidi="ar"/>
              </w:rPr>
              <w:t>t，打磨工作时间约600h/a，则颗粒物产生量为</w:t>
            </w:r>
            <w:r>
              <w:rPr>
                <w:rFonts w:hint="eastAsia" w:eastAsiaTheme="minorEastAsia"/>
                <w:color w:val="auto"/>
                <w:kern w:val="0"/>
                <w:sz w:val="26"/>
                <w:szCs w:val="26"/>
                <w:highlight w:val="none"/>
                <w:lang w:val="en-US" w:eastAsia="zh-CN" w:bidi="ar"/>
              </w:rPr>
              <w:t>0.06</w:t>
            </w:r>
            <w:r>
              <w:rPr>
                <w:rFonts w:eastAsiaTheme="minorEastAsia"/>
                <w:color w:val="auto"/>
                <w:kern w:val="0"/>
                <w:sz w:val="26"/>
                <w:szCs w:val="26"/>
                <w:highlight w:val="none"/>
                <w:lang w:bidi="ar"/>
              </w:rPr>
              <w:t>t/a（</w:t>
            </w:r>
            <w:r>
              <w:rPr>
                <w:rFonts w:hint="eastAsia" w:eastAsiaTheme="minorEastAsia"/>
                <w:color w:val="auto"/>
                <w:kern w:val="0"/>
                <w:sz w:val="26"/>
                <w:szCs w:val="26"/>
                <w:highlight w:val="none"/>
                <w:lang w:val="en-US" w:eastAsia="zh-CN" w:bidi="ar"/>
              </w:rPr>
              <w:t>0.09</w:t>
            </w:r>
            <w:r>
              <w:rPr>
                <w:rFonts w:eastAsiaTheme="minorEastAsia"/>
                <w:color w:val="auto"/>
                <w:kern w:val="0"/>
                <w:sz w:val="26"/>
                <w:szCs w:val="26"/>
                <w:highlight w:val="none"/>
                <w:lang w:bidi="ar"/>
              </w:rPr>
              <w:t>kg/h）；移动式</w:t>
            </w:r>
            <w:r>
              <w:rPr>
                <w:rFonts w:hint="eastAsia" w:eastAsiaTheme="minorEastAsia"/>
                <w:color w:val="auto"/>
                <w:kern w:val="0"/>
                <w:sz w:val="26"/>
                <w:szCs w:val="26"/>
                <w:highlight w:val="none"/>
                <w:lang w:eastAsia="zh-CN" w:bidi="ar"/>
              </w:rPr>
              <w:t>滤芯除尘器</w:t>
            </w:r>
            <w:r>
              <w:rPr>
                <w:rFonts w:eastAsiaTheme="minorEastAsia"/>
                <w:color w:val="auto"/>
                <w:kern w:val="0"/>
                <w:sz w:val="26"/>
                <w:szCs w:val="26"/>
                <w:highlight w:val="none"/>
                <w:lang w:bidi="ar"/>
              </w:rPr>
              <w:t>（含集气设备）收集率按60%，除尘效率为95%，则打磨粉尘厂房内无组织排放量约</w:t>
            </w:r>
            <w:r>
              <w:rPr>
                <w:rFonts w:hint="eastAsia" w:eastAsiaTheme="minorEastAsia"/>
                <w:color w:val="auto"/>
                <w:kern w:val="0"/>
                <w:sz w:val="26"/>
                <w:szCs w:val="26"/>
                <w:highlight w:val="none"/>
                <w:lang w:val="en-US" w:eastAsia="zh-CN" w:bidi="ar"/>
              </w:rPr>
              <w:t>0.02</w:t>
            </w:r>
            <w:r>
              <w:rPr>
                <w:rFonts w:eastAsiaTheme="minorEastAsia"/>
                <w:color w:val="auto"/>
                <w:kern w:val="0"/>
                <w:sz w:val="26"/>
                <w:szCs w:val="26"/>
                <w:highlight w:val="none"/>
                <w:lang w:bidi="ar"/>
              </w:rPr>
              <w:t>t/a（</w:t>
            </w:r>
            <w:r>
              <w:rPr>
                <w:rFonts w:hint="eastAsia" w:eastAsiaTheme="minorEastAsia"/>
                <w:color w:val="auto"/>
                <w:kern w:val="0"/>
                <w:sz w:val="26"/>
                <w:szCs w:val="26"/>
                <w:highlight w:val="none"/>
                <w:lang w:val="en-US" w:eastAsia="zh-CN" w:bidi="ar"/>
              </w:rPr>
              <w:t>0.04</w:t>
            </w:r>
            <w:r>
              <w:rPr>
                <w:rFonts w:eastAsiaTheme="minorEastAsia"/>
                <w:color w:val="auto"/>
                <w:kern w:val="0"/>
                <w:sz w:val="26"/>
                <w:szCs w:val="26"/>
                <w:highlight w:val="none"/>
                <w:lang w:bidi="ar"/>
              </w:rPr>
              <w:t>kg/h）。</w:t>
            </w:r>
          </w:p>
          <w:p w14:paraId="429AE3E1">
            <w:pPr>
              <w:spacing w:line="480" w:lineRule="exact"/>
              <w:ind w:firstLine="522" w:firstLineChars="200"/>
              <w:rPr>
                <w:rFonts w:eastAsiaTheme="minorEastAsia"/>
                <w:b/>
                <w:bCs/>
                <w:color w:val="auto"/>
                <w:sz w:val="26"/>
                <w:szCs w:val="26"/>
                <w:highlight w:val="none"/>
              </w:rPr>
            </w:pPr>
            <w:r>
              <w:rPr>
                <w:rFonts w:eastAsiaTheme="minorEastAsia"/>
                <w:b/>
                <w:bCs/>
                <w:color w:val="auto"/>
                <w:sz w:val="26"/>
                <w:szCs w:val="26"/>
                <w:highlight w:val="none"/>
              </w:rPr>
              <w:t>（3）焊接烟尘G3、补焊烟尘G5</w:t>
            </w:r>
          </w:p>
          <w:p w14:paraId="08AA488B">
            <w:pPr>
              <w:widowControl/>
              <w:spacing w:line="480" w:lineRule="exact"/>
              <w:ind w:firstLine="520" w:firstLineChars="200"/>
              <w:jc w:val="left"/>
              <w:rPr>
                <w:rFonts w:eastAsiaTheme="minorEastAsia"/>
                <w:color w:val="auto"/>
                <w:sz w:val="26"/>
                <w:szCs w:val="26"/>
                <w:highlight w:val="none"/>
              </w:rPr>
            </w:pPr>
            <w:r>
              <w:rPr>
                <w:rFonts w:eastAsiaTheme="minorEastAsia"/>
                <w:color w:val="auto"/>
                <w:kern w:val="0"/>
                <w:sz w:val="26"/>
                <w:szCs w:val="26"/>
                <w:highlight w:val="none"/>
                <w:lang w:bidi="ar"/>
              </w:rPr>
              <w:t>焊接烟尘的产生量与焊丝的种类有关。项目根据产品需要，选择电阻焊（占比约90%）、弧焊（CO</w:t>
            </w:r>
            <w:r>
              <w:rPr>
                <w:rFonts w:eastAsiaTheme="minorEastAsia"/>
                <w:color w:val="auto"/>
                <w:kern w:val="0"/>
                <w:sz w:val="26"/>
                <w:szCs w:val="26"/>
                <w:highlight w:val="none"/>
                <w:vertAlign w:val="subscript"/>
                <w:lang w:bidi="ar"/>
              </w:rPr>
              <w:t>2</w:t>
            </w:r>
            <w:r>
              <w:rPr>
                <w:rFonts w:eastAsiaTheme="minorEastAsia"/>
                <w:color w:val="auto"/>
                <w:kern w:val="0"/>
                <w:sz w:val="26"/>
                <w:szCs w:val="26"/>
                <w:highlight w:val="none"/>
                <w:lang w:bidi="ar"/>
              </w:rPr>
              <w:t>气体保护焊，占比约10%）机器人对产品进行焊接，移动式CO</w:t>
            </w:r>
            <w:r>
              <w:rPr>
                <w:rFonts w:eastAsiaTheme="minorEastAsia"/>
                <w:color w:val="auto"/>
                <w:kern w:val="0"/>
                <w:sz w:val="26"/>
                <w:szCs w:val="26"/>
                <w:highlight w:val="none"/>
                <w:vertAlign w:val="subscript"/>
                <w:lang w:bidi="ar"/>
              </w:rPr>
              <w:t>2</w:t>
            </w:r>
            <w:r>
              <w:rPr>
                <w:rFonts w:eastAsiaTheme="minorEastAsia"/>
                <w:color w:val="auto"/>
                <w:kern w:val="0"/>
                <w:sz w:val="26"/>
                <w:szCs w:val="26"/>
                <w:highlight w:val="none"/>
                <w:lang w:bidi="ar"/>
              </w:rPr>
              <w:t>气体保护焊机对不合格产品进行补焊。其中电阻焊（点焊机器人）无需焊材、焊剂等焊接材料，加热时间短、热量集中，在被焊接材料表面处理清洁的情况下基本无焊接烟尘产生；</w:t>
            </w:r>
            <w:r>
              <w:rPr>
                <w:rFonts w:hint="eastAsia" w:eastAsiaTheme="minorEastAsia"/>
                <w:color w:val="auto"/>
                <w:kern w:val="0"/>
                <w:sz w:val="26"/>
                <w:szCs w:val="26"/>
                <w:highlight w:val="none"/>
                <w:lang w:bidi="ar"/>
              </w:rPr>
              <w:t>弧焊</w:t>
            </w:r>
            <w:r>
              <w:rPr>
                <w:rFonts w:hint="eastAsia" w:eastAsiaTheme="minorEastAsia"/>
                <w:color w:val="auto"/>
                <w:kern w:val="0"/>
                <w:sz w:val="26"/>
                <w:szCs w:val="26"/>
                <w:highlight w:val="none"/>
                <w:lang w:eastAsia="zh-CN" w:bidi="ar"/>
              </w:rPr>
              <w:t>及</w:t>
            </w:r>
            <w:r>
              <w:rPr>
                <w:rFonts w:eastAsiaTheme="minorEastAsia"/>
                <w:color w:val="auto"/>
                <w:kern w:val="0"/>
                <w:sz w:val="26"/>
                <w:szCs w:val="26"/>
                <w:highlight w:val="none"/>
                <w:lang w:bidi="ar"/>
              </w:rPr>
              <w:t>补焊过程中使用</w:t>
            </w:r>
            <w:r>
              <w:rPr>
                <w:rFonts w:hint="eastAsia" w:eastAsiaTheme="minorEastAsia"/>
                <w:color w:val="auto"/>
                <w:kern w:val="0"/>
                <w:sz w:val="26"/>
                <w:szCs w:val="26"/>
                <w:highlight w:val="none"/>
                <w:lang w:bidi="ar"/>
              </w:rPr>
              <w:t>实芯焊丝、电焊条</w:t>
            </w:r>
            <w:bookmarkStart w:id="69" w:name="hmcheck_fd8c9adb58664173ae77b4157c651cf4"/>
            <w:r>
              <w:rPr>
                <w:rFonts w:hint="eastAsia" w:eastAsiaTheme="minorEastAsia"/>
                <w:color w:val="auto"/>
                <w:kern w:val="0"/>
                <w:sz w:val="26"/>
                <w:szCs w:val="26"/>
                <w:highlight w:val="none"/>
                <w:shd w:val="clear" w:fill="B2E9BC"/>
                <w:lang w:eastAsia="zh-CN" w:bidi="ar"/>
              </w:rPr>
              <w:t>或</w:t>
            </w:r>
            <w:bookmarkEnd w:id="69"/>
            <w:r>
              <w:rPr>
                <w:rFonts w:eastAsiaTheme="minorEastAsia"/>
                <w:color w:val="auto"/>
                <w:kern w:val="0"/>
                <w:sz w:val="26"/>
                <w:szCs w:val="26"/>
                <w:highlight w:val="none"/>
                <w:lang w:bidi="ar"/>
              </w:rPr>
              <w:t>药芯无铅焊丝，根据《第二次全国污染源普查工业污染源产排污系数手册》中“33-37，431-434 机械行业系数手册</w:t>
            </w:r>
            <w:bookmarkStart w:id="70" w:name="hmcheck_194b54260ea34cbc9a0aab1b583ab1c7"/>
            <w:r>
              <w:rPr>
                <w:rFonts w:hint="eastAsia" w:eastAsiaTheme="minorEastAsia"/>
                <w:color w:val="auto"/>
                <w:kern w:val="0"/>
                <w:sz w:val="26"/>
                <w:szCs w:val="26"/>
                <w:highlight w:val="none"/>
                <w:shd w:val="clear" w:fill="B2E9BC"/>
                <w:lang w:eastAsia="zh-CN" w:bidi="ar"/>
              </w:rPr>
              <w:t>”“</w:t>
            </w:r>
            <w:bookmarkEnd w:id="70"/>
            <w:r>
              <w:rPr>
                <w:rFonts w:eastAsiaTheme="minorEastAsia"/>
                <w:color w:val="auto"/>
                <w:kern w:val="0"/>
                <w:sz w:val="26"/>
                <w:szCs w:val="26"/>
                <w:highlight w:val="none"/>
                <w:lang w:bidi="ar"/>
              </w:rPr>
              <w:t>焊接—药芯焊丝—二氧化碳、保护焊、埋弧焊、氩弧焊工艺”焊烟产尘系数按20.5kg/t·原料计</w:t>
            </w:r>
            <w:r>
              <w:rPr>
                <w:rFonts w:hint="eastAsia" w:eastAsiaTheme="minorEastAsia"/>
                <w:color w:val="auto"/>
                <w:kern w:val="0"/>
                <w:sz w:val="26"/>
                <w:szCs w:val="26"/>
                <w:highlight w:val="none"/>
                <w:lang w:eastAsia="zh-CN" w:bidi="ar"/>
              </w:rPr>
              <w:t>，“33-37，431-434 机械行业系数手册</w:t>
            </w:r>
            <w:bookmarkStart w:id="71" w:name="hmcheck_5378d07b55734b6f9058b7388407b3de"/>
            <w:r>
              <w:rPr>
                <w:rFonts w:hint="eastAsia" w:eastAsiaTheme="minorEastAsia"/>
                <w:color w:val="auto"/>
                <w:kern w:val="0"/>
                <w:sz w:val="26"/>
                <w:szCs w:val="26"/>
                <w:highlight w:val="none"/>
                <w:shd w:val="clear" w:fill="B2E9BC"/>
                <w:lang w:eastAsia="zh-CN" w:bidi="ar"/>
              </w:rPr>
              <w:t>”“</w:t>
            </w:r>
            <w:bookmarkEnd w:id="71"/>
            <w:r>
              <w:rPr>
                <w:rFonts w:hint="eastAsia" w:eastAsiaTheme="minorEastAsia"/>
                <w:color w:val="auto"/>
                <w:kern w:val="0"/>
                <w:sz w:val="26"/>
                <w:szCs w:val="26"/>
                <w:highlight w:val="none"/>
                <w:lang w:eastAsia="zh-CN" w:bidi="ar"/>
              </w:rPr>
              <w:t>焊接—实芯焊丝—二氧化碳、保护焊、埋弧焊、氩弧焊工艺”焊烟产尘系数按</w:t>
            </w:r>
            <w:r>
              <w:rPr>
                <w:rFonts w:hint="eastAsia" w:eastAsiaTheme="minorEastAsia"/>
                <w:color w:val="auto"/>
                <w:kern w:val="0"/>
                <w:sz w:val="26"/>
                <w:szCs w:val="26"/>
                <w:highlight w:val="none"/>
                <w:lang w:val="en-US" w:eastAsia="zh-CN" w:bidi="ar"/>
              </w:rPr>
              <w:t>9.19</w:t>
            </w:r>
            <w:r>
              <w:rPr>
                <w:rFonts w:hint="eastAsia" w:eastAsiaTheme="minorEastAsia"/>
                <w:color w:val="auto"/>
                <w:kern w:val="0"/>
                <w:sz w:val="26"/>
                <w:szCs w:val="26"/>
                <w:highlight w:val="none"/>
                <w:lang w:eastAsia="zh-CN" w:bidi="ar"/>
              </w:rPr>
              <w:t>kg/t·原料计，电焊条构造与药芯焊丝类似，考虑最不利影响，本次评价焊烟产尘系数按20.5kg/t·原料计</w:t>
            </w:r>
            <w:r>
              <w:rPr>
                <w:rFonts w:eastAsiaTheme="minorEastAsia"/>
                <w:color w:val="auto"/>
                <w:kern w:val="0"/>
                <w:sz w:val="26"/>
                <w:szCs w:val="26"/>
                <w:highlight w:val="none"/>
                <w:lang w:bidi="ar"/>
              </w:rPr>
              <w:t>。</w:t>
            </w:r>
          </w:p>
          <w:p w14:paraId="5B968942">
            <w:pPr>
              <w:widowControl/>
              <w:spacing w:line="480" w:lineRule="exact"/>
              <w:ind w:firstLine="520" w:firstLineChars="200"/>
              <w:rPr>
                <w:rFonts w:eastAsiaTheme="minorEastAsia"/>
                <w:color w:val="auto"/>
                <w:kern w:val="0"/>
                <w:sz w:val="26"/>
                <w:szCs w:val="26"/>
                <w:highlight w:val="none"/>
                <w:lang w:bidi="ar"/>
              </w:rPr>
            </w:pPr>
            <w:r>
              <w:rPr>
                <w:rFonts w:eastAsiaTheme="minorEastAsia"/>
                <w:color w:val="auto"/>
                <w:kern w:val="0"/>
                <w:sz w:val="26"/>
                <w:szCs w:val="26"/>
                <w:highlight w:val="none"/>
                <w:lang w:bidi="ar"/>
              </w:rPr>
              <w:t>项目固定式弧焊位于封闭式弧焊间内（设置2个），顶部设置废气收集口及废气管道，废气</w:t>
            </w:r>
            <w:r>
              <w:rPr>
                <w:rFonts w:hint="eastAsia" w:eastAsiaTheme="minorEastAsia"/>
                <w:color w:val="auto"/>
                <w:kern w:val="0"/>
                <w:sz w:val="26"/>
                <w:szCs w:val="26"/>
                <w:highlight w:val="none"/>
                <w:lang w:eastAsia="zh-CN" w:bidi="ar"/>
              </w:rPr>
              <w:t>收集</w:t>
            </w:r>
            <w:r>
              <w:rPr>
                <w:rFonts w:eastAsiaTheme="minorEastAsia"/>
                <w:color w:val="auto"/>
                <w:kern w:val="0"/>
                <w:sz w:val="26"/>
                <w:szCs w:val="26"/>
                <w:highlight w:val="none"/>
                <w:lang w:bidi="ar"/>
              </w:rPr>
              <w:t>后经滤芯除尘器处理后由15m排气筒（DA001）排放，风量</w:t>
            </w:r>
            <w:r>
              <w:rPr>
                <w:rFonts w:hint="eastAsia" w:eastAsiaTheme="minorEastAsia"/>
                <w:color w:val="auto"/>
                <w:kern w:val="0"/>
                <w:sz w:val="26"/>
                <w:szCs w:val="26"/>
                <w:highlight w:val="none"/>
                <w:lang w:bidi="ar"/>
              </w:rPr>
              <w:t>15000</w:t>
            </w:r>
            <w:r>
              <w:rPr>
                <w:rFonts w:eastAsiaTheme="minorEastAsia"/>
                <w:color w:val="auto"/>
                <w:kern w:val="0"/>
                <w:sz w:val="26"/>
                <w:szCs w:val="26"/>
                <w:highlight w:val="none"/>
                <w:lang w:bidi="ar"/>
              </w:rPr>
              <w:t>m³/h。固定弧焊焊丝用量为14t/a，年焊接工作时间为4800h，则焊接烟尘（颗粒物）产生量为0.29t/a（0.06kg/h）；封闭式弧焊间顶部集气废气收集率按85%，处理效率按95%计，则焊接烟尘有组织排放量为0.01t/a（0.003kg/h）、排放浓度为</w:t>
            </w:r>
            <w:r>
              <w:rPr>
                <w:rFonts w:hint="eastAsia" w:eastAsiaTheme="minorEastAsia"/>
                <w:color w:val="auto"/>
                <w:kern w:val="0"/>
                <w:sz w:val="26"/>
                <w:szCs w:val="26"/>
                <w:highlight w:val="none"/>
                <w:lang w:bidi="ar"/>
              </w:rPr>
              <w:t>0.17</w:t>
            </w:r>
            <w:r>
              <w:rPr>
                <w:rFonts w:eastAsiaTheme="minorEastAsia"/>
                <w:color w:val="auto"/>
                <w:kern w:val="0"/>
                <w:sz w:val="26"/>
                <w:szCs w:val="26"/>
                <w:highlight w:val="none"/>
                <w:lang w:bidi="ar"/>
              </w:rPr>
              <w:t>mg/m³，无组织排放量0.04t/a（0.01kg/h）。</w:t>
            </w:r>
          </w:p>
          <w:p w14:paraId="3370367C">
            <w:pPr>
              <w:pStyle w:val="67"/>
              <w:spacing w:line="480" w:lineRule="exact"/>
              <w:ind w:firstLine="520"/>
              <w:jc w:val="both"/>
              <w:rPr>
                <w:rFonts w:eastAsiaTheme="minorEastAsia"/>
                <w:color w:val="auto"/>
                <w:kern w:val="0"/>
                <w:sz w:val="26"/>
                <w:szCs w:val="26"/>
                <w:highlight w:val="none"/>
                <w:lang w:bidi="ar"/>
              </w:rPr>
            </w:pPr>
            <w:r>
              <w:rPr>
                <w:rFonts w:eastAsiaTheme="minorEastAsia"/>
                <w:color w:val="auto"/>
                <w:kern w:val="0"/>
                <w:sz w:val="26"/>
                <w:szCs w:val="26"/>
                <w:highlight w:val="none"/>
                <w:lang w:bidi="ar"/>
              </w:rPr>
              <w:t>6个CO</w:t>
            </w:r>
            <w:r>
              <w:rPr>
                <w:rFonts w:eastAsiaTheme="minorEastAsia"/>
                <w:color w:val="auto"/>
                <w:kern w:val="0"/>
                <w:sz w:val="26"/>
                <w:szCs w:val="26"/>
                <w:highlight w:val="none"/>
                <w:vertAlign w:val="subscript"/>
                <w:lang w:bidi="ar"/>
              </w:rPr>
              <w:t>2</w:t>
            </w:r>
            <w:r>
              <w:rPr>
                <w:rFonts w:eastAsiaTheme="minorEastAsia"/>
                <w:color w:val="auto"/>
                <w:kern w:val="0"/>
                <w:sz w:val="26"/>
                <w:szCs w:val="26"/>
                <w:highlight w:val="none"/>
                <w:lang w:bidi="ar"/>
              </w:rPr>
              <w:t>保护焊补焊为移动焊接工位，补充焊接需不停移动、焊接点位无法固定，每个不合格品返修工位配套1个移动式</w:t>
            </w:r>
            <w:r>
              <w:rPr>
                <w:rFonts w:hint="eastAsia" w:eastAsiaTheme="minorEastAsia"/>
                <w:color w:val="auto"/>
                <w:kern w:val="0"/>
                <w:sz w:val="26"/>
                <w:szCs w:val="26"/>
                <w:highlight w:val="none"/>
                <w:lang w:eastAsia="zh-CN" w:bidi="ar"/>
              </w:rPr>
              <w:t>滤芯除尘器</w:t>
            </w:r>
            <w:r>
              <w:rPr>
                <w:rFonts w:eastAsiaTheme="minorEastAsia"/>
                <w:color w:val="auto"/>
                <w:kern w:val="0"/>
                <w:sz w:val="26"/>
                <w:szCs w:val="26"/>
                <w:highlight w:val="none"/>
                <w:lang w:bidi="ar"/>
              </w:rPr>
              <w:t>（含集气设备），补焊烟尘经移动式</w:t>
            </w:r>
            <w:r>
              <w:rPr>
                <w:rFonts w:hint="eastAsia" w:eastAsiaTheme="minorEastAsia"/>
                <w:color w:val="auto"/>
                <w:kern w:val="0"/>
                <w:sz w:val="26"/>
                <w:szCs w:val="26"/>
                <w:highlight w:val="none"/>
                <w:lang w:eastAsia="zh-CN" w:bidi="ar"/>
              </w:rPr>
              <w:t>滤芯除尘器</w:t>
            </w:r>
            <w:r>
              <w:rPr>
                <w:rFonts w:eastAsiaTheme="minorEastAsia"/>
                <w:color w:val="auto"/>
                <w:kern w:val="0"/>
                <w:sz w:val="26"/>
                <w:szCs w:val="26"/>
                <w:highlight w:val="none"/>
                <w:lang w:bidi="ar"/>
              </w:rPr>
              <w:t>（含集气设备）处理后在车间内无组织排放。补</w:t>
            </w:r>
            <w:bookmarkStart w:id="72" w:name="hmcheck_757db6df430e44a2843fbb8cb8e55b4d"/>
            <w:r>
              <w:rPr>
                <w:rFonts w:eastAsiaTheme="minorEastAsia"/>
                <w:color w:val="auto"/>
                <w:kern w:val="0"/>
                <w:sz w:val="26"/>
                <w:szCs w:val="26"/>
                <w:highlight w:val="none"/>
                <w:shd w:val="clear" w:fill="FFAFAA"/>
                <w:lang w:bidi="ar"/>
              </w:rPr>
              <w:t>焊焊</w:t>
            </w:r>
            <w:bookmarkEnd w:id="72"/>
            <w:r>
              <w:rPr>
                <w:rFonts w:eastAsiaTheme="minorEastAsia"/>
                <w:color w:val="auto"/>
                <w:kern w:val="0"/>
                <w:sz w:val="26"/>
                <w:szCs w:val="26"/>
                <w:highlight w:val="none"/>
                <w:lang w:bidi="ar"/>
              </w:rPr>
              <w:t>丝用量约2t/a，年焊接工作时间为1200h，则补焊烟尘（颗粒物）产生量为0.04t/a（0.034kg/h）；移动式</w:t>
            </w:r>
            <w:r>
              <w:rPr>
                <w:rFonts w:hint="eastAsia" w:eastAsiaTheme="minorEastAsia"/>
                <w:color w:val="auto"/>
                <w:kern w:val="0"/>
                <w:sz w:val="26"/>
                <w:szCs w:val="26"/>
                <w:highlight w:val="none"/>
                <w:lang w:eastAsia="zh-CN" w:bidi="ar"/>
              </w:rPr>
              <w:t>滤芯除尘器</w:t>
            </w:r>
            <w:r>
              <w:rPr>
                <w:rFonts w:eastAsiaTheme="minorEastAsia"/>
                <w:color w:val="auto"/>
                <w:kern w:val="0"/>
                <w:sz w:val="26"/>
                <w:szCs w:val="26"/>
                <w:highlight w:val="none"/>
                <w:lang w:bidi="ar"/>
              </w:rPr>
              <w:t>（含集气设备）收集率按60%，除尘效率为95%，则补</w:t>
            </w:r>
            <w:bookmarkStart w:id="73" w:name="hmcheck_eb2f326d1e5f4996a7066722c59495b8"/>
            <w:r>
              <w:rPr>
                <w:rFonts w:eastAsiaTheme="minorEastAsia"/>
                <w:color w:val="auto"/>
                <w:kern w:val="0"/>
                <w:sz w:val="26"/>
                <w:szCs w:val="26"/>
                <w:highlight w:val="none"/>
                <w:shd w:val="clear" w:fill="FFAFAA"/>
                <w:lang w:bidi="ar"/>
              </w:rPr>
              <w:t>焊焊</w:t>
            </w:r>
            <w:bookmarkEnd w:id="73"/>
            <w:r>
              <w:rPr>
                <w:rFonts w:eastAsiaTheme="minorEastAsia"/>
                <w:color w:val="auto"/>
                <w:kern w:val="0"/>
                <w:sz w:val="26"/>
                <w:szCs w:val="26"/>
                <w:highlight w:val="none"/>
                <w:lang w:bidi="ar"/>
              </w:rPr>
              <w:t>烟厂房内无组织排放量约0.02t/a（0.15kg/h）。</w:t>
            </w:r>
          </w:p>
          <w:p w14:paraId="6F05A87D">
            <w:pPr>
              <w:pStyle w:val="67"/>
              <w:spacing w:line="480" w:lineRule="exact"/>
              <w:ind w:firstLine="522"/>
              <w:jc w:val="both"/>
              <w:rPr>
                <w:b/>
                <w:bCs/>
                <w:color w:val="auto"/>
                <w:sz w:val="26"/>
                <w:szCs w:val="26"/>
                <w:highlight w:val="none"/>
              </w:rPr>
            </w:pPr>
            <w:r>
              <w:rPr>
                <w:b/>
                <w:bCs/>
                <w:color w:val="auto"/>
                <w:sz w:val="26"/>
                <w:szCs w:val="26"/>
                <w:highlight w:val="none"/>
              </w:rPr>
              <w:t>（4）打胶废气G4</w:t>
            </w:r>
          </w:p>
          <w:p w14:paraId="018CB677">
            <w:pPr>
              <w:pStyle w:val="67"/>
              <w:spacing w:line="480" w:lineRule="exact"/>
              <w:ind w:firstLine="520"/>
              <w:jc w:val="both"/>
              <w:rPr>
                <w:rFonts w:eastAsiaTheme="minorEastAsia"/>
                <w:color w:val="auto"/>
                <w:kern w:val="0"/>
                <w:sz w:val="26"/>
                <w:szCs w:val="26"/>
                <w:highlight w:val="none"/>
                <w:lang w:bidi="ar"/>
              </w:rPr>
            </w:pPr>
            <w:r>
              <w:rPr>
                <w:color w:val="auto"/>
                <w:sz w:val="26"/>
                <w:szCs w:val="26"/>
                <w:highlight w:val="none"/>
              </w:rPr>
              <w:t>本项目</w:t>
            </w:r>
            <w:bookmarkStart w:id="74" w:name="hmcheck_238bf46055c04256a9a06db30cd1b4c4"/>
            <w:r>
              <w:rPr>
                <w:color w:val="auto"/>
                <w:sz w:val="26"/>
                <w:szCs w:val="26"/>
                <w:highlight w:val="none"/>
                <w:shd w:val="clear" w:fill="FFAFAA"/>
              </w:rPr>
              <w:t>滚</w:t>
            </w:r>
            <w:r>
              <w:rPr>
                <w:rFonts w:eastAsiaTheme="minorEastAsia"/>
                <w:color w:val="auto"/>
                <w:sz w:val="26"/>
                <w:szCs w:val="26"/>
                <w:highlight w:val="none"/>
                <w:shd w:val="clear" w:fill="FFAFAA"/>
              </w:rPr>
              <w:t>边</w:t>
            </w:r>
            <w:bookmarkEnd w:id="74"/>
            <w:r>
              <w:rPr>
                <w:rFonts w:eastAsiaTheme="minorEastAsia"/>
                <w:color w:val="auto"/>
                <w:sz w:val="26"/>
                <w:szCs w:val="26"/>
                <w:highlight w:val="none"/>
              </w:rPr>
              <w:t>工艺使用折边胶</w:t>
            </w:r>
            <w:r>
              <w:rPr>
                <w:rFonts w:hint="eastAsia" w:eastAsiaTheme="minorEastAsia"/>
                <w:color w:val="auto"/>
                <w:kern w:val="0"/>
                <w:sz w:val="26"/>
                <w:szCs w:val="26"/>
                <w:highlight w:val="none"/>
                <w:lang w:bidi="ar"/>
              </w:rPr>
              <w:t>为三友高分子技术有限公司汽车用钢板折边胶，以环氧树脂为主体，</w:t>
            </w:r>
            <w:r>
              <w:rPr>
                <w:rFonts w:hint="eastAsia" w:eastAsiaTheme="minorEastAsia"/>
                <w:color w:val="auto"/>
                <w:kern w:val="0"/>
                <w:sz w:val="26"/>
                <w:szCs w:val="26"/>
                <w:highlight w:val="none"/>
                <w:lang w:eastAsia="zh-CN" w:bidi="ar"/>
              </w:rPr>
              <w:t>产品质量标准执行《汽车用折边胶》（QC/T 852-2011），其中对不挥发物含量技术要求为≥98%</w:t>
            </w:r>
            <w:r>
              <w:rPr>
                <w:rFonts w:hint="eastAsia" w:eastAsiaTheme="minorEastAsia"/>
                <w:color w:val="auto"/>
                <w:kern w:val="0"/>
                <w:sz w:val="26"/>
                <w:szCs w:val="26"/>
                <w:highlight w:val="none"/>
                <w:lang w:bidi="ar"/>
              </w:rPr>
              <w:t>，则其VOC含量&lt;2%，属于低挥发性</w:t>
            </w:r>
            <w:bookmarkStart w:id="75" w:name="hmcheck_a871a3b040974b4983b9649accdab9f0"/>
            <w:r>
              <w:rPr>
                <w:rFonts w:hint="eastAsia" w:eastAsiaTheme="minorEastAsia"/>
                <w:color w:val="auto"/>
                <w:kern w:val="0"/>
                <w:sz w:val="26"/>
                <w:szCs w:val="26"/>
                <w:highlight w:val="none"/>
                <w:shd w:val="clear" w:fill="B2E9BC"/>
                <w:lang w:eastAsia="zh-CN" w:bidi="ar"/>
              </w:rPr>
              <w:t>胶黏剂</w:t>
            </w:r>
            <w:bookmarkEnd w:id="75"/>
            <w:r>
              <w:rPr>
                <w:rFonts w:hint="eastAsia" w:eastAsiaTheme="minorEastAsia"/>
                <w:color w:val="auto"/>
                <w:kern w:val="0"/>
                <w:sz w:val="26"/>
                <w:szCs w:val="26"/>
                <w:highlight w:val="none"/>
                <w:lang w:bidi="ar"/>
              </w:rPr>
              <w:t>。</w:t>
            </w:r>
            <w:r>
              <w:rPr>
                <w:rFonts w:eastAsiaTheme="minorEastAsia"/>
                <w:color w:val="auto"/>
                <w:kern w:val="0"/>
                <w:sz w:val="26"/>
                <w:szCs w:val="26"/>
                <w:highlight w:val="none"/>
                <w:lang w:bidi="ar"/>
              </w:rPr>
              <w:t>本次项目折边胶使用量约为0.3t/a，涂胶工序年作业有效时间</w:t>
            </w:r>
            <w:r>
              <w:rPr>
                <w:rFonts w:hint="eastAsia" w:eastAsiaTheme="minorEastAsia"/>
                <w:color w:val="auto"/>
                <w:kern w:val="0"/>
                <w:sz w:val="26"/>
                <w:szCs w:val="26"/>
                <w:highlight w:val="none"/>
                <w:lang w:val="en-US" w:eastAsia="zh-CN" w:bidi="ar"/>
              </w:rPr>
              <w:t>600</w:t>
            </w:r>
            <w:r>
              <w:rPr>
                <w:rFonts w:eastAsiaTheme="minorEastAsia"/>
                <w:color w:val="auto"/>
                <w:kern w:val="0"/>
                <w:sz w:val="26"/>
                <w:szCs w:val="26"/>
                <w:highlight w:val="none"/>
                <w:lang w:bidi="ar"/>
              </w:rPr>
              <w:t>h，则非甲烷总烃产生量为</w:t>
            </w:r>
            <w:r>
              <w:rPr>
                <w:rFonts w:hint="eastAsia" w:eastAsiaTheme="minorEastAsia"/>
                <w:color w:val="auto"/>
                <w:kern w:val="0"/>
                <w:sz w:val="26"/>
                <w:szCs w:val="26"/>
                <w:highlight w:val="none"/>
                <w:lang w:val="en-US" w:eastAsia="zh-CN" w:bidi="ar"/>
              </w:rPr>
              <w:t>0.006</w:t>
            </w:r>
            <w:r>
              <w:rPr>
                <w:rFonts w:eastAsiaTheme="minorEastAsia"/>
                <w:color w:val="auto"/>
                <w:kern w:val="0"/>
                <w:sz w:val="26"/>
                <w:szCs w:val="26"/>
                <w:highlight w:val="none"/>
                <w:lang w:bidi="ar"/>
              </w:rPr>
              <w:t>t/a（0.0</w:t>
            </w:r>
            <w:r>
              <w:rPr>
                <w:rFonts w:hint="eastAsia" w:eastAsiaTheme="minorEastAsia"/>
                <w:color w:val="auto"/>
                <w:kern w:val="0"/>
                <w:sz w:val="26"/>
                <w:szCs w:val="26"/>
                <w:highlight w:val="none"/>
                <w:lang w:val="en-US" w:eastAsia="zh-CN" w:bidi="ar"/>
              </w:rPr>
              <w:t>01</w:t>
            </w:r>
            <w:r>
              <w:rPr>
                <w:rFonts w:eastAsiaTheme="minorEastAsia"/>
                <w:color w:val="auto"/>
                <w:kern w:val="0"/>
                <w:sz w:val="26"/>
                <w:szCs w:val="26"/>
                <w:highlight w:val="none"/>
                <w:lang w:bidi="ar"/>
              </w:rPr>
              <w:t>kg/h，按照VOC最大含量</w:t>
            </w:r>
            <w:r>
              <w:rPr>
                <w:rFonts w:hint="eastAsia" w:eastAsiaTheme="minorEastAsia"/>
                <w:color w:val="auto"/>
                <w:kern w:val="0"/>
                <w:sz w:val="26"/>
                <w:szCs w:val="26"/>
                <w:highlight w:val="none"/>
                <w:lang w:val="en-US" w:eastAsia="zh-CN" w:bidi="ar"/>
              </w:rPr>
              <w:t>2%</w:t>
            </w:r>
            <w:r>
              <w:rPr>
                <w:rFonts w:eastAsiaTheme="minorEastAsia"/>
                <w:color w:val="auto"/>
                <w:kern w:val="0"/>
                <w:sz w:val="26"/>
                <w:szCs w:val="26"/>
                <w:highlight w:val="none"/>
                <w:lang w:bidi="ar"/>
              </w:rPr>
              <w:t>计算）。</w:t>
            </w:r>
          </w:p>
          <w:p w14:paraId="1F7936B7">
            <w:pPr>
              <w:pStyle w:val="67"/>
              <w:spacing w:line="480" w:lineRule="exact"/>
              <w:ind w:firstLine="522"/>
              <w:jc w:val="both"/>
              <w:rPr>
                <w:b/>
                <w:bCs/>
                <w:color w:val="auto"/>
                <w:sz w:val="26"/>
                <w:szCs w:val="26"/>
                <w:highlight w:val="none"/>
              </w:rPr>
            </w:pPr>
            <w:r>
              <w:rPr>
                <w:b/>
                <w:bCs/>
                <w:color w:val="auto"/>
                <w:sz w:val="26"/>
                <w:szCs w:val="26"/>
                <w:highlight w:val="none"/>
              </w:rPr>
              <w:t>（5）危废贮存点废气</w:t>
            </w:r>
          </w:p>
          <w:p w14:paraId="0A8BD101">
            <w:pPr>
              <w:pStyle w:val="67"/>
              <w:spacing w:line="480" w:lineRule="exact"/>
              <w:ind w:firstLine="520"/>
              <w:jc w:val="both"/>
              <w:rPr>
                <w:color w:val="auto"/>
                <w:sz w:val="26"/>
                <w:szCs w:val="26"/>
                <w:highlight w:val="none"/>
              </w:rPr>
            </w:pPr>
            <w:r>
              <w:rPr>
                <w:color w:val="auto"/>
                <w:sz w:val="26"/>
                <w:szCs w:val="26"/>
                <w:highlight w:val="none"/>
              </w:rPr>
              <w:t>本项目设置危废贮存点，用于暂存废液压油、废润滑油等危险废物，危险废物分类暂存后定期交由有资质的单位处置。危险废物暂存过程中均置于密闭容器或包装物中</w:t>
            </w:r>
            <w:r>
              <w:rPr>
                <w:rFonts w:hint="eastAsia"/>
                <w:color w:val="auto"/>
                <w:sz w:val="26"/>
                <w:szCs w:val="26"/>
                <w:highlight w:val="none"/>
                <w:lang w:eastAsia="zh-CN"/>
              </w:rPr>
              <w:t>，</w:t>
            </w:r>
            <w:r>
              <w:rPr>
                <w:rFonts w:hint="eastAsia"/>
                <w:color w:val="auto"/>
                <w:sz w:val="26"/>
                <w:szCs w:val="26"/>
                <w:highlight w:val="none"/>
              </w:rPr>
              <w:t>贮存点应及时清运贮存的危险废物，实时贮存量不应超过3吨，根据《大气环境影响评价使用技术》（王栋成主编，中国标准出版社，2010年9月，第156页），非甲烷总烃逸散量的比例约为0.05‰~0.5‰。考虑最不利因素，本次环评以最大比例即0.5‰计算，则VOCS产生量为0.0015t/a，排放速率为0.0002kg/h，产生量小，通过加强车间通风后无组织排放，对大气环境影响小</w:t>
            </w:r>
            <w:r>
              <w:rPr>
                <w:color w:val="auto"/>
                <w:sz w:val="26"/>
                <w:szCs w:val="26"/>
                <w:highlight w:val="none"/>
              </w:rPr>
              <w:t>。</w:t>
            </w:r>
          </w:p>
          <w:p w14:paraId="6391CA71">
            <w:pPr>
              <w:spacing w:line="480" w:lineRule="exact"/>
              <w:ind w:firstLine="522" w:firstLineChars="200"/>
              <w:rPr>
                <w:rFonts w:eastAsiaTheme="minorEastAsia"/>
                <w:b/>
                <w:color w:val="auto"/>
                <w:sz w:val="26"/>
                <w:szCs w:val="26"/>
                <w:highlight w:val="none"/>
              </w:rPr>
            </w:pPr>
            <w:r>
              <w:rPr>
                <w:rFonts w:eastAsiaTheme="minorEastAsia"/>
                <w:b/>
                <w:color w:val="auto"/>
                <w:sz w:val="26"/>
                <w:szCs w:val="26"/>
                <w:highlight w:val="none"/>
              </w:rPr>
              <w:t>4.2.1.2 项目废气污染物排放分析</w:t>
            </w:r>
          </w:p>
          <w:p w14:paraId="10E9620A">
            <w:pPr>
              <w:tabs>
                <w:tab w:val="left" w:pos="3855"/>
                <w:tab w:val="center" w:pos="3955"/>
              </w:tabs>
              <w:adjustRightInd w:val="0"/>
              <w:snapToGrid w:val="0"/>
              <w:spacing w:line="460" w:lineRule="exact"/>
              <w:ind w:firstLine="482" w:firstLineChars="200"/>
              <w:rPr>
                <w:b/>
                <w:bCs/>
                <w:color w:val="auto"/>
                <w:spacing w:val="-10"/>
                <w:sz w:val="26"/>
                <w:szCs w:val="26"/>
                <w:highlight w:val="none"/>
              </w:rPr>
            </w:pPr>
            <w:r>
              <w:rPr>
                <w:b/>
                <w:bCs/>
                <w:color w:val="auto"/>
                <w:spacing w:val="-10"/>
                <w:sz w:val="26"/>
                <w:szCs w:val="26"/>
                <w:highlight w:val="none"/>
              </w:rPr>
              <w:t>（1）正常工况</w:t>
            </w:r>
          </w:p>
          <w:p w14:paraId="170ECBFF">
            <w:pPr>
              <w:adjustRightInd w:val="0"/>
              <w:snapToGrid w:val="0"/>
              <w:jc w:val="center"/>
              <w:rPr>
                <w:color w:val="auto"/>
                <w:kern w:val="0"/>
                <w:sz w:val="26"/>
                <w:szCs w:val="26"/>
                <w:highlight w:val="none"/>
              </w:rPr>
            </w:pPr>
          </w:p>
          <w:p w14:paraId="258E5CF4">
            <w:pPr>
              <w:adjustRightInd w:val="0"/>
              <w:snapToGrid w:val="0"/>
              <w:jc w:val="center"/>
              <w:rPr>
                <w:color w:val="auto"/>
                <w:kern w:val="0"/>
                <w:sz w:val="24"/>
                <w:szCs w:val="26"/>
                <w:highlight w:val="none"/>
              </w:rPr>
            </w:pPr>
            <w:r>
              <w:rPr>
                <w:color w:val="auto"/>
                <w:kern w:val="0"/>
                <w:sz w:val="24"/>
                <w:szCs w:val="26"/>
                <w:highlight w:val="none"/>
              </w:rPr>
              <w:t>表4.2-2  本项目大气污染物有组织排放口基本信息表</w:t>
            </w:r>
          </w:p>
          <w:tbl>
            <w:tblPr>
              <w:tblStyle w:val="16"/>
              <w:tblW w:w="4980" w:type="pct"/>
              <w:jc w:val="center"/>
              <w:tblLayout w:type="fixed"/>
              <w:tblCellMar>
                <w:top w:w="0" w:type="dxa"/>
                <w:left w:w="108" w:type="dxa"/>
                <w:bottom w:w="0" w:type="dxa"/>
                <w:right w:w="108" w:type="dxa"/>
              </w:tblCellMar>
            </w:tblPr>
            <w:tblGrid>
              <w:gridCol w:w="2726"/>
              <w:gridCol w:w="1113"/>
              <w:gridCol w:w="4075"/>
            </w:tblGrid>
            <w:tr w14:paraId="23659CD5">
              <w:tblPrEx>
                <w:tblCellMar>
                  <w:top w:w="0" w:type="dxa"/>
                  <w:left w:w="108" w:type="dxa"/>
                  <w:bottom w:w="0" w:type="dxa"/>
                  <w:right w:w="108" w:type="dxa"/>
                </w:tblCellMar>
              </w:tblPrEx>
              <w:trPr>
                <w:trHeight w:val="283" w:hRule="atLeast"/>
                <w:jc w:val="center"/>
              </w:trPr>
              <w:tc>
                <w:tcPr>
                  <w:tcW w:w="3835" w:type="dxa"/>
                  <w:gridSpan w:val="2"/>
                  <w:tcBorders>
                    <w:top w:val="single" w:color="000000" w:sz="4" w:space="0"/>
                    <w:left w:val="single" w:color="000000" w:sz="4" w:space="0"/>
                    <w:bottom w:val="single" w:color="000000" w:sz="4" w:space="0"/>
                    <w:right w:val="single" w:color="000000" w:sz="4" w:space="0"/>
                  </w:tcBorders>
                  <w:vAlign w:val="center"/>
                </w:tcPr>
                <w:p w14:paraId="4D0EA74A">
                  <w:pPr>
                    <w:widowControl/>
                    <w:jc w:val="center"/>
                    <w:textAlignment w:val="center"/>
                    <w:rPr>
                      <w:color w:val="auto"/>
                      <w:sz w:val="22"/>
                      <w:szCs w:val="22"/>
                      <w:highlight w:val="none"/>
                    </w:rPr>
                  </w:pPr>
                  <w:r>
                    <w:rPr>
                      <w:color w:val="auto"/>
                      <w:kern w:val="0"/>
                      <w:sz w:val="22"/>
                      <w:szCs w:val="22"/>
                      <w:highlight w:val="none"/>
                      <w:lang w:bidi="ar"/>
                    </w:rPr>
                    <w:t>编号</w:t>
                  </w:r>
                </w:p>
              </w:tc>
              <w:tc>
                <w:tcPr>
                  <w:tcW w:w="4070" w:type="dxa"/>
                  <w:tcBorders>
                    <w:top w:val="single" w:color="000000" w:sz="4" w:space="0"/>
                    <w:left w:val="single" w:color="000000" w:sz="4" w:space="0"/>
                    <w:bottom w:val="single" w:color="000000" w:sz="4" w:space="0"/>
                    <w:right w:val="single" w:color="000000" w:sz="4" w:space="0"/>
                  </w:tcBorders>
                  <w:vAlign w:val="center"/>
                </w:tcPr>
                <w:p w14:paraId="3FA15AD7">
                  <w:pPr>
                    <w:widowControl/>
                    <w:jc w:val="center"/>
                    <w:textAlignment w:val="center"/>
                    <w:rPr>
                      <w:color w:val="auto"/>
                      <w:sz w:val="22"/>
                      <w:szCs w:val="22"/>
                      <w:highlight w:val="none"/>
                    </w:rPr>
                  </w:pPr>
                  <w:r>
                    <w:rPr>
                      <w:color w:val="auto"/>
                      <w:kern w:val="0"/>
                      <w:sz w:val="22"/>
                      <w:szCs w:val="22"/>
                      <w:highlight w:val="none"/>
                      <w:lang w:bidi="ar"/>
                    </w:rPr>
                    <w:t>DA001</w:t>
                  </w:r>
                </w:p>
              </w:tc>
            </w:tr>
            <w:tr w14:paraId="07548FD3">
              <w:tblPrEx>
                <w:tblCellMar>
                  <w:top w:w="0" w:type="dxa"/>
                  <w:left w:w="108" w:type="dxa"/>
                  <w:bottom w:w="0" w:type="dxa"/>
                  <w:right w:w="108" w:type="dxa"/>
                </w:tblCellMar>
              </w:tblPrEx>
              <w:trPr>
                <w:trHeight w:val="283" w:hRule="atLeast"/>
                <w:jc w:val="center"/>
              </w:trPr>
              <w:tc>
                <w:tcPr>
                  <w:tcW w:w="3835" w:type="dxa"/>
                  <w:gridSpan w:val="2"/>
                  <w:tcBorders>
                    <w:top w:val="single" w:color="000000" w:sz="4" w:space="0"/>
                    <w:left w:val="single" w:color="000000" w:sz="4" w:space="0"/>
                    <w:bottom w:val="single" w:color="000000" w:sz="4" w:space="0"/>
                    <w:right w:val="single" w:color="000000" w:sz="4" w:space="0"/>
                  </w:tcBorders>
                  <w:vAlign w:val="center"/>
                </w:tcPr>
                <w:p w14:paraId="0A7D40EA">
                  <w:pPr>
                    <w:widowControl/>
                    <w:jc w:val="center"/>
                    <w:textAlignment w:val="center"/>
                    <w:rPr>
                      <w:color w:val="auto"/>
                      <w:sz w:val="22"/>
                      <w:szCs w:val="22"/>
                      <w:highlight w:val="none"/>
                    </w:rPr>
                  </w:pPr>
                  <w:r>
                    <w:rPr>
                      <w:color w:val="auto"/>
                      <w:kern w:val="0"/>
                      <w:sz w:val="22"/>
                      <w:szCs w:val="22"/>
                      <w:highlight w:val="none"/>
                      <w:lang w:bidi="ar"/>
                    </w:rPr>
                    <w:t>名称</w:t>
                  </w:r>
                </w:p>
              </w:tc>
              <w:tc>
                <w:tcPr>
                  <w:tcW w:w="4070" w:type="dxa"/>
                  <w:tcBorders>
                    <w:top w:val="single" w:color="000000" w:sz="4" w:space="0"/>
                    <w:left w:val="single" w:color="000000" w:sz="4" w:space="0"/>
                    <w:bottom w:val="single" w:color="000000" w:sz="4" w:space="0"/>
                    <w:right w:val="single" w:color="000000" w:sz="4" w:space="0"/>
                  </w:tcBorders>
                  <w:vAlign w:val="center"/>
                </w:tcPr>
                <w:p w14:paraId="5672B75D">
                  <w:pPr>
                    <w:widowControl/>
                    <w:jc w:val="center"/>
                    <w:textAlignment w:val="center"/>
                    <w:rPr>
                      <w:color w:val="auto"/>
                      <w:sz w:val="22"/>
                      <w:szCs w:val="22"/>
                      <w:highlight w:val="none"/>
                    </w:rPr>
                  </w:pPr>
                  <w:r>
                    <w:rPr>
                      <w:color w:val="auto"/>
                      <w:kern w:val="0"/>
                      <w:sz w:val="22"/>
                      <w:szCs w:val="22"/>
                      <w:highlight w:val="none"/>
                      <w:lang w:bidi="ar"/>
                    </w:rPr>
                    <w:t>1#排气筒</w:t>
                  </w:r>
                </w:p>
              </w:tc>
            </w:tr>
            <w:tr w14:paraId="0A76398C">
              <w:tblPrEx>
                <w:tblCellMar>
                  <w:top w:w="0" w:type="dxa"/>
                  <w:left w:w="108" w:type="dxa"/>
                  <w:bottom w:w="0" w:type="dxa"/>
                  <w:right w:w="108" w:type="dxa"/>
                </w:tblCellMar>
              </w:tblPrEx>
              <w:trPr>
                <w:trHeight w:val="283" w:hRule="atLeast"/>
                <w:jc w:val="center"/>
              </w:trPr>
              <w:tc>
                <w:tcPr>
                  <w:tcW w:w="2723" w:type="dxa"/>
                  <w:vMerge w:val="restart"/>
                  <w:tcBorders>
                    <w:top w:val="single" w:color="000000" w:sz="4" w:space="0"/>
                    <w:left w:val="single" w:color="000000" w:sz="4" w:space="0"/>
                    <w:bottom w:val="single" w:color="000000" w:sz="4" w:space="0"/>
                    <w:right w:val="single" w:color="000000" w:sz="4" w:space="0"/>
                  </w:tcBorders>
                  <w:vAlign w:val="center"/>
                </w:tcPr>
                <w:p w14:paraId="0D1D78B6">
                  <w:pPr>
                    <w:widowControl/>
                    <w:jc w:val="center"/>
                    <w:textAlignment w:val="center"/>
                    <w:rPr>
                      <w:color w:val="auto"/>
                      <w:sz w:val="22"/>
                      <w:szCs w:val="22"/>
                      <w:highlight w:val="none"/>
                    </w:rPr>
                  </w:pPr>
                  <w:r>
                    <w:rPr>
                      <w:color w:val="auto"/>
                      <w:kern w:val="0"/>
                      <w:sz w:val="22"/>
                      <w:szCs w:val="22"/>
                      <w:highlight w:val="none"/>
                      <w:lang w:bidi="ar"/>
                    </w:rPr>
                    <w:t>排气筒底部中心坐标/m</w:t>
                  </w:r>
                </w:p>
              </w:tc>
              <w:tc>
                <w:tcPr>
                  <w:tcW w:w="1112" w:type="dxa"/>
                  <w:tcBorders>
                    <w:top w:val="single" w:color="000000" w:sz="4" w:space="0"/>
                    <w:left w:val="single" w:color="000000" w:sz="4" w:space="0"/>
                    <w:bottom w:val="single" w:color="000000" w:sz="4" w:space="0"/>
                    <w:right w:val="single" w:color="000000" w:sz="4" w:space="0"/>
                  </w:tcBorders>
                  <w:vAlign w:val="center"/>
                </w:tcPr>
                <w:p w14:paraId="4FEC90B1">
                  <w:pPr>
                    <w:widowControl/>
                    <w:jc w:val="center"/>
                    <w:textAlignment w:val="center"/>
                    <w:rPr>
                      <w:color w:val="auto"/>
                      <w:sz w:val="22"/>
                      <w:szCs w:val="22"/>
                      <w:highlight w:val="none"/>
                    </w:rPr>
                  </w:pPr>
                  <w:r>
                    <w:rPr>
                      <w:color w:val="auto"/>
                      <w:kern w:val="0"/>
                      <w:sz w:val="22"/>
                      <w:szCs w:val="22"/>
                      <w:highlight w:val="none"/>
                      <w:lang w:bidi="ar"/>
                    </w:rPr>
                    <w:t>X(UTM)</w:t>
                  </w:r>
                </w:p>
              </w:tc>
              <w:tc>
                <w:tcPr>
                  <w:tcW w:w="4070" w:type="dxa"/>
                  <w:tcBorders>
                    <w:top w:val="single" w:color="000000" w:sz="4" w:space="0"/>
                    <w:left w:val="single" w:color="000000" w:sz="4" w:space="0"/>
                    <w:bottom w:val="single" w:color="000000" w:sz="4" w:space="0"/>
                    <w:right w:val="single" w:color="000000" w:sz="4" w:space="0"/>
                  </w:tcBorders>
                  <w:vAlign w:val="center"/>
                </w:tcPr>
                <w:p w14:paraId="729E9DDE">
                  <w:pPr>
                    <w:widowControl/>
                    <w:jc w:val="center"/>
                    <w:textAlignment w:val="center"/>
                    <w:rPr>
                      <w:color w:val="auto"/>
                      <w:sz w:val="22"/>
                      <w:szCs w:val="22"/>
                      <w:highlight w:val="none"/>
                    </w:rPr>
                  </w:pPr>
                  <w:r>
                    <w:rPr>
                      <w:color w:val="auto"/>
                      <w:sz w:val="22"/>
                      <w:szCs w:val="22"/>
                      <w:highlight w:val="none"/>
                    </w:rPr>
                    <w:t>641452.63</w:t>
                  </w:r>
                </w:p>
              </w:tc>
            </w:tr>
            <w:tr w14:paraId="196D6FEC">
              <w:tblPrEx>
                <w:tblCellMar>
                  <w:top w:w="0" w:type="dxa"/>
                  <w:left w:w="108" w:type="dxa"/>
                  <w:bottom w:w="0" w:type="dxa"/>
                  <w:right w:w="108" w:type="dxa"/>
                </w:tblCellMar>
              </w:tblPrEx>
              <w:trPr>
                <w:trHeight w:val="283" w:hRule="atLeast"/>
                <w:jc w:val="center"/>
              </w:trPr>
              <w:tc>
                <w:tcPr>
                  <w:tcW w:w="2723" w:type="dxa"/>
                  <w:vMerge w:val="continue"/>
                  <w:tcBorders>
                    <w:top w:val="single" w:color="000000" w:sz="4" w:space="0"/>
                    <w:left w:val="single" w:color="000000" w:sz="4" w:space="0"/>
                    <w:bottom w:val="single" w:color="000000" w:sz="4" w:space="0"/>
                    <w:right w:val="single" w:color="000000" w:sz="4" w:space="0"/>
                  </w:tcBorders>
                  <w:vAlign w:val="center"/>
                </w:tcPr>
                <w:p w14:paraId="6D823B02">
                  <w:pPr>
                    <w:jc w:val="center"/>
                    <w:rPr>
                      <w:color w:val="auto"/>
                      <w:sz w:val="22"/>
                      <w:szCs w:val="22"/>
                      <w:highlight w:val="none"/>
                    </w:rPr>
                  </w:pPr>
                </w:p>
              </w:tc>
              <w:tc>
                <w:tcPr>
                  <w:tcW w:w="1112" w:type="dxa"/>
                  <w:tcBorders>
                    <w:top w:val="single" w:color="000000" w:sz="4" w:space="0"/>
                    <w:left w:val="single" w:color="000000" w:sz="4" w:space="0"/>
                    <w:bottom w:val="single" w:color="000000" w:sz="4" w:space="0"/>
                    <w:right w:val="single" w:color="000000" w:sz="4" w:space="0"/>
                  </w:tcBorders>
                  <w:vAlign w:val="center"/>
                </w:tcPr>
                <w:p w14:paraId="318CEBD4">
                  <w:pPr>
                    <w:widowControl/>
                    <w:jc w:val="center"/>
                    <w:textAlignment w:val="center"/>
                    <w:rPr>
                      <w:color w:val="auto"/>
                      <w:sz w:val="22"/>
                      <w:szCs w:val="22"/>
                      <w:highlight w:val="none"/>
                    </w:rPr>
                  </w:pPr>
                  <w:r>
                    <w:rPr>
                      <w:color w:val="auto"/>
                      <w:kern w:val="0"/>
                      <w:sz w:val="22"/>
                      <w:szCs w:val="22"/>
                      <w:highlight w:val="none"/>
                      <w:lang w:bidi="ar"/>
                    </w:rPr>
                    <w:t>Y(UTM)</w:t>
                  </w:r>
                </w:p>
              </w:tc>
              <w:tc>
                <w:tcPr>
                  <w:tcW w:w="4070" w:type="dxa"/>
                  <w:tcBorders>
                    <w:top w:val="single" w:color="000000" w:sz="4" w:space="0"/>
                    <w:left w:val="single" w:color="000000" w:sz="4" w:space="0"/>
                    <w:bottom w:val="single" w:color="000000" w:sz="4" w:space="0"/>
                    <w:right w:val="single" w:color="000000" w:sz="4" w:space="0"/>
                  </w:tcBorders>
                  <w:vAlign w:val="center"/>
                </w:tcPr>
                <w:p w14:paraId="2ED3DABC">
                  <w:pPr>
                    <w:widowControl/>
                    <w:jc w:val="center"/>
                    <w:textAlignment w:val="center"/>
                    <w:rPr>
                      <w:color w:val="auto"/>
                      <w:sz w:val="22"/>
                      <w:szCs w:val="22"/>
                      <w:highlight w:val="none"/>
                    </w:rPr>
                  </w:pPr>
                  <w:r>
                    <w:rPr>
                      <w:color w:val="auto"/>
                      <w:sz w:val="22"/>
                      <w:szCs w:val="22"/>
                      <w:highlight w:val="none"/>
                    </w:rPr>
                    <w:t>3307623.65</w:t>
                  </w:r>
                </w:p>
              </w:tc>
            </w:tr>
            <w:tr w14:paraId="4323D666">
              <w:tblPrEx>
                <w:tblCellMar>
                  <w:top w:w="0" w:type="dxa"/>
                  <w:left w:w="108" w:type="dxa"/>
                  <w:bottom w:w="0" w:type="dxa"/>
                  <w:right w:w="108" w:type="dxa"/>
                </w:tblCellMar>
              </w:tblPrEx>
              <w:trPr>
                <w:trHeight w:val="283" w:hRule="atLeast"/>
                <w:jc w:val="center"/>
              </w:trPr>
              <w:tc>
                <w:tcPr>
                  <w:tcW w:w="3835" w:type="dxa"/>
                  <w:gridSpan w:val="2"/>
                  <w:tcBorders>
                    <w:top w:val="single" w:color="000000" w:sz="4" w:space="0"/>
                    <w:left w:val="single" w:color="000000" w:sz="4" w:space="0"/>
                    <w:bottom w:val="single" w:color="000000" w:sz="4" w:space="0"/>
                    <w:right w:val="single" w:color="000000" w:sz="4" w:space="0"/>
                  </w:tcBorders>
                  <w:vAlign w:val="center"/>
                </w:tcPr>
                <w:p w14:paraId="12563E2F">
                  <w:pPr>
                    <w:widowControl/>
                    <w:jc w:val="center"/>
                    <w:textAlignment w:val="center"/>
                    <w:rPr>
                      <w:color w:val="auto"/>
                      <w:sz w:val="22"/>
                      <w:szCs w:val="22"/>
                      <w:highlight w:val="none"/>
                    </w:rPr>
                  </w:pPr>
                  <w:r>
                    <w:rPr>
                      <w:rStyle w:val="95"/>
                      <w:rFonts w:hint="default" w:ascii="Times New Roman" w:hAnsi="Times New Roman" w:cs="Times New Roman"/>
                      <w:color w:val="auto"/>
                      <w:highlight w:val="none"/>
                      <w:lang w:bidi="ar"/>
                    </w:rPr>
                    <w:t>排气筒底部</w:t>
                  </w:r>
                  <w:bookmarkStart w:id="76" w:name="hmcheck_dfbc054d6b85494cae6e10bb4ab76c8b"/>
                  <w:r>
                    <w:rPr>
                      <w:rStyle w:val="95"/>
                      <w:rFonts w:hint="default" w:ascii="Times New Roman" w:hAnsi="Times New Roman" w:cs="Times New Roman"/>
                      <w:color w:val="auto"/>
                      <w:highlight w:val="none"/>
                      <w:shd w:val="clear" w:fill="FFAFAA"/>
                      <w:lang w:bidi="ar"/>
                    </w:rPr>
                    <w:t>海拔高度</w:t>
                  </w:r>
                  <w:bookmarkEnd w:id="76"/>
                  <w:r>
                    <w:rPr>
                      <w:rStyle w:val="96"/>
                      <w:color w:val="auto"/>
                      <w:highlight w:val="none"/>
                      <w:lang w:bidi="ar"/>
                    </w:rPr>
                    <w:t>/m</w:t>
                  </w:r>
                </w:p>
              </w:tc>
              <w:tc>
                <w:tcPr>
                  <w:tcW w:w="4070" w:type="dxa"/>
                  <w:tcBorders>
                    <w:top w:val="single" w:color="000000" w:sz="4" w:space="0"/>
                    <w:left w:val="single" w:color="000000" w:sz="4" w:space="0"/>
                    <w:bottom w:val="single" w:color="000000" w:sz="4" w:space="0"/>
                    <w:right w:val="single" w:color="000000" w:sz="4" w:space="0"/>
                  </w:tcBorders>
                  <w:vAlign w:val="center"/>
                </w:tcPr>
                <w:p w14:paraId="1638E3F5">
                  <w:pPr>
                    <w:widowControl/>
                    <w:jc w:val="center"/>
                    <w:textAlignment w:val="center"/>
                    <w:rPr>
                      <w:color w:val="auto"/>
                      <w:sz w:val="22"/>
                      <w:szCs w:val="22"/>
                      <w:highlight w:val="none"/>
                    </w:rPr>
                  </w:pPr>
                  <w:r>
                    <w:rPr>
                      <w:rFonts w:hint="eastAsia"/>
                      <w:color w:val="auto"/>
                      <w:sz w:val="22"/>
                      <w:szCs w:val="22"/>
                      <w:highlight w:val="none"/>
                    </w:rPr>
                    <w:t>237.4</w:t>
                  </w:r>
                </w:p>
              </w:tc>
            </w:tr>
            <w:tr w14:paraId="10A8BE54">
              <w:tblPrEx>
                <w:tblCellMar>
                  <w:top w:w="0" w:type="dxa"/>
                  <w:left w:w="108" w:type="dxa"/>
                  <w:bottom w:w="0" w:type="dxa"/>
                  <w:right w:w="108" w:type="dxa"/>
                </w:tblCellMar>
              </w:tblPrEx>
              <w:trPr>
                <w:trHeight w:val="283" w:hRule="atLeast"/>
                <w:jc w:val="center"/>
              </w:trPr>
              <w:tc>
                <w:tcPr>
                  <w:tcW w:w="3835" w:type="dxa"/>
                  <w:gridSpan w:val="2"/>
                  <w:tcBorders>
                    <w:top w:val="single" w:color="000000" w:sz="4" w:space="0"/>
                    <w:left w:val="single" w:color="000000" w:sz="4" w:space="0"/>
                    <w:bottom w:val="single" w:color="000000" w:sz="4" w:space="0"/>
                    <w:right w:val="single" w:color="000000" w:sz="4" w:space="0"/>
                  </w:tcBorders>
                  <w:vAlign w:val="center"/>
                </w:tcPr>
                <w:p w14:paraId="28C25A38">
                  <w:pPr>
                    <w:widowControl/>
                    <w:jc w:val="center"/>
                    <w:textAlignment w:val="center"/>
                    <w:rPr>
                      <w:color w:val="auto"/>
                      <w:sz w:val="22"/>
                      <w:szCs w:val="22"/>
                      <w:highlight w:val="none"/>
                    </w:rPr>
                  </w:pPr>
                  <w:r>
                    <w:rPr>
                      <w:color w:val="auto"/>
                      <w:kern w:val="0"/>
                      <w:sz w:val="22"/>
                      <w:szCs w:val="22"/>
                      <w:highlight w:val="none"/>
                      <w:lang w:bidi="ar"/>
                    </w:rPr>
                    <w:t>排气筒高度/m</w:t>
                  </w:r>
                </w:p>
              </w:tc>
              <w:tc>
                <w:tcPr>
                  <w:tcW w:w="4070" w:type="dxa"/>
                  <w:tcBorders>
                    <w:top w:val="single" w:color="000000" w:sz="4" w:space="0"/>
                    <w:left w:val="single" w:color="000000" w:sz="4" w:space="0"/>
                    <w:bottom w:val="single" w:color="000000" w:sz="4" w:space="0"/>
                    <w:right w:val="single" w:color="000000" w:sz="4" w:space="0"/>
                  </w:tcBorders>
                  <w:vAlign w:val="center"/>
                </w:tcPr>
                <w:p w14:paraId="5AFA549F">
                  <w:pPr>
                    <w:widowControl/>
                    <w:jc w:val="center"/>
                    <w:textAlignment w:val="center"/>
                    <w:rPr>
                      <w:color w:val="auto"/>
                      <w:sz w:val="22"/>
                      <w:szCs w:val="22"/>
                      <w:highlight w:val="none"/>
                    </w:rPr>
                  </w:pPr>
                  <w:r>
                    <w:rPr>
                      <w:color w:val="auto"/>
                      <w:kern w:val="0"/>
                      <w:sz w:val="22"/>
                      <w:szCs w:val="22"/>
                      <w:highlight w:val="none"/>
                      <w:lang w:bidi="ar"/>
                    </w:rPr>
                    <w:t>15</w:t>
                  </w:r>
                </w:p>
              </w:tc>
            </w:tr>
            <w:tr w14:paraId="2927EEEC">
              <w:tblPrEx>
                <w:tblCellMar>
                  <w:top w:w="0" w:type="dxa"/>
                  <w:left w:w="108" w:type="dxa"/>
                  <w:bottom w:w="0" w:type="dxa"/>
                  <w:right w:w="108" w:type="dxa"/>
                </w:tblCellMar>
              </w:tblPrEx>
              <w:trPr>
                <w:trHeight w:val="283" w:hRule="atLeast"/>
                <w:jc w:val="center"/>
              </w:trPr>
              <w:tc>
                <w:tcPr>
                  <w:tcW w:w="3835" w:type="dxa"/>
                  <w:gridSpan w:val="2"/>
                  <w:tcBorders>
                    <w:top w:val="single" w:color="000000" w:sz="4" w:space="0"/>
                    <w:left w:val="single" w:color="000000" w:sz="4" w:space="0"/>
                    <w:bottom w:val="single" w:color="000000" w:sz="4" w:space="0"/>
                    <w:right w:val="single" w:color="000000" w:sz="4" w:space="0"/>
                  </w:tcBorders>
                  <w:vAlign w:val="center"/>
                </w:tcPr>
                <w:p w14:paraId="75097DF7">
                  <w:pPr>
                    <w:widowControl/>
                    <w:jc w:val="center"/>
                    <w:textAlignment w:val="center"/>
                    <w:rPr>
                      <w:color w:val="auto"/>
                      <w:sz w:val="22"/>
                      <w:szCs w:val="22"/>
                      <w:highlight w:val="none"/>
                    </w:rPr>
                  </w:pPr>
                  <w:r>
                    <w:rPr>
                      <w:color w:val="auto"/>
                      <w:kern w:val="0"/>
                      <w:sz w:val="22"/>
                      <w:szCs w:val="22"/>
                      <w:highlight w:val="none"/>
                      <w:lang w:bidi="ar"/>
                    </w:rPr>
                    <w:t>排气筒出口内径</w:t>
                  </w:r>
                  <w:r>
                    <w:rPr>
                      <w:rStyle w:val="97"/>
                      <w:color w:val="auto"/>
                      <w:highlight w:val="none"/>
                      <w:lang w:bidi="ar"/>
                    </w:rPr>
                    <w:t>/m</w:t>
                  </w:r>
                </w:p>
              </w:tc>
              <w:tc>
                <w:tcPr>
                  <w:tcW w:w="4070" w:type="dxa"/>
                  <w:tcBorders>
                    <w:top w:val="single" w:color="000000" w:sz="4" w:space="0"/>
                    <w:left w:val="single" w:color="000000" w:sz="4" w:space="0"/>
                    <w:bottom w:val="single" w:color="000000" w:sz="4" w:space="0"/>
                    <w:right w:val="single" w:color="000000" w:sz="4" w:space="0"/>
                  </w:tcBorders>
                  <w:vAlign w:val="center"/>
                </w:tcPr>
                <w:p w14:paraId="6C49FB80">
                  <w:pPr>
                    <w:widowControl/>
                    <w:jc w:val="center"/>
                    <w:textAlignment w:val="center"/>
                    <w:rPr>
                      <w:color w:val="auto"/>
                      <w:sz w:val="22"/>
                      <w:szCs w:val="22"/>
                      <w:highlight w:val="none"/>
                    </w:rPr>
                  </w:pPr>
                  <w:r>
                    <w:rPr>
                      <w:rFonts w:hint="eastAsia"/>
                      <w:color w:val="auto"/>
                      <w:sz w:val="22"/>
                      <w:szCs w:val="22"/>
                      <w:highlight w:val="none"/>
                    </w:rPr>
                    <w:t>0.6</w:t>
                  </w:r>
                </w:p>
              </w:tc>
            </w:tr>
            <w:tr w14:paraId="6FD50FE9">
              <w:tblPrEx>
                <w:tblCellMar>
                  <w:top w:w="0" w:type="dxa"/>
                  <w:left w:w="108" w:type="dxa"/>
                  <w:bottom w:w="0" w:type="dxa"/>
                  <w:right w:w="108" w:type="dxa"/>
                </w:tblCellMar>
              </w:tblPrEx>
              <w:trPr>
                <w:trHeight w:val="283" w:hRule="atLeast"/>
                <w:jc w:val="center"/>
              </w:trPr>
              <w:tc>
                <w:tcPr>
                  <w:tcW w:w="3835" w:type="dxa"/>
                  <w:gridSpan w:val="2"/>
                  <w:tcBorders>
                    <w:top w:val="single" w:color="000000" w:sz="4" w:space="0"/>
                    <w:left w:val="single" w:color="000000" w:sz="4" w:space="0"/>
                    <w:bottom w:val="single" w:color="000000" w:sz="4" w:space="0"/>
                    <w:right w:val="single" w:color="000000" w:sz="4" w:space="0"/>
                  </w:tcBorders>
                  <w:vAlign w:val="center"/>
                </w:tcPr>
                <w:p w14:paraId="2C391697">
                  <w:pPr>
                    <w:widowControl/>
                    <w:jc w:val="center"/>
                    <w:textAlignment w:val="center"/>
                    <w:rPr>
                      <w:color w:val="auto"/>
                      <w:sz w:val="22"/>
                      <w:szCs w:val="22"/>
                      <w:highlight w:val="none"/>
                    </w:rPr>
                  </w:pPr>
                  <w:r>
                    <w:rPr>
                      <w:color w:val="auto"/>
                      <w:kern w:val="0"/>
                      <w:sz w:val="22"/>
                      <w:szCs w:val="22"/>
                      <w:highlight w:val="none"/>
                      <w:lang w:bidi="ar"/>
                    </w:rPr>
                    <w:t>烟气流速/(m/s)</w:t>
                  </w:r>
                </w:p>
              </w:tc>
              <w:tc>
                <w:tcPr>
                  <w:tcW w:w="4070" w:type="dxa"/>
                  <w:tcBorders>
                    <w:top w:val="single" w:color="000000" w:sz="4" w:space="0"/>
                    <w:left w:val="single" w:color="000000" w:sz="4" w:space="0"/>
                    <w:bottom w:val="single" w:color="000000" w:sz="4" w:space="0"/>
                    <w:right w:val="single" w:color="000000" w:sz="4" w:space="0"/>
                  </w:tcBorders>
                  <w:vAlign w:val="center"/>
                </w:tcPr>
                <w:p w14:paraId="78C74DD9">
                  <w:pPr>
                    <w:widowControl/>
                    <w:jc w:val="center"/>
                    <w:textAlignment w:val="center"/>
                    <w:rPr>
                      <w:color w:val="auto"/>
                      <w:sz w:val="22"/>
                      <w:szCs w:val="22"/>
                      <w:highlight w:val="none"/>
                    </w:rPr>
                  </w:pPr>
                  <w:r>
                    <w:rPr>
                      <w:rFonts w:hint="eastAsia"/>
                      <w:color w:val="auto"/>
                      <w:sz w:val="22"/>
                      <w:szCs w:val="22"/>
                      <w:highlight w:val="none"/>
                    </w:rPr>
                    <w:t>14.7</w:t>
                  </w:r>
                </w:p>
              </w:tc>
            </w:tr>
            <w:tr w14:paraId="508F5E35">
              <w:tblPrEx>
                <w:tblCellMar>
                  <w:top w:w="0" w:type="dxa"/>
                  <w:left w:w="108" w:type="dxa"/>
                  <w:bottom w:w="0" w:type="dxa"/>
                  <w:right w:w="108" w:type="dxa"/>
                </w:tblCellMar>
              </w:tblPrEx>
              <w:trPr>
                <w:trHeight w:val="283" w:hRule="atLeast"/>
                <w:jc w:val="center"/>
              </w:trPr>
              <w:tc>
                <w:tcPr>
                  <w:tcW w:w="2723" w:type="dxa"/>
                  <w:tcBorders>
                    <w:top w:val="single" w:color="000000" w:sz="4" w:space="0"/>
                    <w:left w:val="single" w:color="000000" w:sz="4" w:space="0"/>
                    <w:bottom w:val="single" w:color="000000" w:sz="4" w:space="0"/>
                    <w:right w:val="single" w:color="000000" w:sz="4" w:space="0"/>
                  </w:tcBorders>
                  <w:vAlign w:val="center"/>
                </w:tcPr>
                <w:p w14:paraId="7C953BEF">
                  <w:pPr>
                    <w:widowControl/>
                    <w:jc w:val="center"/>
                    <w:textAlignment w:val="center"/>
                    <w:rPr>
                      <w:color w:val="auto"/>
                      <w:sz w:val="22"/>
                      <w:szCs w:val="22"/>
                      <w:highlight w:val="none"/>
                    </w:rPr>
                  </w:pPr>
                  <w:r>
                    <w:rPr>
                      <w:color w:val="auto"/>
                      <w:kern w:val="0"/>
                      <w:sz w:val="22"/>
                      <w:szCs w:val="22"/>
                      <w:highlight w:val="none"/>
                      <w:lang w:bidi="ar"/>
                    </w:rPr>
                    <w:t>烟气温度</w:t>
                  </w:r>
                </w:p>
              </w:tc>
              <w:tc>
                <w:tcPr>
                  <w:tcW w:w="1112" w:type="dxa"/>
                  <w:tcBorders>
                    <w:top w:val="single" w:color="000000" w:sz="4" w:space="0"/>
                    <w:left w:val="single" w:color="000000" w:sz="4" w:space="0"/>
                    <w:bottom w:val="single" w:color="000000" w:sz="4" w:space="0"/>
                    <w:right w:val="single" w:color="000000" w:sz="4" w:space="0"/>
                  </w:tcBorders>
                  <w:vAlign w:val="center"/>
                </w:tcPr>
                <w:p w14:paraId="0E6CF6D4">
                  <w:pPr>
                    <w:widowControl/>
                    <w:jc w:val="center"/>
                    <w:textAlignment w:val="center"/>
                    <w:rPr>
                      <w:color w:val="auto"/>
                      <w:sz w:val="22"/>
                      <w:szCs w:val="22"/>
                      <w:highlight w:val="none"/>
                    </w:rPr>
                  </w:pPr>
                  <w:r>
                    <w:rPr>
                      <w:color w:val="auto"/>
                      <w:kern w:val="0"/>
                      <w:sz w:val="22"/>
                      <w:szCs w:val="22"/>
                      <w:highlight w:val="none"/>
                      <w:lang w:bidi="ar"/>
                    </w:rPr>
                    <w:t>（℃）</w:t>
                  </w:r>
                </w:p>
              </w:tc>
              <w:tc>
                <w:tcPr>
                  <w:tcW w:w="4070" w:type="dxa"/>
                  <w:tcBorders>
                    <w:top w:val="single" w:color="000000" w:sz="4" w:space="0"/>
                    <w:left w:val="single" w:color="000000" w:sz="4" w:space="0"/>
                    <w:bottom w:val="single" w:color="000000" w:sz="4" w:space="0"/>
                    <w:right w:val="single" w:color="000000" w:sz="4" w:space="0"/>
                  </w:tcBorders>
                  <w:vAlign w:val="center"/>
                </w:tcPr>
                <w:p w14:paraId="16AFE834">
                  <w:pPr>
                    <w:widowControl/>
                    <w:jc w:val="center"/>
                    <w:textAlignment w:val="center"/>
                    <w:rPr>
                      <w:color w:val="auto"/>
                      <w:sz w:val="22"/>
                      <w:szCs w:val="22"/>
                      <w:highlight w:val="none"/>
                    </w:rPr>
                  </w:pPr>
                  <w:r>
                    <w:rPr>
                      <w:rFonts w:hint="eastAsia"/>
                      <w:color w:val="auto"/>
                      <w:kern w:val="0"/>
                      <w:sz w:val="22"/>
                      <w:szCs w:val="22"/>
                      <w:highlight w:val="none"/>
                      <w:lang w:bidi="ar"/>
                    </w:rPr>
                    <w:t>25</w:t>
                  </w:r>
                </w:p>
              </w:tc>
            </w:tr>
            <w:tr w14:paraId="6A3883EA">
              <w:tblPrEx>
                <w:tblCellMar>
                  <w:top w:w="0" w:type="dxa"/>
                  <w:left w:w="108" w:type="dxa"/>
                  <w:bottom w:w="0" w:type="dxa"/>
                  <w:right w:w="108" w:type="dxa"/>
                </w:tblCellMar>
              </w:tblPrEx>
              <w:trPr>
                <w:trHeight w:val="283" w:hRule="atLeast"/>
                <w:jc w:val="center"/>
              </w:trPr>
              <w:tc>
                <w:tcPr>
                  <w:tcW w:w="3835" w:type="dxa"/>
                  <w:gridSpan w:val="2"/>
                  <w:tcBorders>
                    <w:top w:val="single" w:color="000000" w:sz="4" w:space="0"/>
                    <w:left w:val="single" w:color="000000" w:sz="4" w:space="0"/>
                    <w:bottom w:val="single" w:color="000000" w:sz="4" w:space="0"/>
                    <w:right w:val="single" w:color="000000" w:sz="4" w:space="0"/>
                  </w:tcBorders>
                  <w:vAlign w:val="center"/>
                </w:tcPr>
                <w:p w14:paraId="3AA5BE42">
                  <w:pPr>
                    <w:widowControl/>
                    <w:jc w:val="center"/>
                    <w:textAlignment w:val="center"/>
                    <w:rPr>
                      <w:color w:val="auto"/>
                      <w:sz w:val="22"/>
                      <w:szCs w:val="22"/>
                      <w:highlight w:val="none"/>
                    </w:rPr>
                  </w:pPr>
                  <w:r>
                    <w:rPr>
                      <w:color w:val="auto"/>
                      <w:kern w:val="0"/>
                      <w:sz w:val="22"/>
                      <w:szCs w:val="22"/>
                      <w:highlight w:val="none"/>
                      <w:lang w:bidi="ar"/>
                    </w:rPr>
                    <w:t>年排放小时数（h）</w:t>
                  </w:r>
                </w:p>
              </w:tc>
              <w:tc>
                <w:tcPr>
                  <w:tcW w:w="4070" w:type="dxa"/>
                  <w:tcBorders>
                    <w:top w:val="single" w:color="000000" w:sz="4" w:space="0"/>
                    <w:left w:val="single" w:color="000000" w:sz="4" w:space="0"/>
                    <w:bottom w:val="single" w:color="000000" w:sz="4" w:space="0"/>
                    <w:right w:val="single" w:color="000000" w:sz="4" w:space="0"/>
                  </w:tcBorders>
                  <w:vAlign w:val="center"/>
                </w:tcPr>
                <w:p w14:paraId="014A238C">
                  <w:pPr>
                    <w:widowControl/>
                    <w:jc w:val="center"/>
                    <w:textAlignment w:val="center"/>
                    <w:rPr>
                      <w:color w:val="auto"/>
                      <w:sz w:val="22"/>
                      <w:szCs w:val="22"/>
                      <w:highlight w:val="none"/>
                    </w:rPr>
                  </w:pPr>
                  <w:r>
                    <w:rPr>
                      <w:color w:val="auto"/>
                      <w:kern w:val="0"/>
                      <w:sz w:val="22"/>
                      <w:szCs w:val="22"/>
                      <w:highlight w:val="none"/>
                      <w:lang w:bidi="ar"/>
                    </w:rPr>
                    <w:t>4800</w:t>
                  </w:r>
                </w:p>
              </w:tc>
            </w:tr>
            <w:tr w14:paraId="3257B03D">
              <w:tblPrEx>
                <w:tblCellMar>
                  <w:top w:w="0" w:type="dxa"/>
                  <w:left w:w="108" w:type="dxa"/>
                  <w:bottom w:w="0" w:type="dxa"/>
                  <w:right w:w="108" w:type="dxa"/>
                </w:tblCellMar>
              </w:tblPrEx>
              <w:trPr>
                <w:trHeight w:val="283" w:hRule="atLeast"/>
                <w:jc w:val="center"/>
              </w:trPr>
              <w:tc>
                <w:tcPr>
                  <w:tcW w:w="3835" w:type="dxa"/>
                  <w:gridSpan w:val="2"/>
                  <w:tcBorders>
                    <w:top w:val="single" w:color="000000" w:sz="4" w:space="0"/>
                    <w:left w:val="single" w:color="000000" w:sz="4" w:space="0"/>
                    <w:bottom w:val="single" w:color="000000" w:sz="4" w:space="0"/>
                    <w:right w:val="single" w:color="000000" w:sz="4" w:space="0"/>
                  </w:tcBorders>
                  <w:vAlign w:val="center"/>
                </w:tcPr>
                <w:p w14:paraId="7D71267C">
                  <w:pPr>
                    <w:widowControl/>
                    <w:jc w:val="center"/>
                    <w:textAlignment w:val="center"/>
                    <w:rPr>
                      <w:color w:val="auto"/>
                      <w:sz w:val="22"/>
                      <w:szCs w:val="22"/>
                      <w:highlight w:val="none"/>
                    </w:rPr>
                  </w:pPr>
                  <w:r>
                    <w:rPr>
                      <w:color w:val="auto"/>
                      <w:kern w:val="0"/>
                      <w:sz w:val="22"/>
                      <w:szCs w:val="22"/>
                      <w:highlight w:val="none"/>
                      <w:lang w:bidi="ar"/>
                    </w:rPr>
                    <w:t>排放工况</w:t>
                  </w:r>
                </w:p>
              </w:tc>
              <w:tc>
                <w:tcPr>
                  <w:tcW w:w="4070" w:type="dxa"/>
                  <w:tcBorders>
                    <w:top w:val="single" w:color="000000" w:sz="4" w:space="0"/>
                    <w:left w:val="single" w:color="000000" w:sz="4" w:space="0"/>
                    <w:bottom w:val="single" w:color="000000" w:sz="4" w:space="0"/>
                    <w:right w:val="single" w:color="000000" w:sz="4" w:space="0"/>
                  </w:tcBorders>
                  <w:vAlign w:val="center"/>
                </w:tcPr>
                <w:p w14:paraId="2DD4ACC0">
                  <w:pPr>
                    <w:widowControl/>
                    <w:jc w:val="center"/>
                    <w:textAlignment w:val="center"/>
                    <w:rPr>
                      <w:color w:val="auto"/>
                      <w:sz w:val="22"/>
                      <w:szCs w:val="22"/>
                      <w:highlight w:val="none"/>
                    </w:rPr>
                  </w:pPr>
                  <w:r>
                    <w:rPr>
                      <w:color w:val="auto"/>
                      <w:kern w:val="0"/>
                      <w:sz w:val="22"/>
                      <w:szCs w:val="22"/>
                      <w:highlight w:val="none"/>
                      <w:lang w:bidi="ar"/>
                    </w:rPr>
                    <w:t>正常排放</w:t>
                  </w:r>
                </w:p>
              </w:tc>
            </w:tr>
            <w:tr w14:paraId="4076E793">
              <w:tblPrEx>
                <w:tblCellMar>
                  <w:top w:w="0" w:type="dxa"/>
                  <w:left w:w="108" w:type="dxa"/>
                  <w:bottom w:w="0" w:type="dxa"/>
                  <w:right w:w="108" w:type="dxa"/>
                </w:tblCellMar>
              </w:tblPrEx>
              <w:trPr>
                <w:trHeight w:val="283" w:hRule="atLeast"/>
                <w:jc w:val="center"/>
              </w:trPr>
              <w:tc>
                <w:tcPr>
                  <w:tcW w:w="2723" w:type="dxa"/>
                  <w:tcBorders>
                    <w:top w:val="single" w:color="000000" w:sz="4" w:space="0"/>
                    <w:left w:val="single" w:color="000000" w:sz="4" w:space="0"/>
                    <w:right w:val="single" w:color="000000" w:sz="4" w:space="0"/>
                  </w:tcBorders>
                  <w:vAlign w:val="center"/>
                </w:tcPr>
                <w:p w14:paraId="3FF6D83A">
                  <w:pPr>
                    <w:widowControl/>
                    <w:jc w:val="center"/>
                    <w:textAlignment w:val="center"/>
                    <w:rPr>
                      <w:color w:val="auto"/>
                      <w:sz w:val="22"/>
                      <w:szCs w:val="22"/>
                      <w:highlight w:val="none"/>
                    </w:rPr>
                  </w:pPr>
                  <w:r>
                    <w:rPr>
                      <w:color w:val="auto"/>
                      <w:kern w:val="0"/>
                      <w:sz w:val="22"/>
                      <w:szCs w:val="22"/>
                      <w:highlight w:val="none"/>
                      <w:lang w:bidi="ar"/>
                    </w:rPr>
                    <w:t>污染物排放速率（kg/h</w:t>
                  </w:r>
                  <w:r>
                    <w:rPr>
                      <w:rFonts w:hint="eastAsia"/>
                      <w:color w:val="auto"/>
                      <w:kern w:val="0"/>
                      <w:sz w:val="22"/>
                      <w:szCs w:val="22"/>
                      <w:highlight w:val="none"/>
                      <w:lang w:eastAsia="zh-CN" w:bidi="ar"/>
                    </w:rPr>
                    <w:t>）</w:t>
                  </w:r>
                </w:p>
              </w:tc>
              <w:tc>
                <w:tcPr>
                  <w:tcW w:w="1112" w:type="dxa"/>
                  <w:tcBorders>
                    <w:top w:val="single" w:color="000000" w:sz="4" w:space="0"/>
                    <w:left w:val="single" w:color="000000" w:sz="4" w:space="0"/>
                    <w:bottom w:val="single" w:color="000000" w:sz="4" w:space="0"/>
                    <w:right w:val="single" w:color="000000" w:sz="4" w:space="0"/>
                  </w:tcBorders>
                  <w:noWrap/>
                  <w:vAlign w:val="bottom"/>
                </w:tcPr>
                <w:p w14:paraId="56293487">
                  <w:pPr>
                    <w:widowControl/>
                    <w:jc w:val="center"/>
                    <w:textAlignment w:val="bottom"/>
                    <w:rPr>
                      <w:color w:val="auto"/>
                      <w:sz w:val="22"/>
                      <w:szCs w:val="22"/>
                      <w:highlight w:val="none"/>
                    </w:rPr>
                  </w:pPr>
                  <w:r>
                    <w:rPr>
                      <w:color w:val="auto"/>
                      <w:kern w:val="0"/>
                      <w:sz w:val="22"/>
                      <w:szCs w:val="22"/>
                      <w:highlight w:val="none"/>
                      <w:lang w:bidi="ar"/>
                    </w:rPr>
                    <w:t>颗粒物</w:t>
                  </w:r>
                </w:p>
              </w:tc>
              <w:tc>
                <w:tcPr>
                  <w:tcW w:w="4070" w:type="dxa"/>
                  <w:tcBorders>
                    <w:top w:val="single" w:color="000000" w:sz="4" w:space="0"/>
                    <w:left w:val="single" w:color="000000" w:sz="4" w:space="0"/>
                    <w:bottom w:val="single" w:color="000000" w:sz="4" w:space="0"/>
                    <w:right w:val="single" w:color="000000" w:sz="4" w:space="0"/>
                  </w:tcBorders>
                  <w:vAlign w:val="center"/>
                </w:tcPr>
                <w:p w14:paraId="7AFDAB70">
                  <w:pPr>
                    <w:widowControl/>
                    <w:jc w:val="center"/>
                    <w:textAlignment w:val="center"/>
                    <w:rPr>
                      <w:color w:val="auto"/>
                      <w:kern w:val="0"/>
                      <w:sz w:val="22"/>
                      <w:szCs w:val="22"/>
                      <w:highlight w:val="none"/>
                      <w:lang w:bidi="ar"/>
                    </w:rPr>
                  </w:pPr>
                  <w:r>
                    <w:rPr>
                      <w:rFonts w:hint="eastAsia"/>
                      <w:color w:val="auto"/>
                      <w:kern w:val="0"/>
                      <w:sz w:val="22"/>
                      <w:szCs w:val="22"/>
                      <w:highlight w:val="none"/>
                      <w:lang w:bidi="ar"/>
                    </w:rPr>
                    <w:t>0.003</w:t>
                  </w:r>
                </w:p>
              </w:tc>
            </w:tr>
            <w:tr w14:paraId="16CD784B">
              <w:tblPrEx>
                <w:tblCellMar>
                  <w:top w:w="0" w:type="dxa"/>
                  <w:left w:w="108" w:type="dxa"/>
                  <w:bottom w:w="0" w:type="dxa"/>
                  <w:right w:w="108" w:type="dxa"/>
                </w:tblCellMar>
              </w:tblPrEx>
              <w:trPr>
                <w:trHeight w:val="283" w:hRule="atLeast"/>
                <w:jc w:val="center"/>
              </w:trPr>
              <w:tc>
                <w:tcPr>
                  <w:tcW w:w="3835" w:type="dxa"/>
                  <w:gridSpan w:val="2"/>
                  <w:tcBorders>
                    <w:top w:val="single" w:color="000000" w:sz="4" w:space="0"/>
                    <w:left w:val="single" w:color="000000" w:sz="4" w:space="0"/>
                    <w:bottom w:val="single" w:color="000000" w:sz="4" w:space="0"/>
                    <w:right w:val="single" w:color="000000" w:sz="4" w:space="0"/>
                  </w:tcBorders>
                  <w:vAlign w:val="center"/>
                </w:tcPr>
                <w:p w14:paraId="7CC0ABB5">
                  <w:pPr>
                    <w:widowControl/>
                    <w:jc w:val="center"/>
                    <w:textAlignment w:val="center"/>
                    <w:rPr>
                      <w:color w:val="auto"/>
                      <w:sz w:val="22"/>
                      <w:szCs w:val="22"/>
                      <w:highlight w:val="none"/>
                    </w:rPr>
                  </w:pPr>
                  <w:r>
                    <w:rPr>
                      <w:color w:val="auto"/>
                      <w:kern w:val="0"/>
                      <w:sz w:val="22"/>
                      <w:szCs w:val="22"/>
                      <w:highlight w:val="none"/>
                      <w:lang w:bidi="ar"/>
                    </w:rPr>
                    <w:t>排放标准</w:t>
                  </w:r>
                </w:p>
              </w:tc>
              <w:tc>
                <w:tcPr>
                  <w:tcW w:w="4070" w:type="dxa"/>
                  <w:tcBorders>
                    <w:top w:val="single" w:color="000000" w:sz="4" w:space="0"/>
                    <w:left w:val="single" w:color="000000" w:sz="4" w:space="0"/>
                    <w:bottom w:val="single" w:color="000000" w:sz="4" w:space="0"/>
                    <w:right w:val="single" w:color="000000" w:sz="4" w:space="0"/>
                  </w:tcBorders>
                  <w:vAlign w:val="center"/>
                </w:tcPr>
                <w:p w14:paraId="5A3C5C58">
                  <w:pPr>
                    <w:widowControl/>
                    <w:jc w:val="center"/>
                    <w:textAlignment w:val="center"/>
                    <w:rPr>
                      <w:color w:val="auto"/>
                      <w:sz w:val="22"/>
                      <w:szCs w:val="22"/>
                      <w:highlight w:val="none"/>
                    </w:rPr>
                  </w:pPr>
                  <w:r>
                    <w:rPr>
                      <w:color w:val="auto"/>
                      <w:kern w:val="0"/>
                      <w:sz w:val="22"/>
                      <w:szCs w:val="22"/>
                      <w:highlight w:val="none"/>
                      <w:lang w:bidi="ar"/>
                    </w:rPr>
                    <w:t>《大气污染物综合排放标准》（DB50/418-2016）中影响区排放限值</w:t>
                  </w:r>
                </w:p>
              </w:tc>
            </w:tr>
          </w:tbl>
          <w:p w14:paraId="267409F4">
            <w:pPr>
              <w:ind w:firstLine="480" w:firstLineChars="200"/>
              <w:jc w:val="center"/>
              <w:rPr>
                <w:color w:val="auto"/>
                <w:sz w:val="24"/>
                <w:szCs w:val="26"/>
                <w:highlight w:val="none"/>
              </w:rPr>
            </w:pPr>
          </w:p>
          <w:p w14:paraId="1E28FE4F">
            <w:pPr>
              <w:ind w:firstLine="480" w:firstLineChars="200"/>
              <w:jc w:val="center"/>
              <w:rPr>
                <w:color w:val="auto"/>
                <w:sz w:val="24"/>
                <w:szCs w:val="26"/>
                <w:highlight w:val="none"/>
              </w:rPr>
            </w:pPr>
          </w:p>
          <w:p w14:paraId="56FB24B6">
            <w:pPr>
              <w:ind w:firstLine="480" w:firstLineChars="200"/>
              <w:jc w:val="center"/>
              <w:rPr>
                <w:color w:val="auto"/>
                <w:sz w:val="24"/>
                <w:szCs w:val="26"/>
                <w:highlight w:val="none"/>
              </w:rPr>
            </w:pPr>
          </w:p>
          <w:p w14:paraId="06BECD4F">
            <w:pPr>
              <w:ind w:firstLine="480" w:firstLineChars="200"/>
              <w:jc w:val="center"/>
              <w:rPr>
                <w:color w:val="auto"/>
                <w:sz w:val="24"/>
                <w:szCs w:val="26"/>
                <w:highlight w:val="none"/>
              </w:rPr>
            </w:pPr>
            <w:r>
              <w:rPr>
                <w:color w:val="auto"/>
                <w:sz w:val="24"/>
                <w:szCs w:val="26"/>
                <w:highlight w:val="none"/>
              </w:rPr>
              <w:t>表4.2-3  项目运营期主要无组织面源参数表</w:t>
            </w:r>
          </w:p>
          <w:tbl>
            <w:tblPr>
              <w:tblStyle w:val="16"/>
              <w:tblW w:w="7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763"/>
              <w:gridCol w:w="1512"/>
              <w:gridCol w:w="852"/>
              <w:gridCol w:w="818"/>
              <w:gridCol w:w="667"/>
              <w:gridCol w:w="698"/>
              <w:gridCol w:w="847"/>
              <w:gridCol w:w="1415"/>
            </w:tblGrid>
            <w:tr w14:paraId="62A2F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Merge w:val="restart"/>
                  <w:vAlign w:val="center"/>
                </w:tcPr>
                <w:p w14:paraId="7E4EE491">
                  <w:pPr>
                    <w:widowControl/>
                    <w:jc w:val="center"/>
                    <w:textAlignment w:val="center"/>
                    <w:rPr>
                      <w:color w:val="auto"/>
                      <w:sz w:val="20"/>
                      <w:szCs w:val="20"/>
                      <w:highlight w:val="none"/>
                    </w:rPr>
                  </w:pPr>
                  <w:r>
                    <w:rPr>
                      <w:color w:val="auto"/>
                      <w:kern w:val="0"/>
                      <w:sz w:val="20"/>
                      <w:szCs w:val="20"/>
                      <w:highlight w:val="none"/>
                      <w:lang w:bidi="ar"/>
                    </w:rPr>
                    <w:t>编号</w:t>
                  </w:r>
                </w:p>
              </w:tc>
              <w:tc>
                <w:tcPr>
                  <w:tcW w:w="763" w:type="dxa"/>
                  <w:vMerge w:val="restart"/>
                  <w:vAlign w:val="center"/>
                </w:tcPr>
                <w:p w14:paraId="04110CE2">
                  <w:pPr>
                    <w:widowControl/>
                    <w:jc w:val="center"/>
                    <w:textAlignment w:val="center"/>
                    <w:rPr>
                      <w:color w:val="auto"/>
                      <w:sz w:val="20"/>
                      <w:szCs w:val="20"/>
                      <w:highlight w:val="none"/>
                    </w:rPr>
                  </w:pPr>
                  <w:r>
                    <w:rPr>
                      <w:color w:val="auto"/>
                      <w:kern w:val="0"/>
                      <w:sz w:val="20"/>
                      <w:szCs w:val="20"/>
                      <w:highlight w:val="none"/>
                      <w:lang w:bidi="ar"/>
                    </w:rPr>
                    <w:t>名称</w:t>
                  </w:r>
                </w:p>
              </w:tc>
              <w:tc>
                <w:tcPr>
                  <w:tcW w:w="1512" w:type="dxa"/>
                  <w:vMerge w:val="restart"/>
                  <w:noWrap/>
                  <w:vAlign w:val="center"/>
                </w:tcPr>
                <w:p w14:paraId="6C61B358">
                  <w:pPr>
                    <w:widowControl/>
                    <w:jc w:val="center"/>
                    <w:textAlignment w:val="center"/>
                    <w:rPr>
                      <w:color w:val="auto"/>
                      <w:sz w:val="20"/>
                      <w:szCs w:val="20"/>
                      <w:highlight w:val="none"/>
                    </w:rPr>
                  </w:pPr>
                  <w:r>
                    <w:rPr>
                      <w:color w:val="auto"/>
                      <w:kern w:val="0"/>
                      <w:sz w:val="20"/>
                      <w:szCs w:val="20"/>
                      <w:highlight w:val="none"/>
                      <w:lang w:bidi="ar"/>
                    </w:rPr>
                    <w:t>面源（矩形面源）坐标（X,Y</w:t>
                  </w:r>
                  <w:r>
                    <w:rPr>
                      <w:rFonts w:hint="eastAsia"/>
                      <w:color w:val="auto"/>
                      <w:kern w:val="0"/>
                      <w:sz w:val="20"/>
                      <w:szCs w:val="20"/>
                      <w:highlight w:val="none"/>
                      <w:lang w:eastAsia="zh-CN" w:bidi="ar"/>
                    </w:rPr>
                    <w:t>）</w:t>
                  </w:r>
                  <w:r>
                    <w:rPr>
                      <w:color w:val="auto"/>
                      <w:kern w:val="0"/>
                      <w:sz w:val="20"/>
                      <w:szCs w:val="20"/>
                      <w:highlight w:val="none"/>
                      <w:lang w:bidi="ar"/>
                    </w:rPr>
                    <w:t>/m</w:t>
                  </w:r>
                </w:p>
              </w:tc>
              <w:tc>
                <w:tcPr>
                  <w:tcW w:w="852" w:type="dxa"/>
                  <w:vMerge w:val="restart"/>
                  <w:vAlign w:val="center"/>
                </w:tcPr>
                <w:p w14:paraId="6297F4CF">
                  <w:pPr>
                    <w:widowControl/>
                    <w:jc w:val="center"/>
                    <w:textAlignment w:val="center"/>
                    <w:rPr>
                      <w:color w:val="auto"/>
                      <w:sz w:val="20"/>
                      <w:szCs w:val="20"/>
                      <w:highlight w:val="none"/>
                    </w:rPr>
                  </w:pPr>
                  <w:r>
                    <w:rPr>
                      <w:color w:val="auto"/>
                      <w:kern w:val="0"/>
                      <w:sz w:val="20"/>
                      <w:szCs w:val="20"/>
                      <w:highlight w:val="none"/>
                      <w:lang w:bidi="ar"/>
                    </w:rPr>
                    <w:t>面源平均</w:t>
                  </w:r>
                  <w:bookmarkStart w:id="77" w:name="hmcheck_33c5bc71dc454aeba5e13b52c1444e61"/>
                  <w:r>
                    <w:rPr>
                      <w:color w:val="auto"/>
                      <w:kern w:val="0"/>
                      <w:sz w:val="20"/>
                      <w:szCs w:val="20"/>
                      <w:highlight w:val="none"/>
                      <w:shd w:val="clear" w:fill="FFAFAA"/>
                      <w:lang w:bidi="ar"/>
                    </w:rPr>
                    <w:t>海拔高度</w:t>
                  </w:r>
                  <w:bookmarkEnd w:id="77"/>
                  <w:r>
                    <w:rPr>
                      <w:color w:val="auto"/>
                      <w:kern w:val="0"/>
                      <w:sz w:val="20"/>
                      <w:szCs w:val="20"/>
                      <w:highlight w:val="none"/>
                      <w:lang w:bidi="ar"/>
                    </w:rPr>
                    <w:t>/m</w:t>
                  </w:r>
                </w:p>
              </w:tc>
              <w:tc>
                <w:tcPr>
                  <w:tcW w:w="818" w:type="dxa"/>
                  <w:vMerge w:val="restart"/>
                  <w:vAlign w:val="center"/>
                </w:tcPr>
                <w:p w14:paraId="45ED5AC4">
                  <w:pPr>
                    <w:widowControl/>
                    <w:jc w:val="center"/>
                    <w:textAlignment w:val="center"/>
                    <w:rPr>
                      <w:color w:val="auto"/>
                      <w:sz w:val="20"/>
                      <w:szCs w:val="20"/>
                      <w:highlight w:val="none"/>
                    </w:rPr>
                  </w:pPr>
                  <w:r>
                    <w:rPr>
                      <w:color w:val="auto"/>
                      <w:kern w:val="0"/>
                      <w:sz w:val="20"/>
                      <w:szCs w:val="20"/>
                      <w:highlight w:val="none"/>
                      <w:lang w:bidi="ar"/>
                    </w:rPr>
                    <w:t>面源有效排放高度（m）</w:t>
                  </w:r>
                </w:p>
              </w:tc>
              <w:tc>
                <w:tcPr>
                  <w:tcW w:w="667" w:type="dxa"/>
                  <w:vMerge w:val="restart"/>
                  <w:vAlign w:val="center"/>
                </w:tcPr>
                <w:p w14:paraId="124186A7">
                  <w:pPr>
                    <w:widowControl/>
                    <w:jc w:val="center"/>
                    <w:textAlignment w:val="center"/>
                    <w:rPr>
                      <w:color w:val="auto"/>
                      <w:sz w:val="20"/>
                      <w:szCs w:val="20"/>
                      <w:highlight w:val="none"/>
                    </w:rPr>
                  </w:pPr>
                  <w:r>
                    <w:rPr>
                      <w:color w:val="auto"/>
                      <w:kern w:val="0"/>
                      <w:sz w:val="20"/>
                      <w:szCs w:val="20"/>
                      <w:highlight w:val="none"/>
                      <w:lang w:bidi="ar"/>
                    </w:rPr>
                    <w:t>排放工况</w:t>
                  </w:r>
                </w:p>
              </w:tc>
              <w:tc>
                <w:tcPr>
                  <w:tcW w:w="1545" w:type="dxa"/>
                  <w:gridSpan w:val="2"/>
                  <w:vAlign w:val="center"/>
                </w:tcPr>
                <w:p w14:paraId="0460B357">
                  <w:pPr>
                    <w:widowControl/>
                    <w:jc w:val="center"/>
                    <w:textAlignment w:val="center"/>
                    <w:rPr>
                      <w:color w:val="auto"/>
                      <w:sz w:val="20"/>
                      <w:szCs w:val="20"/>
                      <w:highlight w:val="none"/>
                    </w:rPr>
                  </w:pPr>
                  <w:r>
                    <w:rPr>
                      <w:color w:val="auto"/>
                      <w:kern w:val="0"/>
                      <w:sz w:val="20"/>
                      <w:szCs w:val="20"/>
                      <w:highlight w:val="none"/>
                      <w:lang w:bidi="ar"/>
                    </w:rPr>
                    <w:t>污染物排放速率（kg/h</w:t>
                  </w:r>
                  <w:r>
                    <w:rPr>
                      <w:rFonts w:hint="eastAsia"/>
                      <w:color w:val="auto"/>
                      <w:kern w:val="0"/>
                      <w:sz w:val="20"/>
                      <w:szCs w:val="20"/>
                      <w:highlight w:val="none"/>
                      <w:lang w:eastAsia="zh-CN" w:bidi="ar"/>
                    </w:rPr>
                    <w:t>）</w:t>
                  </w:r>
                </w:p>
              </w:tc>
              <w:tc>
                <w:tcPr>
                  <w:tcW w:w="1415" w:type="dxa"/>
                  <w:vMerge w:val="restart"/>
                  <w:vAlign w:val="center"/>
                </w:tcPr>
                <w:p w14:paraId="64DF14E1">
                  <w:pPr>
                    <w:widowControl/>
                    <w:jc w:val="center"/>
                    <w:textAlignment w:val="center"/>
                    <w:rPr>
                      <w:color w:val="auto"/>
                      <w:sz w:val="20"/>
                      <w:szCs w:val="20"/>
                      <w:highlight w:val="none"/>
                    </w:rPr>
                  </w:pPr>
                  <w:r>
                    <w:rPr>
                      <w:color w:val="auto"/>
                      <w:kern w:val="0"/>
                      <w:sz w:val="20"/>
                      <w:szCs w:val="20"/>
                      <w:highlight w:val="none"/>
                      <w:lang w:bidi="ar"/>
                    </w:rPr>
                    <w:t>排放标准</w:t>
                  </w:r>
                </w:p>
              </w:tc>
            </w:tr>
            <w:tr w14:paraId="0ADD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Merge w:val="continue"/>
                  <w:vAlign w:val="center"/>
                </w:tcPr>
                <w:p w14:paraId="163231FB">
                  <w:pPr>
                    <w:jc w:val="center"/>
                    <w:rPr>
                      <w:color w:val="auto"/>
                      <w:sz w:val="20"/>
                      <w:szCs w:val="20"/>
                      <w:highlight w:val="none"/>
                    </w:rPr>
                  </w:pPr>
                </w:p>
              </w:tc>
              <w:tc>
                <w:tcPr>
                  <w:tcW w:w="763" w:type="dxa"/>
                  <w:vMerge w:val="continue"/>
                  <w:vAlign w:val="center"/>
                </w:tcPr>
                <w:p w14:paraId="7223A58D">
                  <w:pPr>
                    <w:jc w:val="center"/>
                    <w:rPr>
                      <w:color w:val="auto"/>
                      <w:sz w:val="20"/>
                      <w:szCs w:val="20"/>
                      <w:highlight w:val="none"/>
                    </w:rPr>
                  </w:pPr>
                </w:p>
              </w:tc>
              <w:tc>
                <w:tcPr>
                  <w:tcW w:w="1512" w:type="dxa"/>
                  <w:vMerge w:val="continue"/>
                  <w:noWrap/>
                  <w:vAlign w:val="center"/>
                </w:tcPr>
                <w:p w14:paraId="52CB747D">
                  <w:pPr>
                    <w:jc w:val="center"/>
                    <w:rPr>
                      <w:color w:val="auto"/>
                      <w:sz w:val="20"/>
                      <w:szCs w:val="20"/>
                      <w:highlight w:val="none"/>
                    </w:rPr>
                  </w:pPr>
                </w:p>
              </w:tc>
              <w:tc>
                <w:tcPr>
                  <w:tcW w:w="852" w:type="dxa"/>
                  <w:vMerge w:val="continue"/>
                  <w:vAlign w:val="center"/>
                </w:tcPr>
                <w:p w14:paraId="1322EC74">
                  <w:pPr>
                    <w:jc w:val="center"/>
                    <w:rPr>
                      <w:color w:val="auto"/>
                      <w:sz w:val="20"/>
                      <w:szCs w:val="20"/>
                      <w:highlight w:val="none"/>
                    </w:rPr>
                  </w:pPr>
                </w:p>
              </w:tc>
              <w:tc>
                <w:tcPr>
                  <w:tcW w:w="818" w:type="dxa"/>
                  <w:vMerge w:val="continue"/>
                  <w:vAlign w:val="center"/>
                </w:tcPr>
                <w:p w14:paraId="4DBBEC7A">
                  <w:pPr>
                    <w:jc w:val="center"/>
                    <w:rPr>
                      <w:color w:val="auto"/>
                      <w:sz w:val="20"/>
                      <w:szCs w:val="20"/>
                      <w:highlight w:val="none"/>
                    </w:rPr>
                  </w:pPr>
                </w:p>
              </w:tc>
              <w:tc>
                <w:tcPr>
                  <w:tcW w:w="667" w:type="dxa"/>
                  <w:vMerge w:val="continue"/>
                  <w:vAlign w:val="center"/>
                </w:tcPr>
                <w:p w14:paraId="6F6D1103">
                  <w:pPr>
                    <w:jc w:val="center"/>
                    <w:rPr>
                      <w:color w:val="auto"/>
                      <w:sz w:val="20"/>
                      <w:szCs w:val="20"/>
                      <w:highlight w:val="none"/>
                    </w:rPr>
                  </w:pPr>
                </w:p>
              </w:tc>
              <w:tc>
                <w:tcPr>
                  <w:tcW w:w="698" w:type="dxa"/>
                  <w:vAlign w:val="center"/>
                </w:tcPr>
                <w:p w14:paraId="2648DE86">
                  <w:pPr>
                    <w:widowControl/>
                    <w:jc w:val="center"/>
                    <w:textAlignment w:val="center"/>
                    <w:rPr>
                      <w:color w:val="auto"/>
                      <w:sz w:val="20"/>
                      <w:szCs w:val="20"/>
                      <w:highlight w:val="none"/>
                    </w:rPr>
                  </w:pPr>
                  <w:r>
                    <w:rPr>
                      <w:color w:val="auto"/>
                      <w:kern w:val="0"/>
                      <w:sz w:val="20"/>
                      <w:szCs w:val="20"/>
                      <w:highlight w:val="none"/>
                      <w:lang w:bidi="ar"/>
                    </w:rPr>
                    <w:t>颗粒物</w:t>
                  </w:r>
                </w:p>
              </w:tc>
              <w:tc>
                <w:tcPr>
                  <w:tcW w:w="847" w:type="dxa"/>
                  <w:vAlign w:val="center"/>
                </w:tcPr>
                <w:p w14:paraId="2C78BCCD">
                  <w:pPr>
                    <w:widowControl/>
                    <w:jc w:val="center"/>
                    <w:textAlignment w:val="center"/>
                    <w:rPr>
                      <w:color w:val="auto"/>
                      <w:sz w:val="20"/>
                      <w:szCs w:val="20"/>
                      <w:highlight w:val="none"/>
                    </w:rPr>
                  </w:pPr>
                  <w:r>
                    <w:rPr>
                      <w:color w:val="auto"/>
                      <w:kern w:val="0"/>
                      <w:sz w:val="20"/>
                      <w:szCs w:val="20"/>
                      <w:highlight w:val="none"/>
                      <w:lang w:bidi="ar"/>
                    </w:rPr>
                    <w:t>非甲烷总烃</w:t>
                  </w:r>
                </w:p>
              </w:tc>
              <w:tc>
                <w:tcPr>
                  <w:tcW w:w="1415" w:type="dxa"/>
                  <w:vMerge w:val="continue"/>
                  <w:vAlign w:val="center"/>
                </w:tcPr>
                <w:p w14:paraId="725473DE">
                  <w:pPr>
                    <w:jc w:val="center"/>
                    <w:rPr>
                      <w:color w:val="auto"/>
                      <w:sz w:val="20"/>
                      <w:szCs w:val="20"/>
                      <w:highlight w:val="none"/>
                    </w:rPr>
                  </w:pPr>
                </w:p>
              </w:tc>
            </w:tr>
            <w:tr w14:paraId="42B0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Merge w:val="restart"/>
                  <w:vAlign w:val="center"/>
                </w:tcPr>
                <w:p w14:paraId="62D74F94">
                  <w:pPr>
                    <w:widowControl/>
                    <w:jc w:val="center"/>
                    <w:textAlignment w:val="center"/>
                    <w:rPr>
                      <w:color w:val="auto"/>
                      <w:sz w:val="20"/>
                      <w:szCs w:val="20"/>
                      <w:highlight w:val="none"/>
                    </w:rPr>
                  </w:pPr>
                  <w:r>
                    <w:rPr>
                      <w:color w:val="auto"/>
                      <w:kern w:val="0"/>
                      <w:sz w:val="20"/>
                      <w:szCs w:val="20"/>
                      <w:highlight w:val="none"/>
                      <w:lang w:bidi="ar"/>
                    </w:rPr>
                    <w:t>1</w:t>
                  </w:r>
                </w:p>
              </w:tc>
              <w:tc>
                <w:tcPr>
                  <w:tcW w:w="763" w:type="dxa"/>
                  <w:vMerge w:val="restart"/>
                  <w:vAlign w:val="center"/>
                </w:tcPr>
                <w:p w14:paraId="57403641">
                  <w:pPr>
                    <w:widowControl/>
                    <w:jc w:val="center"/>
                    <w:textAlignment w:val="center"/>
                    <w:rPr>
                      <w:color w:val="auto"/>
                      <w:sz w:val="20"/>
                      <w:szCs w:val="20"/>
                      <w:highlight w:val="none"/>
                    </w:rPr>
                  </w:pPr>
                  <w:r>
                    <w:rPr>
                      <w:color w:val="auto"/>
                      <w:kern w:val="0"/>
                      <w:sz w:val="20"/>
                      <w:szCs w:val="20"/>
                      <w:highlight w:val="none"/>
                      <w:lang w:bidi="ar"/>
                    </w:rPr>
                    <w:t>无组织面源</w:t>
                  </w:r>
                </w:p>
              </w:tc>
              <w:tc>
                <w:tcPr>
                  <w:tcW w:w="1512" w:type="dxa"/>
                  <w:vAlign w:val="center"/>
                </w:tcPr>
                <w:p w14:paraId="66D6BDA0">
                  <w:pPr>
                    <w:widowControl/>
                    <w:jc w:val="center"/>
                    <w:textAlignment w:val="center"/>
                    <w:rPr>
                      <w:color w:val="auto"/>
                      <w:kern w:val="0"/>
                      <w:sz w:val="20"/>
                      <w:szCs w:val="20"/>
                      <w:highlight w:val="none"/>
                      <w:lang w:bidi="ar"/>
                    </w:rPr>
                  </w:pPr>
                  <w:r>
                    <w:rPr>
                      <w:color w:val="auto"/>
                      <w:kern w:val="0"/>
                      <w:sz w:val="20"/>
                      <w:szCs w:val="20"/>
                      <w:highlight w:val="none"/>
                      <w:lang w:bidi="ar"/>
                    </w:rPr>
                    <w:t>X:641462.48</w:t>
                  </w:r>
                </w:p>
                <w:p w14:paraId="2FBA8A1E">
                  <w:pPr>
                    <w:widowControl/>
                    <w:jc w:val="center"/>
                    <w:textAlignment w:val="center"/>
                    <w:rPr>
                      <w:color w:val="auto"/>
                      <w:sz w:val="20"/>
                      <w:szCs w:val="20"/>
                      <w:highlight w:val="none"/>
                    </w:rPr>
                  </w:pPr>
                  <w:r>
                    <w:rPr>
                      <w:color w:val="auto"/>
                      <w:kern w:val="0"/>
                      <w:sz w:val="20"/>
                      <w:szCs w:val="20"/>
                      <w:highlight w:val="none"/>
                      <w:lang w:bidi="ar"/>
                    </w:rPr>
                    <w:t>Y:3307664.21</w:t>
                  </w:r>
                </w:p>
              </w:tc>
              <w:tc>
                <w:tcPr>
                  <w:tcW w:w="852" w:type="dxa"/>
                  <w:vMerge w:val="restart"/>
                  <w:vAlign w:val="center"/>
                </w:tcPr>
                <w:p w14:paraId="585FC01F">
                  <w:pPr>
                    <w:widowControl/>
                    <w:jc w:val="center"/>
                    <w:textAlignment w:val="center"/>
                    <w:rPr>
                      <w:color w:val="auto"/>
                      <w:sz w:val="20"/>
                      <w:szCs w:val="20"/>
                      <w:highlight w:val="none"/>
                    </w:rPr>
                  </w:pPr>
                  <w:r>
                    <w:rPr>
                      <w:rFonts w:hint="eastAsia"/>
                      <w:color w:val="auto"/>
                      <w:kern w:val="0"/>
                      <w:sz w:val="20"/>
                      <w:szCs w:val="20"/>
                      <w:highlight w:val="none"/>
                      <w:lang w:bidi="ar"/>
                    </w:rPr>
                    <w:t>240.2</w:t>
                  </w:r>
                </w:p>
              </w:tc>
              <w:tc>
                <w:tcPr>
                  <w:tcW w:w="818" w:type="dxa"/>
                  <w:vMerge w:val="restart"/>
                  <w:vAlign w:val="center"/>
                </w:tcPr>
                <w:p w14:paraId="724953DF">
                  <w:pPr>
                    <w:widowControl/>
                    <w:jc w:val="center"/>
                    <w:textAlignment w:val="center"/>
                    <w:rPr>
                      <w:color w:val="auto"/>
                      <w:sz w:val="20"/>
                      <w:szCs w:val="20"/>
                      <w:highlight w:val="none"/>
                    </w:rPr>
                  </w:pPr>
                  <w:r>
                    <w:rPr>
                      <w:color w:val="auto"/>
                      <w:kern w:val="0"/>
                      <w:sz w:val="20"/>
                      <w:szCs w:val="20"/>
                      <w:highlight w:val="none"/>
                      <w:lang w:bidi="ar"/>
                    </w:rPr>
                    <w:t>1.5</w:t>
                  </w:r>
                </w:p>
              </w:tc>
              <w:tc>
                <w:tcPr>
                  <w:tcW w:w="667" w:type="dxa"/>
                  <w:vMerge w:val="restart"/>
                  <w:vAlign w:val="center"/>
                </w:tcPr>
                <w:p w14:paraId="7C6FCC84">
                  <w:pPr>
                    <w:widowControl/>
                    <w:jc w:val="center"/>
                    <w:textAlignment w:val="center"/>
                    <w:rPr>
                      <w:color w:val="auto"/>
                      <w:sz w:val="20"/>
                      <w:szCs w:val="20"/>
                      <w:highlight w:val="none"/>
                    </w:rPr>
                  </w:pPr>
                  <w:r>
                    <w:rPr>
                      <w:color w:val="auto"/>
                      <w:kern w:val="0"/>
                      <w:sz w:val="20"/>
                      <w:szCs w:val="20"/>
                      <w:highlight w:val="none"/>
                      <w:lang w:bidi="ar"/>
                    </w:rPr>
                    <w:t>正常排放</w:t>
                  </w:r>
                </w:p>
              </w:tc>
              <w:tc>
                <w:tcPr>
                  <w:tcW w:w="698" w:type="dxa"/>
                  <w:vMerge w:val="restart"/>
                  <w:noWrap/>
                  <w:vAlign w:val="center"/>
                </w:tcPr>
                <w:p w14:paraId="4BFC0A2A">
                  <w:pPr>
                    <w:widowControl/>
                    <w:jc w:val="center"/>
                    <w:textAlignment w:val="center"/>
                    <w:rPr>
                      <w:rFonts w:hint="default" w:eastAsia="宋体"/>
                      <w:color w:val="auto"/>
                      <w:kern w:val="0"/>
                      <w:sz w:val="20"/>
                      <w:szCs w:val="20"/>
                      <w:highlight w:val="none"/>
                      <w:lang w:val="en-US" w:eastAsia="zh-CN" w:bidi="ar"/>
                    </w:rPr>
                  </w:pPr>
                  <w:r>
                    <w:rPr>
                      <w:rFonts w:hint="eastAsia"/>
                      <w:color w:val="auto"/>
                      <w:kern w:val="0"/>
                      <w:sz w:val="20"/>
                      <w:szCs w:val="20"/>
                      <w:highlight w:val="none"/>
                      <w:lang w:val="en-US" w:eastAsia="zh-CN" w:bidi="ar"/>
                    </w:rPr>
                    <w:t>0.22</w:t>
                  </w:r>
                </w:p>
              </w:tc>
              <w:tc>
                <w:tcPr>
                  <w:tcW w:w="847" w:type="dxa"/>
                  <w:vMerge w:val="restart"/>
                  <w:noWrap/>
                  <w:vAlign w:val="center"/>
                </w:tcPr>
                <w:p w14:paraId="4E946945">
                  <w:pPr>
                    <w:widowControl/>
                    <w:jc w:val="center"/>
                    <w:textAlignment w:val="center"/>
                    <w:rPr>
                      <w:rFonts w:hint="default" w:eastAsia="宋体"/>
                      <w:color w:val="auto"/>
                      <w:kern w:val="0"/>
                      <w:sz w:val="20"/>
                      <w:szCs w:val="20"/>
                      <w:highlight w:val="none"/>
                      <w:lang w:val="en-US" w:eastAsia="zh-CN" w:bidi="ar"/>
                    </w:rPr>
                  </w:pPr>
                  <w:r>
                    <w:rPr>
                      <w:rFonts w:hint="eastAsia"/>
                      <w:color w:val="auto"/>
                      <w:kern w:val="0"/>
                      <w:sz w:val="20"/>
                      <w:szCs w:val="20"/>
                      <w:highlight w:val="none"/>
                      <w:lang w:val="en-US" w:eastAsia="zh-CN" w:bidi="ar"/>
                    </w:rPr>
                    <w:t>0.0012</w:t>
                  </w:r>
                </w:p>
              </w:tc>
              <w:tc>
                <w:tcPr>
                  <w:tcW w:w="1415" w:type="dxa"/>
                  <w:vMerge w:val="restart"/>
                  <w:vAlign w:val="center"/>
                </w:tcPr>
                <w:p w14:paraId="03D1F17B">
                  <w:pPr>
                    <w:widowControl/>
                    <w:jc w:val="center"/>
                    <w:textAlignment w:val="center"/>
                    <w:rPr>
                      <w:color w:val="auto"/>
                      <w:sz w:val="20"/>
                      <w:szCs w:val="20"/>
                      <w:highlight w:val="none"/>
                    </w:rPr>
                  </w:pPr>
                  <w:r>
                    <w:rPr>
                      <w:snapToGrid w:val="0"/>
                      <w:color w:val="auto"/>
                      <w:szCs w:val="22"/>
                      <w:highlight w:val="none"/>
                    </w:rPr>
                    <w:t>《大气污染物综合排放标准》（DB50/418-2016）中影响区排放限值</w:t>
                  </w:r>
                </w:p>
              </w:tc>
            </w:tr>
            <w:tr w14:paraId="1B4A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Merge w:val="continue"/>
                  <w:vAlign w:val="center"/>
                </w:tcPr>
                <w:p w14:paraId="1A9C470D">
                  <w:pPr>
                    <w:jc w:val="center"/>
                    <w:rPr>
                      <w:color w:val="auto"/>
                      <w:sz w:val="20"/>
                      <w:szCs w:val="20"/>
                      <w:highlight w:val="none"/>
                    </w:rPr>
                  </w:pPr>
                </w:p>
              </w:tc>
              <w:tc>
                <w:tcPr>
                  <w:tcW w:w="763" w:type="dxa"/>
                  <w:vMerge w:val="continue"/>
                  <w:vAlign w:val="center"/>
                </w:tcPr>
                <w:p w14:paraId="4A33FB85">
                  <w:pPr>
                    <w:jc w:val="center"/>
                    <w:rPr>
                      <w:color w:val="auto"/>
                      <w:sz w:val="20"/>
                      <w:szCs w:val="20"/>
                      <w:highlight w:val="none"/>
                    </w:rPr>
                  </w:pPr>
                </w:p>
              </w:tc>
              <w:tc>
                <w:tcPr>
                  <w:tcW w:w="1512" w:type="dxa"/>
                  <w:vAlign w:val="center"/>
                </w:tcPr>
                <w:p w14:paraId="4E23B886">
                  <w:pPr>
                    <w:widowControl/>
                    <w:jc w:val="center"/>
                    <w:textAlignment w:val="center"/>
                    <w:rPr>
                      <w:color w:val="auto"/>
                      <w:kern w:val="0"/>
                      <w:sz w:val="20"/>
                      <w:szCs w:val="20"/>
                      <w:highlight w:val="none"/>
                      <w:lang w:bidi="ar"/>
                    </w:rPr>
                  </w:pPr>
                  <w:r>
                    <w:rPr>
                      <w:color w:val="auto"/>
                      <w:kern w:val="0"/>
                      <w:sz w:val="20"/>
                      <w:szCs w:val="20"/>
                      <w:highlight w:val="none"/>
                      <w:lang w:bidi="ar"/>
                    </w:rPr>
                    <w:t>X:641610.4</w:t>
                  </w:r>
                  <w:r>
                    <w:rPr>
                      <w:rFonts w:hint="eastAsia"/>
                      <w:color w:val="auto"/>
                      <w:kern w:val="0"/>
                      <w:sz w:val="20"/>
                      <w:szCs w:val="20"/>
                      <w:highlight w:val="none"/>
                      <w:lang w:bidi="ar"/>
                    </w:rPr>
                    <w:t>6</w:t>
                  </w:r>
                </w:p>
                <w:p w14:paraId="4C0E9036">
                  <w:pPr>
                    <w:widowControl/>
                    <w:jc w:val="center"/>
                    <w:textAlignment w:val="center"/>
                    <w:rPr>
                      <w:color w:val="auto"/>
                      <w:sz w:val="20"/>
                      <w:szCs w:val="20"/>
                      <w:highlight w:val="none"/>
                    </w:rPr>
                  </w:pPr>
                  <w:r>
                    <w:rPr>
                      <w:color w:val="auto"/>
                      <w:kern w:val="0"/>
                      <w:sz w:val="20"/>
                      <w:szCs w:val="20"/>
                      <w:highlight w:val="none"/>
                      <w:lang w:bidi="ar"/>
                    </w:rPr>
                    <w:t>Y:3307680.3</w:t>
                  </w:r>
                  <w:r>
                    <w:rPr>
                      <w:rFonts w:hint="eastAsia"/>
                      <w:color w:val="auto"/>
                      <w:kern w:val="0"/>
                      <w:sz w:val="20"/>
                      <w:szCs w:val="20"/>
                      <w:highlight w:val="none"/>
                      <w:lang w:bidi="ar"/>
                    </w:rPr>
                    <w:t>7</w:t>
                  </w:r>
                </w:p>
              </w:tc>
              <w:tc>
                <w:tcPr>
                  <w:tcW w:w="852" w:type="dxa"/>
                  <w:vMerge w:val="continue"/>
                  <w:vAlign w:val="center"/>
                </w:tcPr>
                <w:p w14:paraId="2BE53D2A">
                  <w:pPr>
                    <w:jc w:val="center"/>
                    <w:rPr>
                      <w:color w:val="auto"/>
                      <w:sz w:val="20"/>
                      <w:szCs w:val="20"/>
                      <w:highlight w:val="none"/>
                    </w:rPr>
                  </w:pPr>
                </w:p>
              </w:tc>
              <w:tc>
                <w:tcPr>
                  <w:tcW w:w="818" w:type="dxa"/>
                  <w:vMerge w:val="continue"/>
                  <w:vAlign w:val="center"/>
                </w:tcPr>
                <w:p w14:paraId="323F8287">
                  <w:pPr>
                    <w:jc w:val="center"/>
                    <w:rPr>
                      <w:color w:val="auto"/>
                      <w:sz w:val="20"/>
                      <w:szCs w:val="20"/>
                      <w:highlight w:val="none"/>
                    </w:rPr>
                  </w:pPr>
                </w:p>
              </w:tc>
              <w:tc>
                <w:tcPr>
                  <w:tcW w:w="667" w:type="dxa"/>
                  <w:vMerge w:val="continue"/>
                  <w:vAlign w:val="center"/>
                </w:tcPr>
                <w:p w14:paraId="2297C981">
                  <w:pPr>
                    <w:jc w:val="center"/>
                    <w:rPr>
                      <w:color w:val="auto"/>
                      <w:sz w:val="20"/>
                      <w:szCs w:val="20"/>
                      <w:highlight w:val="none"/>
                    </w:rPr>
                  </w:pPr>
                </w:p>
              </w:tc>
              <w:tc>
                <w:tcPr>
                  <w:tcW w:w="698" w:type="dxa"/>
                  <w:vMerge w:val="continue"/>
                  <w:noWrap/>
                  <w:vAlign w:val="center"/>
                </w:tcPr>
                <w:p w14:paraId="52F1BAF5">
                  <w:pPr>
                    <w:widowControl/>
                    <w:jc w:val="center"/>
                    <w:textAlignment w:val="center"/>
                    <w:rPr>
                      <w:color w:val="auto"/>
                      <w:kern w:val="0"/>
                      <w:sz w:val="20"/>
                      <w:szCs w:val="20"/>
                      <w:highlight w:val="none"/>
                      <w:lang w:bidi="ar"/>
                    </w:rPr>
                  </w:pPr>
                </w:p>
              </w:tc>
              <w:tc>
                <w:tcPr>
                  <w:tcW w:w="847" w:type="dxa"/>
                  <w:vMerge w:val="continue"/>
                  <w:noWrap/>
                  <w:vAlign w:val="center"/>
                </w:tcPr>
                <w:p w14:paraId="011AEDA1">
                  <w:pPr>
                    <w:widowControl/>
                    <w:jc w:val="center"/>
                    <w:textAlignment w:val="center"/>
                    <w:rPr>
                      <w:color w:val="auto"/>
                      <w:kern w:val="0"/>
                      <w:sz w:val="20"/>
                      <w:szCs w:val="20"/>
                      <w:highlight w:val="none"/>
                      <w:lang w:bidi="ar"/>
                    </w:rPr>
                  </w:pPr>
                </w:p>
              </w:tc>
              <w:tc>
                <w:tcPr>
                  <w:tcW w:w="1415" w:type="dxa"/>
                  <w:vMerge w:val="continue"/>
                  <w:vAlign w:val="center"/>
                </w:tcPr>
                <w:p w14:paraId="7D1CDC09">
                  <w:pPr>
                    <w:jc w:val="center"/>
                    <w:rPr>
                      <w:color w:val="auto"/>
                      <w:sz w:val="20"/>
                      <w:szCs w:val="20"/>
                      <w:highlight w:val="none"/>
                    </w:rPr>
                  </w:pPr>
                </w:p>
              </w:tc>
            </w:tr>
            <w:tr w14:paraId="24EA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Merge w:val="continue"/>
                  <w:vAlign w:val="center"/>
                </w:tcPr>
                <w:p w14:paraId="3922A62F">
                  <w:pPr>
                    <w:jc w:val="center"/>
                    <w:rPr>
                      <w:color w:val="auto"/>
                      <w:sz w:val="20"/>
                      <w:szCs w:val="20"/>
                      <w:highlight w:val="none"/>
                    </w:rPr>
                  </w:pPr>
                </w:p>
              </w:tc>
              <w:tc>
                <w:tcPr>
                  <w:tcW w:w="763" w:type="dxa"/>
                  <w:vMerge w:val="continue"/>
                  <w:vAlign w:val="center"/>
                </w:tcPr>
                <w:p w14:paraId="365FFFD6">
                  <w:pPr>
                    <w:jc w:val="center"/>
                    <w:rPr>
                      <w:color w:val="auto"/>
                      <w:sz w:val="20"/>
                      <w:szCs w:val="20"/>
                      <w:highlight w:val="none"/>
                    </w:rPr>
                  </w:pPr>
                </w:p>
              </w:tc>
              <w:tc>
                <w:tcPr>
                  <w:tcW w:w="1512" w:type="dxa"/>
                  <w:vAlign w:val="center"/>
                </w:tcPr>
                <w:p w14:paraId="7E7BC553">
                  <w:pPr>
                    <w:widowControl/>
                    <w:jc w:val="center"/>
                    <w:textAlignment w:val="center"/>
                    <w:rPr>
                      <w:color w:val="auto"/>
                      <w:kern w:val="0"/>
                      <w:sz w:val="20"/>
                      <w:szCs w:val="20"/>
                      <w:highlight w:val="none"/>
                      <w:lang w:bidi="ar"/>
                    </w:rPr>
                  </w:pPr>
                  <w:r>
                    <w:rPr>
                      <w:color w:val="auto"/>
                      <w:kern w:val="0"/>
                      <w:sz w:val="20"/>
                      <w:szCs w:val="20"/>
                      <w:highlight w:val="none"/>
                      <w:lang w:bidi="ar"/>
                    </w:rPr>
                    <w:t xml:space="preserve">X:641602.69 </w:t>
                  </w:r>
                </w:p>
                <w:p w14:paraId="39CAF17B">
                  <w:pPr>
                    <w:widowControl/>
                    <w:jc w:val="center"/>
                    <w:textAlignment w:val="center"/>
                    <w:rPr>
                      <w:color w:val="auto"/>
                      <w:sz w:val="20"/>
                      <w:szCs w:val="20"/>
                      <w:highlight w:val="none"/>
                    </w:rPr>
                  </w:pPr>
                  <w:r>
                    <w:rPr>
                      <w:color w:val="auto"/>
                      <w:kern w:val="0"/>
                      <w:sz w:val="20"/>
                      <w:szCs w:val="20"/>
                      <w:highlight w:val="none"/>
                      <w:lang w:bidi="ar"/>
                    </w:rPr>
                    <w:t>Y:3307557.78</w:t>
                  </w:r>
                </w:p>
              </w:tc>
              <w:tc>
                <w:tcPr>
                  <w:tcW w:w="852" w:type="dxa"/>
                  <w:vMerge w:val="continue"/>
                  <w:vAlign w:val="center"/>
                </w:tcPr>
                <w:p w14:paraId="18CAD65E">
                  <w:pPr>
                    <w:jc w:val="center"/>
                    <w:rPr>
                      <w:color w:val="auto"/>
                      <w:sz w:val="20"/>
                      <w:szCs w:val="20"/>
                      <w:highlight w:val="none"/>
                    </w:rPr>
                  </w:pPr>
                </w:p>
              </w:tc>
              <w:tc>
                <w:tcPr>
                  <w:tcW w:w="818" w:type="dxa"/>
                  <w:vMerge w:val="continue"/>
                  <w:vAlign w:val="center"/>
                </w:tcPr>
                <w:p w14:paraId="7898303E">
                  <w:pPr>
                    <w:jc w:val="center"/>
                    <w:rPr>
                      <w:color w:val="auto"/>
                      <w:sz w:val="20"/>
                      <w:szCs w:val="20"/>
                      <w:highlight w:val="none"/>
                    </w:rPr>
                  </w:pPr>
                </w:p>
              </w:tc>
              <w:tc>
                <w:tcPr>
                  <w:tcW w:w="667" w:type="dxa"/>
                  <w:vMerge w:val="continue"/>
                  <w:vAlign w:val="center"/>
                </w:tcPr>
                <w:p w14:paraId="1A04FDD0">
                  <w:pPr>
                    <w:jc w:val="center"/>
                    <w:rPr>
                      <w:color w:val="auto"/>
                      <w:sz w:val="20"/>
                      <w:szCs w:val="20"/>
                      <w:highlight w:val="none"/>
                    </w:rPr>
                  </w:pPr>
                </w:p>
              </w:tc>
              <w:tc>
                <w:tcPr>
                  <w:tcW w:w="698" w:type="dxa"/>
                  <w:vMerge w:val="continue"/>
                  <w:vAlign w:val="center"/>
                </w:tcPr>
                <w:p w14:paraId="7983AEB3">
                  <w:pPr>
                    <w:widowControl/>
                    <w:jc w:val="center"/>
                    <w:textAlignment w:val="center"/>
                    <w:rPr>
                      <w:color w:val="auto"/>
                      <w:kern w:val="0"/>
                      <w:sz w:val="20"/>
                      <w:szCs w:val="20"/>
                      <w:highlight w:val="none"/>
                      <w:lang w:bidi="ar"/>
                    </w:rPr>
                  </w:pPr>
                </w:p>
              </w:tc>
              <w:tc>
                <w:tcPr>
                  <w:tcW w:w="847" w:type="dxa"/>
                  <w:vMerge w:val="continue"/>
                  <w:vAlign w:val="center"/>
                </w:tcPr>
                <w:p w14:paraId="7535328B">
                  <w:pPr>
                    <w:widowControl/>
                    <w:jc w:val="center"/>
                    <w:textAlignment w:val="center"/>
                    <w:rPr>
                      <w:color w:val="auto"/>
                      <w:kern w:val="0"/>
                      <w:sz w:val="20"/>
                      <w:szCs w:val="20"/>
                      <w:highlight w:val="none"/>
                      <w:lang w:bidi="ar"/>
                    </w:rPr>
                  </w:pPr>
                </w:p>
              </w:tc>
              <w:tc>
                <w:tcPr>
                  <w:tcW w:w="1415" w:type="dxa"/>
                  <w:vMerge w:val="continue"/>
                  <w:vAlign w:val="center"/>
                </w:tcPr>
                <w:p w14:paraId="52FE692F">
                  <w:pPr>
                    <w:jc w:val="center"/>
                    <w:rPr>
                      <w:color w:val="auto"/>
                      <w:sz w:val="20"/>
                      <w:szCs w:val="20"/>
                      <w:highlight w:val="none"/>
                    </w:rPr>
                  </w:pPr>
                </w:p>
              </w:tc>
            </w:tr>
            <w:tr w14:paraId="2841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423" w:type="dxa"/>
                  <w:vMerge w:val="continue"/>
                  <w:vAlign w:val="center"/>
                </w:tcPr>
                <w:p w14:paraId="6823AF03">
                  <w:pPr>
                    <w:jc w:val="center"/>
                    <w:rPr>
                      <w:color w:val="auto"/>
                      <w:sz w:val="20"/>
                      <w:szCs w:val="20"/>
                      <w:highlight w:val="none"/>
                    </w:rPr>
                  </w:pPr>
                </w:p>
              </w:tc>
              <w:tc>
                <w:tcPr>
                  <w:tcW w:w="763" w:type="dxa"/>
                  <w:vMerge w:val="continue"/>
                  <w:vAlign w:val="center"/>
                </w:tcPr>
                <w:p w14:paraId="3DF651CF">
                  <w:pPr>
                    <w:jc w:val="center"/>
                    <w:rPr>
                      <w:color w:val="auto"/>
                      <w:sz w:val="20"/>
                      <w:szCs w:val="20"/>
                      <w:highlight w:val="none"/>
                    </w:rPr>
                  </w:pPr>
                </w:p>
              </w:tc>
              <w:tc>
                <w:tcPr>
                  <w:tcW w:w="1512" w:type="dxa"/>
                  <w:vAlign w:val="center"/>
                </w:tcPr>
                <w:p w14:paraId="01DCD70B">
                  <w:pPr>
                    <w:widowControl/>
                    <w:jc w:val="center"/>
                    <w:textAlignment w:val="center"/>
                    <w:rPr>
                      <w:color w:val="auto"/>
                      <w:kern w:val="0"/>
                      <w:sz w:val="20"/>
                      <w:szCs w:val="20"/>
                      <w:highlight w:val="none"/>
                      <w:lang w:bidi="ar"/>
                    </w:rPr>
                  </w:pPr>
                  <w:r>
                    <w:rPr>
                      <w:color w:val="auto"/>
                      <w:kern w:val="0"/>
                      <w:sz w:val="20"/>
                      <w:szCs w:val="20"/>
                      <w:highlight w:val="none"/>
                      <w:lang w:bidi="ar"/>
                    </w:rPr>
                    <w:t>X:641461.8</w:t>
                  </w:r>
                  <w:r>
                    <w:rPr>
                      <w:rFonts w:hint="eastAsia"/>
                      <w:color w:val="auto"/>
                      <w:kern w:val="0"/>
                      <w:sz w:val="20"/>
                      <w:szCs w:val="20"/>
                      <w:highlight w:val="none"/>
                      <w:lang w:bidi="ar"/>
                    </w:rPr>
                    <w:t>5</w:t>
                  </w:r>
                  <w:r>
                    <w:rPr>
                      <w:color w:val="auto"/>
                      <w:kern w:val="0"/>
                      <w:sz w:val="20"/>
                      <w:szCs w:val="20"/>
                      <w:highlight w:val="none"/>
                      <w:lang w:bidi="ar"/>
                    </w:rPr>
                    <w:t xml:space="preserve"> </w:t>
                  </w:r>
                </w:p>
                <w:p w14:paraId="52D4C5CC">
                  <w:pPr>
                    <w:widowControl/>
                    <w:jc w:val="center"/>
                    <w:textAlignment w:val="center"/>
                    <w:rPr>
                      <w:color w:val="auto"/>
                      <w:sz w:val="20"/>
                      <w:szCs w:val="20"/>
                      <w:highlight w:val="none"/>
                    </w:rPr>
                  </w:pPr>
                  <w:r>
                    <w:rPr>
                      <w:color w:val="auto"/>
                      <w:kern w:val="0"/>
                      <w:sz w:val="20"/>
                      <w:szCs w:val="20"/>
                      <w:highlight w:val="none"/>
                      <w:lang w:bidi="ar"/>
                    </w:rPr>
                    <w:t>Y:3307551.2</w:t>
                  </w:r>
                  <w:r>
                    <w:rPr>
                      <w:rFonts w:hint="eastAsia"/>
                      <w:color w:val="auto"/>
                      <w:kern w:val="0"/>
                      <w:sz w:val="20"/>
                      <w:szCs w:val="20"/>
                      <w:highlight w:val="none"/>
                      <w:lang w:bidi="ar"/>
                    </w:rPr>
                    <w:t>3</w:t>
                  </w:r>
                </w:p>
              </w:tc>
              <w:tc>
                <w:tcPr>
                  <w:tcW w:w="852" w:type="dxa"/>
                  <w:vMerge w:val="continue"/>
                  <w:vAlign w:val="center"/>
                </w:tcPr>
                <w:p w14:paraId="59F2B929">
                  <w:pPr>
                    <w:jc w:val="center"/>
                    <w:rPr>
                      <w:color w:val="auto"/>
                      <w:sz w:val="20"/>
                      <w:szCs w:val="20"/>
                      <w:highlight w:val="none"/>
                    </w:rPr>
                  </w:pPr>
                </w:p>
              </w:tc>
              <w:tc>
                <w:tcPr>
                  <w:tcW w:w="818" w:type="dxa"/>
                  <w:vMerge w:val="continue"/>
                  <w:vAlign w:val="center"/>
                </w:tcPr>
                <w:p w14:paraId="02C4EB4C">
                  <w:pPr>
                    <w:jc w:val="center"/>
                    <w:rPr>
                      <w:color w:val="auto"/>
                      <w:sz w:val="20"/>
                      <w:szCs w:val="20"/>
                      <w:highlight w:val="none"/>
                    </w:rPr>
                  </w:pPr>
                </w:p>
              </w:tc>
              <w:tc>
                <w:tcPr>
                  <w:tcW w:w="667" w:type="dxa"/>
                  <w:vMerge w:val="continue"/>
                  <w:vAlign w:val="center"/>
                </w:tcPr>
                <w:p w14:paraId="20A32FC7">
                  <w:pPr>
                    <w:jc w:val="center"/>
                    <w:rPr>
                      <w:color w:val="auto"/>
                      <w:sz w:val="20"/>
                      <w:szCs w:val="20"/>
                      <w:highlight w:val="none"/>
                    </w:rPr>
                  </w:pPr>
                </w:p>
              </w:tc>
              <w:tc>
                <w:tcPr>
                  <w:tcW w:w="698" w:type="dxa"/>
                  <w:vMerge w:val="continue"/>
                  <w:noWrap/>
                  <w:vAlign w:val="center"/>
                </w:tcPr>
                <w:p w14:paraId="3ADA9B62">
                  <w:pPr>
                    <w:widowControl/>
                    <w:jc w:val="center"/>
                    <w:textAlignment w:val="center"/>
                    <w:rPr>
                      <w:color w:val="auto"/>
                      <w:kern w:val="0"/>
                      <w:sz w:val="20"/>
                      <w:szCs w:val="20"/>
                      <w:highlight w:val="none"/>
                      <w:lang w:bidi="ar"/>
                    </w:rPr>
                  </w:pPr>
                </w:p>
              </w:tc>
              <w:tc>
                <w:tcPr>
                  <w:tcW w:w="847" w:type="dxa"/>
                  <w:vMerge w:val="continue"/>
                  <w:noWrap/>
                  <w:vAlign w:val="center"/>
                </w:tcPr>
                <w:p w14:paraId="400F0D31">
                  <w:pPr>
                    <w:widowControl/>
                    <w:jc w:val="center"/>
                    <w:textAlignment w:val="center"/>
                    <w:rPr>
                      <w:color w:val="auto"/>
                      <w:kern w:val="0"/>
                      <w:sz w:val="20"/>
                      <w:szCs w:val="20"/>
                      <w:highlight w:val="none"/>
                      <w:lang w:bidi="ar"/>
                    </w:rPr>
                  </w:pPr>
                </w:p>
              </w:tc>
              <w:tc>
                <w:tcPr>
                  <w:tcW w:w="1415" w:type="dxa"/>
                  <w:vMerge w:val="continue"/>
                  <w:vAlign w:val="center"/>
                </w:tcPr>
                <w:p w14:paraId="789DE3BF">
                  <w:pPr>
                    <w:jc w:val="center"/>
                    <w:rPr>
                      <w:color w:val="auto"/>
                      <w:sz w:val="20"/>
                      <w:szCs w:val="20"/>
                      <w:highlight w:val="none"/>
                    </w:rPr>
                  </w:pPr>
                </w:p>
              </w:tc>
            </w:tr>
          </w:tbl>
          <w:p w14:paraId="1AD4603A">
            <w:pPr>
              <w:adjustRightInd w:val="0"/>
              <w:snapToGrid w:val="0"/>
              <w:rPr>
                <w:b/>
                <w:color w:val="auto"/>
                <w:kern w:val="0"/>
                <w:sz w:val="26"/>
                <w:szCs w:val="26"/>
                <w:highlight w:val="none"/>
              </w:rPr>
            </w:pPr>
            <w:r>
              <w:rPr>
                <w:color w:val="auto"/>
                <w:sz w:val="22"/>
                <w:szCs w:val="22"/>
                <w:highlight w:val="none"/>
              </w:rPr>
              <w:t>注：本评价以本项目</w:t>
            </w:r>
            <w:r>
              <w:rPr>
                <w:rFonts w:hint="eastAsia"/>
                <w:color w:val="auto"/>
                <w:sz w:val="22"/>
                <w:szCs w:val="22"/>
                <w:highlight w:val="none"/>
              </w:rPr>
              <w:t>生产厂房</w:t>
            </w:r>
            <w:r>
              <w:rPr>
                <w:color w:val="auto"/>
                <w:sz w:val="22"/>
                <w:szCs w:val="22"/>
                <w:highlight w:val="none"/>
              </w:rPr>
              <w:t>作为一个面源。</w:t>
            </w:r>
          </w:p>
          <w:p w14:paraId="47F1A286">
            <w:pPr>
              <w:adjustRightInd w:val="0"/>
              <w:snapToGrid w:val="0"/>
              <w:jc w:val="center"/>
              <w:rPr>
                <w:b/>
                <w:color w:val="auto"/>
                <w:kern w:val="0"/>
                <w:sz w:val="26"/>
                <w:szCs w:val="26"/>
                <w:highlight w:val="none"/>
              </w:rPr>
            </w:pPr>
          </w:p>
          <w:p w14:paraId="63E2DF8F">
            <w:pPr>
              <w:adjustRightInd w:val="0"/>
              <w:snapToGrid w:val="0"/>
              <w:jc w:val="center"/>
              <w:rPr>
                <w:color w:val="auto"/>
                <w:kern w:val="0"/>
                <w:sz w:val="26"/>
                <w:szCs w:val="26"/>
                <w:highlight w:val="none"/>
              </w:rPr>
            </w:pPr>
            <w:r>
              <w:rPr>
                <w:color w:val="auto"/>
                <w:kern w:val="0"/>
                <w:sz w:val="24"/>
                <w:szCs w:val="26"/>
                <w:highlight w:val="none"/>
              </w:rPr>
              <w:t>表4.2-4  本项目大气污染物有组织排放量核算表</w:t>
            </w:r>
          </w:p>
          <w:tbl>
            <w:tblPr>
              <w:tblStyle w:val="16"/>
              <w:tblW w:w="49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856"/>
              <w:gridCol w:w="750"/>
              <w:gridCol w:w="1282"/>
              <w:gridCol w:w="1635"/>
              <w:gridCol w:w="1606"/>
              <w:gridCol w:w="1244"/>
            </w:tblGrid>
            <w:tr w14:paraId="4FE2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5" w:type="dxa"/>
                  <w:vAlign w:val="center"/>
                </w:tcPr>
                <w:p w14:paraId="1D5D3C97">
                  <w:pPr>
                    <w:widowControl/>
                    <w:jc w:val="center"/>
                    <w:textAlignment w:val="center"/>
                    <w:rPr>
                      <w:color w:val="auto"/>
                      <w:kern w:val="0"/>
                      <w:szCs w:val="21"/>
                      <w:highlight w:val="none"/>
                      <w:lang w:bidi="ar"/>
                    </w:rPr>
                  </w:pPr>
                  <w:r>
                    <w:rPr>
                      <w:color w:val="auto"/>
                      <w:kern w:val="0"/>
                      <w:szCs w:val="21"/>
                      <w:highlight w:val="none"/>
                      <w:lang w:bidi="ar"/>
                    </w:rPr>
                    <w:t>序号</w:t>
                  </w:r>
                </w:p>
              </w:tc>
              <w:tc>
                <w:tcPr>
                  <w:tcW w:w="856" w:type="dxa"/>
                  <w:vAlign w:val="center"/>
                </w:tcPr>
                <w:p w14:paraId="195E5322">
                  <w:pPr>
                    <w:widowControl/>
                    <w:jc w:val="center"/>
                    <w:textAlignment w:val="center"/>
                    <w:rPr>
                      <w:color w:val="auto"/>
                      <w:kern w:val="0"/>
                      <w:szCs w:val="21"/>
                      <w:highlight w:val="none"/>
                      <w:lang w:bidi="ar"/>
                    </w:rPr>
                  </w:pPr>
                  <w:r>
                    <w:rPr>
                      <w:color w:val="auto"/>
                      <w:kern w:val="0"/>
                      <w:szCs w:val="21"/>
                      <w:highlight w:val="none"/>
                      <w:lang w:bidi="ar"/>
                    </w:rPr>
                    <w:t>排放口编号</w:t>
                  </w:r>
                </w:p>
              </w:tc>
              <w:tc>
                <w:tcPr>
                  <w:tcW w:w="750" w:type="dxa"/>
                  <w:vAlign w:val="center"/>
                </w:tcPr>
                <w:p w14:paraId="70D59286">
                  <w:pPr>
                    <w:widowControl/>
                    <w:jc w:val="center"/>
                    <w:textAlignment w:val="center"/>
                    <w:rPr>
                      <w:color w:val="auto"/>
                      <w:kern w:val="0"/>
                      <w:szCs w:val="21"/>
                      <w:highlight w:val="none"/>
                      <w:lang w:bidi="ar"/>
                    </w:rPr>
                  </w:pPr>
                  <w:r>
                    <w:rPr>
                      <w:color w:val="auto"/>
                      <w:kern w:val="0"/>
                      <w:szCs w:val="21"/>
                      <w:highlight w:val="none"/>
                      <w:lang w:bidi="ar"/>
                    </w:rPr>
                    <w:t>生产环节</w:t>
                  </w:r>
                </w:p>
              </w:tc>
              <w:tc>
                <w:tcPr>
                  <w:tcW w:w="1282" w:type="dxa"/>
                  <w:vAlign w:val="center"/>
                </w:tcPr>
                <w:p w14:paraId="0223B805">
                  <w:pPr>
                    <w:widowControl/>
                    <w:jc w:val="center"/>
                    <w:textAlignment w:val="center"/>
                    <w:rPr>
                      <w:color w:val="auto"/>
                      <w:kern w:val="0"/>
                      <w:szCs w:val="21"/>
                      <w:highlight w:val="none"/>
                      <w:lang w:bidi="ar"/>
                    </w:rPr>
                  </w:pPr>
                  <w:r>
                    <w:rPr>
                      <w:color w:val="auto"/>
                      <w:kern w:val="0"/>
                      <w:szCs w:val="21"/>
                      <w:highlight w:val="none"/>
                      <w:lang w:bidi="ar"/>
                    </w:rPr>
                    <w:t>污染物</w:t>
                  </w:r>
                </w:p>
              </w:tc>
              <w:tc>
                <w:tcPr>
                  <w:tcW w:w="1635" w:type="dxa"/>
                  <w:vAlign w:val="center"/>
                </w:tcPr>
                <w:p w14:paraId="7A68D33A">
                  <w:pPr>
                    <w:widowControl/>
                    <w:jc w:val="center"/>
                    <w:textAlignment w:val="center"/>
                    <w:rPr>
                      <w:color w:val="auto"/>
                      <w:kern w:val="0"/>
                      <w:szCs w:val="21"/>
                      <w:highlight w:val="none"/>
                      <w:lang w:bidi="ar"/>
                    </w:rPr>
                  </w:pPr>
                  <w:r>
                    <w:rPr>
                      <w:color w:val="auto"/>
                      <w:kern w:val="0"/>
                      <w:szCs w:val="21"/>
                      <w:highlight w:val="none"/>
                      <w:lang w:bidi="ar"/>
                    </w:rPr>
                    <w:t>核算最大排放浓度/（mg/m³）</w:t>
                  </w:r>
                </w:p>
              </w:tc>
              <w:tc>
                <w:tcPr>
                  <w:tcW w:w="1606" w:type="dxa"/>
                  <w:vAlign w:val="center"/>
                </w:tcPr>
                <w:p w14:paraId="13BE00D1">
                  <w:pPr>
                    <w:widowControl/>
                    <w:jc w:val="center"/>
                    <w:textAlignment w:val="center"/>
                    <w:rPr>
                      <w:color w:val="auto"/>
                      <w:kern w:val="0"/>
                      <w:szCs w:val="21"/>
                      <w:highlight w:val="none"/>
                      <w:lang w:bidi="ar"/>
                    </w:rPr>
                  </w:pPr>
                  <w:r>
                    <w:rPr>
                      <w:color w:val="auto"/>
                      <w:kern w:val="0"/>
                      <w:szCs w:val="21"/>
                      <w:highlight w:val="none"/>
                      <w:lang w:bidi="ar"/>
                    </w:rPr>
                    <w:t>核算最大排放速率/（kg/h）</w:t>
                  </w:r>
                </w:p>
              </w:tc>
              <w:tc>
                <w:tcPr>
                  <w:tcW w:w="1244" w:type="dxa"/>
                  <w:vAlign w:val="center"/>
                </w:tcPr>
                <w:p w14:paraId="1687D8F5">
                  <w:pPr>
                    <w:widowControl/>
                    <w:jc w:val="center"/>
                    <w:textAlignment w:val="center"/>
                    <w:rPr>
                      <w:color w:val="auto"/>
                      <w:kern w:val="0"/>
                      <w:szCs w:val="21"/>
                      <w:highlight w:val="none"/>
                      <w:lang w:bidi="ar"/>
                    </w:rPr>
                  </w:pPr>
                  <w:r>
                    <w:rPr>
                      <w:color w:val="auto"/>
                      <w:kern w:val="0"/>
                      <w:szCs w:val="21"/>
                      <w:highlight w:val="none"/>
                      <w:lang w:bidi="ar"/>
                    </w:rPr>
                    <w:t>核算年排放量/（t/a）</w:t>
                  </w:r>
                </w:p>
              </w:tc>
            </w:tr>
            <w:tr w14:paraId="78E3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5" w:type="dxa"/>
                  <w:vAlign w:val="center"/>
                </w:tcPr>
                <w:p w14:paraId="452F1BA6">
                  <w:pPr>
                    <w:widowControl/>
                    <w:jc w:val="center"/>
                    <w:textAlignment w:val="center"/>
                    <w:rPr>
                      <w:color w:val="auto"/>
                      <w:kern w:val="0"/>
                      <w:szCs w:val="21"/>
                      <w:highlight w:val="none"/>
                      <w:lang w:bidi="ar"/>
                    </w:rPr>
                  </w:pPr>
                  <w:r>
                    <w:rPr>
                      <w:color w:val="auto"/>
                      <w:kern w:val="0"/>
                      <w:szCs w:val="21"/>
                      <w:highlight w:val="none"/>
                      <w:lang w:bidi="ar"/>
                    </w:rPr>
                    <w:t>1</w:t>
                  </w:r>
                </w:p>
              </w:tc>
              <w:tc>
                <w:tcPr>
                  <w:tcW w:w="856" w:type="dxa"/>
                  <w:vAlign w:val="center"/>
                </w:tcPr>
                <w:p w14:paraId="39B07F97">
                  <w:pPr>
                    <w:widowControl/>
                    <w:jc w:val="center"/>
                    <w:textAlignment w:val="center"/>
                    <w:rPr>
                      <w:color w:val="auto"/>
                      <w:kern w:val="0"/>
                      <w:szCs w:val="21"/>
                      <w:highlight w:val="none"/>
                      <w:lang w:bidi="ar"/>
                    </w:rPr>
                  </w:pPr>
                  <w:r>
                    <w:rPr>
                      <w:color w:val="auto"/>
                      <w:kern w:val="0"/>
                      <w:szCs w:val="21"/>
                      <w:highlight w:val="none"/>
                      <w:lang w:bidi="ar"/>
                    </w:rPr>
                    <w:t>DA001</w:t>
                  </w:r>
                </w:p>
              </w:tc>
              <w:tc>
                <w:tcPr>
                  <w:tcW w:w="750" w:type="dxa"/>
                  <w:vAlign w:val="center"/>
                </w:tcPr>
                <w:p w14:paraId="52478035">
                  <w:pPr>
                    <w:widowControl/>
                    <w:jc w:val="center"/>
                    <w:textAlignment w:val="center"/>
                    <w:rPr>
                      <w:color w:val="auto"/>
                      <w:kern w:val="0"/>
                      <w:szCs w:val="21"/>
                      <w:highlight w:val="none"/>
                      <w:lang w:bidi="ar"/>
                    </w:rPr>
                  </w:pPr>
                  <w:r>
                    <w:rPr>
                      <w:rFonts w:hint="eastAsia"/>
                      <w:color w:val="auto"/>
                      <w:kern w:val="0"/>
                      <w:szCs w:val="21"/>
                      <w:highlight w:val="none"/>
                      <w:lang w:bidi="ar"/>
                    </w:rPr>
                    <w:t>焊接</w:t>
                  </w:r>
                </w:p>
              </w:tc>
              <w:tc>
                <w:tcPr>
                  <w:tcW w:w="1282" w:type="dxa"/>
                  <w:vAlign w:val="center"/>
                </w:tcPr>
                <w:p w14:paraId="68B72CE0">
                  <w:pPr>
                    <w:widowControl/>
                    <w:jc w:val="center"/>
                    <w:textAlignment w:val="center"/>
                    <w:rPr>
                      <w:color w:val="auto"/>
                      <w:kern w:val="0"/>
                      <w:szCs w:val="21"/>
                      <w:highlight w:val="none"/>
                      <w:lang w:bidi="ar"/>
                    </w:rPr>
                  </w:pPr>
                  <w:r>
                    <w:rPr>
                      <w:color w:val="auto"/>
                      <w:kern w:val="0"/>
                      <w:szCs w:val="21"/>
                      <w:highlight w:val="none"/>
                      <w:lang w:bidi="ar"/>
                    </w:rPr>
                    <w:t>颗粒物</w:t>
                  </w:r>
                </w:p>
              </w:tc>
              <w:tc>
                <w:tcPr>
                  <w:tcW w:w="1635" w:type="dxa"/>
                  <w:vAlign w:val="center"/>
                </w:tcPr>
                <w:p w14:paraId="23B92E14">
                  <w:pPr>
                    <w:widowControl/>
                    <w:jc w:val="center"/>
                    <w:textAlignment w:val="center"/>
                    <w:rPr>
                      <w:color w:val="auto"/>
                      <w:kern w:val="0"/>
                      <w:szCs w:val="21"/>
                      <w:highlight w:val="none"/>
                      <w:lang w:bidi="ar"/>
                    </w:rPr>
                  </w:pPr>
                  <w:r>
                    <w:rPr>
                      <w:rFonts w:hint="eastAsia"/>
                      <w:color w:val="auto"/>
                      <w:kern w:val="0"/>
                      <w:szCs w:val="21"/>
                      <w:highlight w:val="none"/>
                      <w:lang w:bidi="ar"/>
                    </w:rPr>
                    <w:t>0.169</w:t>
                  </w:r>
                </w:p>
              </w:tc>
              <w:tc>
                <w:tcPr>
                  <w:tcW w:w="1606" w:type="dxa"/>
                  <w:vAlign w:val="center"/>
                </w:tcPr>
                <w:p w14:paraId="462C8C3B">
                  <w:pPr>
                    <w:widowControl/>
                    <w:jc w:val="center"/>
                    <w:textAlignment w:val="center"/>
                    <w:rPr>
                      <w:color w:val="auto"/>
                      <w:kern w:val="0"/>
                      <w:szCs w:val="21"/>
                      <w:highlight w:val="none"/>
                      <w:lang w:bidi="ar"/>
                    </w:rPr>
                  </w:pPr>
                  <w:r>
                    <w:rPr>
                      <w:rFonts w:hint="eastAsia"/>
                      <w:color w:val="auto"/>
                      <w:kern w:val="0"/>
                      <w:sz w:val="22"/>
                      <w:szCs w:val="22"/>
                      <w:highlight w:val="none"/>
                      <w:lang w:bidi="ar"/>
                    </w:rPr>
                    <w:t>0.003</w:t>
                  </w:r>
                </w:p>
              </w:tc>
              <w:tc>
                <w:tcPr>
                  <w:tcW w:w="1244" w:type="dxa"/>
                  <w:vAlign w:val="center"/>
                </w:tcPr>
                <w:p w14:paraId="5DE5D219">
                  <w:pPr>
                    <w:widowControl/>
                    <w:jc w:val="center"/>
                    <w:textAlignment w:val="center"/>
                    <w:rPr>
                      <w:color w:val="auto"/>
                      <w:kern w:val="0"/>
                      <w:szCs w:val="21"/>
                      <w:highlight w:val="none"/>
                      <w:lang w:bidi="ar"/>
                    </w:rPr>
                  </w:pPr>
                  <w:r>
                    <w:rPr>
                      <w:rFonts w:hint="eastAsia"/>
                      <w:color w:val="auto"/>
                      <w:kern w:val="0"/>
                      <w:sz w:val="22"/>
                      <w:szCs w:val="22"/>
                      <w:highlight w:val="none"/>
                      <w:lang w:bidi="ar"/>
                    </w:rPr>
                    <w:t>0.01</w:t>
                  </w:r>
                  <w:r>
                    <w:rPr>
                      <w:color w:val="auto"/>
                      <w:kern w:val="0"/>
                      <w:sz w:val="22"/>
                      <w:szCs w:val="22"/>
                      <w:highlight w:val="none"/>
                      <w:lang w:bidi="ar"/>
                    </w:rPr>
                    <w:t xml:space="preserve"> </w:t>
                  </w:r>
                </w:p>
              </w:tc>
            </w:tr>
            <w:tr w14:paraId="7AA4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dxa"/>
                  <w:gridSpan w:val="2"/>
                  <w:vAlign w:val="center"/>
                </w:tcPr>
                <w:p w14:paraId="4AC77007">
                  <w:pPr>
                    <w:widowControl/>
                    <w:jc w:val="center"/>
                    <w:textAlignment w:val="center"/>
                    <w:rPr>
                      <w:color w:val="auto"/>
                      <w:kern w:val="0"/>
                      <w:szCs w:val="21"/>
                      <w:highlight w:val="none"/>
                      <w:lang w:bidi="ar"/>
                    </w:rPr>
                  </w:pPr>
                  <w:r>
                    <w:rPr>
                      <w:color w:val="auto"/>
                      <w:kern w:val="0"/>
                      <w:szCs w:val="21"/>
                      <w:highlight w:val="none"/>
                      <w:lang w:bidi="ar"/>
                    </w:rPr>
                    <w:t>主要排放口合计</w:t>
                  </w:r>
                </w:p>
              </w:tc>
              <w:tc>
                <w:tcPr>
                  <w:tcW w:w="5273" w:type="dxa"/>
                  <w:gridSpan w:val="4"/>
                  <w:vAlign w:val="center"/>
                </w:tcPr>
                <w:p w14:paraId="1BC244E0">
                  <w:pPr>
                    <w:widowControl/>
                    <w:jc w:val="center"/>
                    <w:textAlignment w:val="center"/>
                    <w:rPr>
                      <w:color w:val="auto"/>
                      <w:kern w:val="0"/>
                      <w:szCs w:val="21"/>
                      <w:highlight w:val="none"/>
                      <w:lang w:bidi="ar"/>
                    </w:rPr>
                  </w:pPr>
                  <w:r>
                    <w:rPr>
                      <w:color w:val="auto"/>
                      <w:kern w:val="0"/>
                      <w:szCs w:val="21"/>
                      <w:highlight w:val="none"/>
                      <w:lang w:bidi="ar"/>
                    </w:rPr>
                    <w:t>颗粒物</w:t>
                  </w:r>
                </w:p>
              </w:tc>
              <w:tc>
                <w:tcPr>
                  <w:tcW w:w="1244" w:type="dxa"/>
                  <w:vAlign w:val="center"/>
                </w:tcPr>
                <w:p w14:paraId="2BDA649C">
                  <w:pPr>
                    <w:widowControl/>
                    <w:jc w:val="center"/>
                    <w:textAlignment w:val="center"/>
                    <w:rPr>
                      <w:color w:val="auto"/>
                      <w:kern w:val="0"/>
                      <w:szCs w:val="21"/>
                      <w:highlight w:val="none"/>
                      <w:lang w:bidi="ar"/>
                    </w:rPr>
                  </w:pPr>
                  <w:r>
                    <w:rPr>
                      <w:rFonts w:hint="eastAsia"/>
                      <w:color w:val="auto"/>
                      <w:kern w:val="0"/>
                      <w:sz w:val="22"/>
                      <w:szCs w:val="22"/>
                      <w:highlight w:val="none"/>
                      <w:lang w:bidi="ar"/>
                    </w:rPr>
                    <w:t>0.01</w:t>
                  </w:r>
                </w:p>
              </w:tc>
            </w:tr>
          </w:tbl>
          <w:p w14:paraId="318D7CCB">
            <w:pPr>
              <w:adjustRightInd w:val="0"/>
              <w:snapToGrid w:val="0"/>
              <w:jc w:val="center"/>
              <w:rPr>
                <w:b/>
                <w:color w:val="auto"/>
                <w:kern w:val="0"/>
                <w:sz w:val="26"/>
                <w:szCs w:val="26"/>
                <w:highlight w:val="none"/>
              </w:rPr>
            </w:pPr>
          </w:p>
          <w:p w14:paraId="5B9C06D5">
            <w:pPr>
              <w:adjustRightInd w:val="0"/>
              <w:snapToGrid w:val="0"/>
              <w:ind w:firstLine="480" w:firstLineChars="200"/>
              <w:jc w:val="center"/>
              <w:rPr>
                <w:color w:val="auto"/>
                <w:sz w:val="24"/>
                <w:szCs w:val="26"/>
                <w:highlight w:val="none"/>
              </w:rPr>
            </w:pPr>
            <w:r>
              <w:rPr>
                <w:color w:val="auto"/>
                <w:sz w:val="24"/>
                <w:szCs w:val="26"/>
                <w:highlight w:val="none"/>
              </w:rPr>
              <w:t>表4.2-5  大气污染物无组织排放量核算表</w:t>
            </w:r>
          </w:p>
          <w:tbl>
            <w:tblPr>
              <w:tblStyle w:val="16"/>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
              <w:gridCol w:w="665"/>
              <w:gridCol w:w="683"/>
              <w:gridCol w:w="840"/>
              <w:gridCol w:w="2422"/>
              <w:gridCol w:w="983"/>
              <w:gridCol w:w="1087"/>
              <w:gridCol w:w="807"/>
            </w:tblGrid>
            <w:tr w14:paraId="1FA5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1" w:type="dxa"/>
                  <w:vMerge w:val="restart"/>
                  <w:vAlign w:val="center"/>
                </w:tcPr>
                <w:p w14:paraId="5289C021">
                  <w:pPr>
                    <w:widowControl/>
                    <w:jc w:val="center"/>
                    <w:textAlignment w:val="center"/>
                    <w:rPr>
                      <w:color w:val="auto"/>
                      <w:szCs w:val="21"/>
                      <w:highlight w:val="none"/>
                    </w:rPr>
                  </w:pPr>
                  <w:r>
                    <w:rPr>
                      <w:color w:val="auto"/>
                      <w:kern w:val="0"/>
                      <w:szCs w:val="21"/>
                      <w:highlight w:val="none"/>
                      <w:lang w:bidi="ar"/>
                    </w:rPr>
                    <w:t>序号</w:t>
                  </w:r>
                </w:p>
              </w:tc>
              <w:tc>
                <w:tcPr>
                  <w:tcW w:w="665" w:type="dxa"/>
                  <w:vMerge w:val="restart"/>
                  <w:vAlign w:val="center"/>
                </w:tcPr>
                <w:p w14:paraId="745E8B3E">
                  <w:pPr>
                    <w:widowControl/>
                    <w:jc w:val="center"/>
                    <w:textAlignment w:val="center"/>
                    <w:rPr>
                      <w:color w:val="auto"/>
                      <w:szCs w:val="21"/>
                      <w:highlight w:val="none"/>
                    </w:rPr>
                  </w:pPr>
                  <w:r>
                    <w:rPr>
                      <w:color w:val="auto"/>
                      <w:kern w:val="0"/>
                      <w:szCs w:val="21"/>
                      <w:highlight w:val="none"/>
                      <w:lang w:bidi="ar"/>
                    </w:rPr>
                    <w:t>排放口编号</w:t>
                  </w:r>
                </w:p>
              </w:tc>
              <w:tc>
                <w:tcPr>
                  <w:tcW w:w="683" w:type="dxa"/>
                  <w:vMerge w:val="restart"/>
                  <w:vAlign w:val="center"/>
                </w:tcPr>
                <w:p w14:paraId="2EAA0844">
                  <w:pPr>
                    <w:widowControl/>
                    <w:jc w:val="center"/>
                    <w:textAlignment w:val="center"/>
                    <w:rPr>
                      <w:color w:val="auto"/>
                      <w:szCs w:val="21"/>
                      <w:highlight w:val="none"/>
                    </w:rPr>
                  </w:pPr>
                  <w:r>
                    <w:rPr>
                      <w:color w:val="auto"/>
                      <w:kern w:val="0"/>
                      <w:szCs w:val="21"/>
                      <w:highlight w:val="none"/>
                      <w:lang w:bidi="ar"/>
                    </w:rPr>
                    <w:t>产污环节</w:t>
                  </w:r>
                </w:p>
              </w:tc>
              <w:tc>
                <w:tcPr>
                  <w:tcW w:w="840" w:type="dxa"/>
                  <w:vMerge w:val="restart"/>
                  <w:vAlign w:val="center"/>
                </w:tcPr>
                <w:p w14:paraId="6DB7B289">
                  <w:pPr>
                    <w:widowControl/>
                    <w:jc w:val="center"/>
                    <w:textAlignment w:val="center"/>
                    <w:rPr>
                      <w:color w:val="auto"/>
                      <w:szCs w:val="21"/>
                      <w:highlight w:val="none"/>
                    </w:rPr>
                  </w:pPr>
                  <w:r>
                    <w:rPr>
                      <w:color w:val="auto"/>
                      <w:kern w:val="0"/>
                      <w:szCs w:val="21"/>
                      <w:highlight w:val="none"/>
                      <w:lang w:bidi="ar"/>
                    </w:rPr>
                    <w:t>污染物</w:t>
                  </w:r>
                </w:p>
              </w:tc>
              <w:tc>
                <w:tcPr>
                  <w:tcW w:w="2422" w:type="dxa"/>
                  <w:vMerge w:val="restart"/>
                  <w:vAlign w:val="center"/>
                </w:tcPr>
                <w:p w14:paraId="7EB16C0F">
                  <w:pPr>
                    <w:widowControl/>
                    <w:jc w:val="center"/>
                    <w:textAlignment w:val="center"/>
                    <w:rPr>
                      <w:color w:val="auto"/>
                      <w:szCs w:val="21"/>
                      <w:highlight w:val="none"/>
                    </w:rPr>
                  </w:pPr>
                  <w:r>
                    <w:rPr>
                      <w:color w:val="auto"/>
                      <w:kern w:val="0"/>
                      <w:szCs w:val="21"/>
                      <w:highlight w:val="none"/>
                      <w:lang w:bidi="ar"/>
                    </w:rPr>
                    <w:t>主要污染防治措施</w:t>
                  </w:r>
                </w:p>
              </w:tc>
              <w:tc>
                <w:tcPr>
                  <w:tcW w:w="2070" w:type="dxa"/>
                  <w:gridSpan w:val="2"/>
                  <w:vAlign w:val="center"/>
                </w:tcPr>
                <w:p w14:paraId="1C486563">
                  <w:pPr>
                    <w:widowControl/>
                    <w:jc w:val="center"/>
                    <w:textAlignment w:val="center"/>
                    <w:rPr>
                      <w:color w:val="auto"/>
                      <w:szCs w:val="21"/>
                      <w:highlight w:val="none"/>
                    </w:rPr>
                  </w:pPr>
                  <w:r>
                    <w:rPr>
                      <w:color w:val="auto"/>
                      <w:kern w:val="0"/>
                      <w:szCs w:val="21"/>
                      <w:highlight w:val="none"/>
                      <w:lang w:bidi="ar"/>
                    </w:rPr>
                    <w:t>国家或地方污染物排放标准</w:t>
                  </w:r>
                </w:p>
              </w:tc>
              <w:tc>
                <w:tcPr>
                  <w:tcW w:w="807" w:type="dxa"/>
                  <w:vMerge w:val="restart"/>
                  <w:vAlign w:val="center"/>
                </w:tcPr>
                <w:p w14:paraId="4E01951B">
                  <w:pPr>
                    <w:widowControl/>
                    <w:jc w:val="center"/>
                    <w:textAlignment w:val="center"/>
                    <w:rPr>
                      <w:color w:val="auto"/>
                      <w:szCs w:val="21"/>
                      <w:highlight w:val="none"/>
                    </w:rPr>
                  </w:pPr>
                  <w:r>
                    <w:rPr>
                      <w:color w:val="auto"/>
                      <w:kern w:val="0"/>
                      <w:szCs w:val="21"/>
                      <w:highlight w:val="none"/>
                      <w:lang w:bidi="ar"/>
                    </w:rPr>
                    <w:t>年排放量/（t/a）</w:t>
                  </w:r>
                </w:p>
              </w:tc>
            </w:tr>
            <w:tr w14:paraId="439F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1" w:type="dxa"/>
                  <w:vMerge w:val="continue"/>
                  <w:vAlign w:val="center"/>
                </w:tcPr>
                <w:p w14:paraId="47E5BAF9">
                  <w:pPr>
                    <w:jc w:val="center"/>
                    <w:rPr>
                      <w:color w:val="auto"/>
                      <w:szCs w:val="21"/>
                      <w:highlight w:val="none"/>
                    </w:rPr>
                  </w:pPr>
                </w:p>
              </w:tc>
              <w:tc>
                <w:tcPr>
                  <w:tcW w:w="665" w:type="dxa"/>
                  <w:vMerge w:val="continue"/>
                  <w:vAlign w:val="center"/>
                </w:tcPr>
                <w:p w14:paraId="50207FA7">
                  <w:pPr>
                    <w:jc w:val="center"/>
                    <w:rPr>
                      <w:color w:val="auto"/>
                      <w:szCs w:val="21"/>
                      <w:highlight w:val="none"/>
                    </w:rPr>
                  </w:pPr>
                </w:p>
              </w:tc>
              <w:tc>
                <w:tcPr>
                  <w:tcW w:w="683" w:type="dxa"/>
                  <w:vMerge w:val="continue"/>
                  <w:vAlign w:val="center"/>
                </w:tcPr>
                <w:p w14:paraId="67412864">
                  <w:pPr>
                    <w:jc w:val="center"/>
                    <w:rPr>
                      <w:color w:val="auto"/>
                      <w:szCs w:val="21"/>
                      <w:highlight w:val="none"/>
                    </w:rPr>
                  </w:pPr>
                </w:p>
              </w:tc>
              <w:tc>
                <w:tcPr>
                  <w:tcW w:w="840" w:type="dxa"/>
                  <w:vMerge w:val="continue"/>
                  <w:vAlign w:val="center"/>
                </w:tcPr>
                <w:p w14:paraId="16DCB3A3">
                  <w:pPr>
                    <w:jc w:val="center"/>
                    <w:rPr>
                      <w:color w:val="auto"/>
                      <w:szCs w:val="21"/>
                      <w:highlight w:val="none"/>
                    </w:rPr>
                  </w:pPr>
                </w:p>
              </w:tc>
              <w:tc>
                <w:tcPr>
                  <w:tcW w:w="2422" w:type="dxa"/>
                  <w:vMerge w:val="continue"/>
                  <w:vAlign w:val="center"/>
                </w:tcPr>
                <w:p w14:paraId="2225A4E3">
                  <w:pPr>
                    <w:jc w:val="center"/>
                    <w:rPr>
                      <w:color w:val="auto"/>
                      <w:szCs w:val="21"/>
                      <w:highlight w:val="none"/>
                    </w:rPr>
                  </w:pPr>
                </w:p>
              </w:tc>
              <w:tc>
                <w:tcPr>
                  <w:tcW w:w="983" w:type="dxa"/>
                  <w:vAlign w:val="center"/>
                </w:tcPr>
                <w:p w14:paraId="704BE58C">
                  <w:pPr>
                    <w:widowControl/>
                    <w:jc w:val="center"/>
                    <w:textAlignment w:val="center"/>
                    <w:rPr>
                      <w:color w:val="auto"/>
                      <w:szCs w:val="21"/>
                      <w:highlight w:val="none"/>
                    </w:rPr>
                  </w:pPr>
                  <w:r>
                    <w:rPr>
                      <w:color w:val="auto"/>
                      <w:kern w:val="0"/>
                      <w:szCs w:val="21"/>
                      <w:highlight w:val="none"/>
                      <w:lang w:bidi="ar"/>
                    </w:rPr>
                    <w:t>标准名称</w:t>
                  </w:r>
                </w:p>
              </w:tc>
              <w:tc>
                <w:tcPr>
                  <w:tcW w:w="1087" w:type="dxa"/>
                  <w:vAlign w:val="center"/>
                </w:tcPr>
                <w:p w14:paraId="03514514">
                  <w:pPr>
                    <w:widowControl/>
                    <w:jc w:val="center"/>
                    <w:textAlignment w:val="center"/>
                    <w:rPr>
                      <w:color w:val="auto"/>
                      <w:szCs w:val="21"/>
                      <w:highlight w:val="none"/>
                    </w:rPr>
                  </w:pPr>
                  <w:r>
                    <w:rPr>
                      <w:color w:val="auto"/>
                      <w:kern w:val="0"/>
                      <w:szCs w:val="21"/>
                      <w:highlight w:val="none"/>
                      <w:lang w:bidi="ar"/>
                    </w:rPr>
                    <w:t>浓度限值/(mg/m³)</w:t>
                  </w:r>
                </w:p>
              </w:tc>
              <w:tc>
                <w:tcPr>
                  <w:tcW w:w="807" w:type="dxa"/>
                  <w:vMerge w:val="continue"/>
                  <w:vAlign w:val="center"/>
                </w:tcPr>
                <w:p w14:paraId="50FA037D">
                  <w:pPr>
                    <w:jc w:val="center"/>
                    <w:rPr>
                      <w:color w:val="auto"/>
                      <w:szCs w:val="21"/>
                      <w:highlight w:val="none"/>
                    </w:rPr>
                  </w:pPr>
                </w:p>
              </w:tc>
            </w:tr>
            <w:tr w14:paraId="10106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1" w:type="dxa"/>
                  <w:vMerge w:val="restart"/>
                  <w:vAlign w:val="center"/>
                </w:tcPr>
                <w:p w14:paraId="5FAEFB46">
                  <w:pPr>
                    <w:widowControl/>
                    <w:jc w:val="center"/>
                    <w:textAlignment w:val="center"/>
                    <w:rPr>
                      <w:color w:val="auto"/>
                      <w:szCs w:val="21"/>
                      <w:highlight w:val="none"/>
                    </w:rPr>
                  </w:pPr>
                  <w:r>
                    <w:rPr>
                      <w:color w:val="auto"/>
                      <w:kern w:val="0"/>
                      <w:szCs w:val="21"/>
                      <w:highlight w:val="none"/>
                      <w:lang w:bidi="ar"/>
                    </w:rPr>
                    <w:t>1</w:t>
                  </w:r>
                </w:p>
              </w:tc>
              <w:tc>
                <w:tcPr>
                  <w:tcW w:w="665" w:type="dxa"/>
                  <w:vMerge w:val="restart"/>
                  <w:vAlign w:val="center"/>
                </w:tcPr>
                <w:p w14:paraId="46F1AEE4">
                  <w:pPr>
                    <w:widowControl/>
                    <w:jc w:val="center"/>
                    <w:textAlignment w:val="center"/>
                    <w:rPr>
                      <w:color w:val="auto"/>
                      <w:szCs w:val="21"/>
                      <w:highlight w:val="none"/>
                    </w:rPr>
                  </w:pPr>
                  <w:r>
                    <w:rPr>
                      <w:color w:val="auto"/>
                      <w:kern w:val="0"/>
                      <w:szCs w:val="21"/>
                      <w:highlight w:val="none"/>
                      <w:lang w:bidi="ar"/>
                    </w:rPr>
                    <w:t>无组织面源</w:t>
                  </w:r>
                </w:p>
              </w:tc>
              <w:tc>
                <w:tcPr>
                  <w:tcW w:w="683" w:type="dxa"/>
                  <w:vMerge w:val="restart"/>
                  <w:vAlign w:val="center"/>
                </w:tcPr>
                <w:p w14:paraId="269A7B61">
                  <w:pPr>
                    <w:widowControl/>
                    <w:jc w:val="center"/>
                    <w:textAlignment w:val="center"/>
                    <w:rPr>
                      <w:color w:val="auto"/>
                      <w:szCs w:val="21"/>
                      <w:highlight w:val="none"/>
                    </w:rPr>
                  </w:pPr>
                  <w:r>
                    <w:rPr>
                      <w:rFonts w:hint="eastAsia"/>
                      <w:color w:val="auto"/>
                      <w:szCs w:val="21"/>
                      <w:highlight w:val="none"/>
                    </w:rPr>
                    <w:t>切割、焊接、打磨、打胶</w:t>
                  </w:r>
                </w:p>
              </w:tc>
              <w:tc>
                <w:tcPr>
                  <w:tcW w:w="840" w:type="dxa"/>
                  <w:vAlign w:val="center"/>
                </w:tcPr>
                <w:p w14:paraId="155C9A55">
                  <w:pPr>
                    <w:widowControl/>
                    <w:jc w:val="center"/>
                    <w:textAlignment w:val="center"/>
                    <w:rPr>
                      <w:color w:val="auto"/>
                      <w:szCs w:val="21"/>
                      <w:highlight w:val="none"/>
                    </w:rPr>
                  </w:pPr>
                  <w:r>
                    <w:rPr>
                      <w:color w:val="auto"/>
                      <w:kern w:val="0"/>
                      <w:szCs w:val="21"/>
                      <w:highlight w:val="none"/>
                      <w:lang w:bidi="ar"/>
                    </w:rPr>
                    <w:t>颗粒物</w:t>
                  </w:r>
                </w:p>
              </w:tc>
              <w:tc>
                <w:tcPr>
                  <w:tcW w:w="2422" w:type="dxa"/>
                  <w:vMerge w:val="restart"/>
                  <w:vAlign w:val="center"/>
                </w:tcPr>
                <w:p w14:paraId="7E205026">
                  <w:pPr>
                    <w:widowControl/>
                    <w:jc w:val="center"/>
                    <w:textAlignment w:val="center"/>
                    <w:rPr>
                      <w:color w:val="auto"/>
                      <w:kern w:val="0"/>
                      <w:szCs w:val="21"/>
                      <w:highlight w:val="none"/>
                      <w:lang w:bidi="ar"/>
                    </w:rPr>
                  </w:pPr>
                  <w:r>
                    <w:rPr>
                      <w:color w:val="auto"/>
                      <w:kern w:val="0"/>
                      <w:szCs w:val="21"/>
                      <w:highlight w:val="none"/>
                      <w:lang w:bidi="ar"/>
                    </w:rPr>
                    <w:t>①激光切割机工作时全密闭，设备自带滤芯式除尘设备，收集处理后厂房内无组织排放；</w:t>
                  </w:r>
                </w:p>
                <w:p w14:paraId="3F225179">
                  <w:pPr>
                    <w:widowControl/>
                    <w:jc w:val="center"/>
                    <w:textAlignment w:val="center"/>
                    <w:rPr>
                      <w:color w:val="auto"/>
                      <w:kern w:val="0"/>
                      <w:szCs w:val="21"/>
                      <w:highlight w:val="none"/>
                      <w:lang w:bidi="ar"/>
                    </w:rPr>
                  </w:pPr>
                  <w:r>
                    <w:rPr>
                      <w:color w:val="auto"/>
                      <w:kern w:val="0"/>
                      <w:szCs w:val="21"/>
                      <w:highlight w:val="none"/>
                      <w:lang w:bidi="ar"/>
                    </w:rPr>
                    <w:t>②打磨磨粉尘、补焊烟尘经移动式</w:t>
                  </w:r>
                  <w:r>
                    <w:rPr>
                      <w:rFonts w:hint="eastAsia"/>
                      <w:color w:val="auto"/>
                      <w:kern w:val="0"/>
                      <w:szCs w:val="21"/>
                      <w:highlight w:val="none"/>
                      <w:lang w:eastAsia="zh-CN" w:bidi="ar"/>
                    </w:rPr>
                    <w:t>滤芯除尘器</w:t>
                  </w:r>
                  <w:r>
                    <w:rPr>
                      <w:color w:val="auto"/>
                      <w:kern w:val="0"/>
                      <w:szCs w:val="21"/>
                      <w:highlight w:val="none"/>
                      <w:lang w:bidi="ar"/>
                    </w:rPr>
                    <w:t>（含集气设备）收集处理后厂房内无组织排放；</w:t>
                  </w:r>
                </w:p>
                <w:p w14:paraId="58E2BCC0">
                  <w:pPr>
                    <w:widowControl/>
                    <w:jc w:val="center"/>
                    <w:textAlignment w:val="center"/>
                    <w:rPr>
                      <w:color w:val="auto"/>
                      <w:kern w:val="0"/>
                      <w:szCs w:val="21"/>
                      <w:highlight w:val="none"/>
                      <w:lang w:bidi="ar"/>
                    </w:rPr>
                  </w:pPr>
                  <w:r>
                    <w:rPr>
                      <w:color w:val="auto"/>
                      <w:kern w:val="0"/>
                      <w:szCs w:val="21"/>
                      <w:highlight w:val="none"/>
                      <w:lang w:bidi="ar"/>
                    </w:rPr>
                    <w:t>③使用低挥发性</w:t>
                  </w:r>
                  <w:bookmarkStart w:id="78" w:name="hmcheck_acf979dd8c784ea1b70201e7999263ca"/>
                  <w:r>
                    <w:rPr>
                      <w:rFonts w:hint="eastAsia"/>
                      <w:color w:val="auto"/>
                      <w:kern w:val="0"/>
                      <w:szCs w:val="21"/>
                      <w:highlight w:val="none"/>
                      <w:shd w:val="clear" w:fill="B2E9BC"/>
                      <w:lang w:eastAsia="zh-CN" w:bidi="ar"/>
                    </w:rPr>
                    <w:t>胶黏剂</w:t>
                  </w:r>
                  <w:bookmarkEnd w:id="78"/>
                  <w:r>
                    <w:rPr>
                      <w:color w:val="auto"/>
                      <w:kern w:val="0"/>
                      <w:szCs w:val="21"/>
                      <w:highlight w:val="none"/>
                      <w:lang w:bidi="ar"/>
                    </w:rPr>
                    <w:t>。</w:t>
                  </w:r>
                </w:p>
              </w:tc>
              <w:tc>
                <w:tcPr>
                  <w:tcW w:w="983" w:type="dxa"/>
                  <w:vMerge w:val="restart"/>
                  <w:vAlign w:val="center"/>
                </w:tcPr>
                <w:p w14:paraId="0D59800F">
                  <w:pPr>
                    <w:widowControl/>
                    <w:jc w:val="center"/>
                    <w:textAlignment w:val="center"/>
                    <w:rPr>
                      <w:color w:val="auto"/>
                      <w:szCs w:val="21"/>
                      <w:highlight w:val="none"/>
                    </w:rPr>
                  </w:pPr>
                  <w:r>
                    <w:rPr>
                      <w:snapToGrid w:val="0"/>
                      <w:color w:val="auto"/>
                      <w:szCs w:val="22"/>
                      <w:highlight w:val="none"/>
                    </w:rPr>
                    <w:t>《大气污染物综合排放标准》（DB50/418-2016）中影响区排放限值</w:t>
                  </w:r>
                </w:p>
              </w:tc>
              <w:tc>
                <w:tcPr>
                  <w:tcW w:w="1087" w:type="dxa"/>
                  <w:vAlign w:val="center"/>
                </w:tcPr>
                <w:p w14:paraId="58C11A51">
                  <w:pPr>
                    <w:widowControl/>
                    <w:jc w:val="center"/>
                    <w:textAlignment w:val="center"/>
                    <w:rPr>
                      <w:color w:val="auto"/>
                      <w:szCs w:val="21"/>
                      <w:highlight w:val="none"/>
                    </w:rPr>
                  </w:pPr>
                  <w:r>
                    <w:rPr>
                      <w:rFonts w:hint="eastAsia"/>
                      <w:color w:val="auto"/>
                      <w:kern w:val="0"/>
                      <w:sz w:val="22"/>
                      <w:szCs w:val="22"/>
                      <w:highlight w:val="none"/>
                      <w:lang w:bidi="ar"/>
                    </w:rPr>
                    <w:t>1.0</w:t>
                  </w:r>
                </w:p>
              </w:tc>
              <w:tc>
                <w:tcPr>
                  <w:tcW w:w="807" w:type="dxa"/>
                  <w:vAlign w:val="center"/>
                </w:tcPr>
                <w:p w14:paraId="10F6F3C2">
                  <w:pPr>
                    <w:widowControl/>
                    <w:jc w:val="center"/>
                    <w:textAlignment w:val="center"/>
                    <w:rPr>
                      <w:rFonts w:hint="default" w:eastAsia="宋体"/>
                      <w:color w:val="auto"/>
                      <w:szCs w:val="21"/>
                      <w:highlight w:val="none"/>
                      <w:lang w:val="en-US" w:eastAsia="zh-CN"/>
                    </w:rPr>
                  </w:pPr>
                  <w:r>
                    <w:rPr>
                      <w:rFonts w:hint="eastAsia"/>
                      <w:color w:val="auto"/>
                      <w:kern w:val="0"/>
                      <w:sz w:val="22"/>
                      <w:szCs w:val="22"/>
                      <w:highlight w:val="none"/>
                      <w:lang w:val="en-US" w:eastAsia="zh-CN" w:bidi="ar"/>
                    </w:rPr>
                    <w:t>0.16</w:t>
                  </w:r>
                </w:p>
              </w:tc>
            </w:tr>
            <w:tr w14:paraId="5189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1" w:type="dxa"/>
                  <w:vMerge w:val="continue"/>
                  <w:vAlign w:val="center"/>
                </w:tcPr>
                <w:p w14:paraId="188A9972">
                  <w:pPr>
                    <w:jc w:val="center"/>
                    <w:rPr>
                      <w:color w:val="auto"/>
                      <w:szCs w:val="21"/>
                      <w:highlight w:val="none"/>
                    </w:rPr>
                  </w:pPr>
                </w:p>
              </w:tc>
              <w:tc>
                <w:tcPr>
                  <w:tcW w:w="665" w:type="dxa"/>
                  <w:vMerge w:val="continue"/>
                  <w:vAlign w:val="center"/>
                </w:tcPr>
                <w:p w14:paraId="072ECF43">
                  <w:pPr>
                    <w:jc w:val="center"/>
                    <w:rPr>
                      <w:color w:val="auto"/>
                      <w:szCs w:val="21"/>
                      <w:highlight w:val="none"/>
                    </w:rPr>
                  </w:pPr>
                </w:p>
              </w:tc>
              <w:tc>
                <w:tcPr>
                  <w:tcW w:w="683" w:type="dxa"/>
                  <w:vMerge w:val="continue"/>
                  <w:vAlign w:val="center"/>
                </w:tcPr>
                <w:p w14:paraId="4A99A6D4">
                  <w:pPr>
                    <w:jc w:val="center"/>
                    <w:rPr>
                      <w:color w:val="auto"/>
                      <w:szCs w:val="21"/>
                      <w:highlight w:val="none"/>
                    </w:rPr>
                  </w:pPr>
                </w:p>
              </w:tc>
              <w:tc>
                <w:tcPr>
                  <w:tcW w:w="840" w:type="dxa"/>
                  <w:vAlign w:val="center"/>
                </w:tcPr>
                <w:p w14:paraId="02ABDDB9">
                  <w:pPr>
                    <w:widowControl/>
                    <w:jc w:val="center"/>
                    <w:textAlignment w:val="center"/>
                    <w:rPr>
                      <w:color w:val="auto"/>
                      <w:szCs w:val="21"/>
                      <w:highlight w:val="none"/>
                    </w:rPr>
                  </w:pPr>
                  <w:r>
                    <w:rPr>
                      <w:color w:val="auto"/>
                      <w:kern w:val="0"/>
                      <w:szCs w:val="21"/>
                      <w:highlight w:val="none"/>
                      <w:lang w:bidi="ar"/>
                    </w:rPr>
                    <w:t>非甲烷总烃</w:t>
                  </w:r>
                </w:p>
              </w:tc>
              <w:tc>
                <w:tcPr>
                  <w:tcW w:w="2422" w:type="dxa"/>
                  <w:vMerge w:val="continue"/>
                  <w:vAlign w:val="center"/>
                </w:tcPr>
                <w:p w14:paraId="7EA9E6E6">
                  <w:pPr>
                    <w:jc w:val="center"/>
                    <w:rPr>
                      <w:color w:val="auto"/>
                      <w:szCs w:val="21"/>
                      <w:highlight w:val="none"/>
                    </w:rPr>
                  </w:pPr>
                </w:p>
              </w:tc>
              <w:tc>
                <w:tcPr>
                  <w:tcW w:w="983" w:type="dxa"/>
                  <w:vMerge w:val="continue"/>
                  <w:vAlign w:val="center"/>
                </w:tcPr>
                <w:p w14:paraId="0149CD4F">
                  <w:pPr>
                    <w:jc w:val="center"/>
                    <w:rPr>
                      <w:color w:val="auto"/>
                      <w:szCs w:val="21"/>
                      <w:highlight w:val="none"/>
                    </w:rPr>
                  </w:pPr>
                </w:p>
              </w:tc>
              <w:tc>
                <w:tcPr>
                  <w:tcW w:w="1087" w:type="dxa"/>
                  <w:vAlign w:val="center"/>
                </w:tcPr>
                <w:p w14:paraId="00D9C66F">
                  <w:pPr>
                    <w:widowControl/>
                    <w:jc w:val="center"/>
                    <w:textAlignment w:val="center"/>
                    <w:rPr>
                      <w:color w:val="auto"/>
                      <w:szCs w:val="21"/>
                      <w:highlight w:val="none"/>
                    </w:rPr>
                  </w:pPr>
                  <w:r>
                    <w:rPr>
                      <w:color w:val="auto"/>
                      <w:kern w:val="0"/>
                      <w:sz w:val="22"/>
                      <w:szCs w:val="22"/>
                      <w:highlight w:val="none"/>
                      <w:lang w:bidi="ar"/>
                    </w:rPr>
                    <w:t>4</w:t>
                  </w:r>
                  <w:r>
                    <w:rPr>
                      <w:rFonts w:hint="eastAsia"/>
                      <w:color w:val="auto"/>
                      <w:kern w:val="0"/>
                      <w:sz w:val="22"/>
                      <w:szCs w:val="22"/>
                      <w:highlight w:val="none"/>
                      <w:lang w:bidi="ar"/>
                    </w:rPr>
                    <w:t>.0</w:t>
                  </w:r>
                </w:p>
              </w:tc>
              <w:tc>
                <w:tcPr>
                  <w:tcW w:w="807" w:type="dxa"/>
                  <w:vAlign w:val="center"/>
                </w:tcPr>
                <w:p w14:paraId="7D521F76">
                  <w:pPr>
                    <w:widowControl/>
                    <w:jc w:val="center"/>
                    <w:textAlignment w:val="center"/>
                    <w:rPr>
                      <w:rFonts w:hint="default" w:eastAsia="宋体"/>
                      <w:color w:val="auto"/>
                      <w:szCs w:val="21"/>
                      <w:highlight w:val="none"/>
                      <w:lang w:val="en-US" w:eastAsia="zh-CN"/>
                    </w:rPr>
                  </w:pPr>
                  <w:r>
                    <w:rPr>
                      <w:rFonts w:hint="eastAsia"/>
                      <w:color w:val="auto"/>
                      <w:kern w:val="0"/>
                      <w:sz w:val="22"/>
                      <w:szCs w:val="22"/>
                      <w:highlight w:val="none"/>
                      <w:lang w:val="en-US" w:eastAsia="zh-CN" w:bidi="ar"/>
                    </w:rPr>
                    <w:t>0.008</w:t>
                  </w:r>
                </w:p>
              </w:tc>
            </w:tr>
            <w:tr w14:paraId="1EFBD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58" w:type="dxa"/>
                  <w:gridSpan w:val="8"/>
                  <w:vAlign w:val="center"/>
                </w:tcPr>
                <w:p w14:paraId="48982BEA">
                  <w:pPr>
                    <w:widowControl/>
                    <w:jc w:val="center"/>
                    <w:textAlignment w:val="center"/>
                    <w:rPr>
                      <w:color w:val="auto"/>
                      <w:szCs w:val="21"/>
                      <w:highlight w:val="none"/>
                    </w:rPr>
                  </w:pPr>
                  <w:r>
                    <w:rPr>
                      <w:color w:val="auto"/>
                      <w:kern w:val="0"/>
                      <w:szCs w:val="21"/>
                      <w:highlight w:val="none"/>
                      <w:lang w:bidi="ar"/>
                    </w:rPr>
                    <w:t>无组织排放量总计</w:t>
                  </w:r>
                </w:p>
              </w:tc>
            </w:tr>
            <w:tr w14:paraId="253A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59" w:type="dxa"/>
                  <w:gridSpan w:val="4"/>
                  <w:vMerge w:val="restart"/>
                  <w:vAlign w:val="center"/>
                </w:tcPr>
                <w:p w14:paraId="332E1B18">
                  <w:pPr>
                    <w:widowControl/>
                    <w:jc w:val="center"/>
                    <w:textAlignment w:val="center"/>
                    <w:rPr>
                      <w:color w:val="auto"/>
                      <w:szCs w:val="21"/>
                      <w:highlight w:val="none"/>
                    </w:rPr>
                  </w:pPr>
                  <w:r>
                    <w:rPr>
                      <w:color w:val="auto"/>
                      <w:kern w:val="0"/>
                      <w:szCs w:val="21"/>
                      <w:highlight w:val="none"/>
                      <w:lang w:bidi="ar"/>
                    </w:rPr>
                    <w:t>无组织排放总计</w:t>
                  </w:r>
                </w:p>
              </w:tc>
              <w:tc>
                <w:tcPr>
                  <w:tcW w:w="3405" w:type="dxa"/>
                  <w:gridSpan w:val="2"/>
                  <w:vAlign w:val="center"/>
                </w:tcPr>
                <w:p w14:paraId="6F2E07BD">
                  <w:pPr>
                    <w:widowControl/>
                    <w:jc w:val="center"/>
                    <w:textAlignment w:val="center"/>
                    <w:rPr>
                      <w:color w:val="auto"/>
                      <w:szCs w:val="21"/>
                      <w:highlight w:val="none"/>
                    </w:rPr>
                  </w:pPr>
                  <w:r>
                    <w:rPr>
                      <w:color w:val="auto"/>
                      <w:kern w:val="0"/>
                      <w:szCs w:val="21"/>
                      <w:highlight w:val="none"/>
                      <w:lang w:bidi="ar"/>
                    </w:rPr>
                    <w:t>颗粒物</w:t>
                  </w:r>
                </w:p>
              </w:tc>
              <w:tc>
                <w:tcPr>
                  <w:tcW w:w="1894" w:type="dxa"/>
                  <w:gridSpan w:val="2"/>
                  <w:vAlign w:val="center"/>
                </w:tcPr>
                <w:p w14:paraId="4D7EA004">
                  <w:pPr>
                    <w:widowControl/>
                    <w:jc w:val="center"/>
                    <w:textAlignment w:val="center"/>
                    <w:rPr>
                      <w:rFonts w:hint="default" w:eastAsia="宋体"/>
                      <w:color w:val="auto"/>
                      <w:szCs w:val="21"/>
                      <w:highlight w:val="none"/>
                      <w:lang w:val="en-US" w:eastAsia="zh-CN"/>
                    </w:rPr>
                  </w:pPr>
                  <w:r>
                    <w:rPr>
                      <w:rFonts w:hint="eastAsia"/>
                      <w:color w:val="auto"/>
                      <w:kern w:val="0"/>
                      <w:sz w:val="22"/>
                      <w:szCs w:val="22"/>
                      <w:highlight w:val="none"/>
                      <w:lang w:val="en-US" w:eastAsia="zh-CN" w:bidi="ar"/>
                    </w:rPr>
                    <w:t>0.16</w:t>
                  </w:r>
                </w:p>
              </w:tc>
            </w:tr>
            <w:tr w14:paraId="4C68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59" w:type="dxa"/>
                  <w:gridSpan w:val="4"/>
                  <w:vMerge w:val="continue"/>
                  <w:vAlign w:val="center"/>
                </w:tcPr>
                <w:p w14:paraId="60C9A19B">
                  <w:pPr>
                    <w:jc w:val="center"/>
                    <w:rPr>
                      <w:color w:val="auto"/>
                      <w:szCs w:val="21"/>
                      <w:highlight w:val="none"/>
                    </w:rPr>
                  </w:pPr>
                </w:p>
              </w:tc>
              <w:tc>
                <w:tcPr>
                  <w:tcW w:w="3405" w:type="dxa"/>
                  <w:gridSpan w:val="2"/>
                  <w:vAlign w:val="center"/>
                </w:tcPr>
                <w:p w14:paraId="242FB45A">
                  <w:pPr>
                    <w:widowControl/>
                    <w:jc w:val="center"/>
                    <w:textAlignment w:val="center"/>
                    <w:rPr>
                      <w:color w:val="auto"/>
                      <w:szCs w:val="21"/>
                      <w:highlight w:val="none"/>
                    </w:rPr>
                  </w:pPr>
                  <w:r>
                    <w:rPr>
                      <w:color w:val="auto"/>
                      <w:kern w:val="0"/>
                      <w:szCs w:val="21"/>
                      <w:highlight w:val="none"/>
                      <w:lang w:bidi="ar"/>
                    </w:rPr>
                    <w:t>非甲烷总烃</w:t>
                  </w:r>
                </w:p>
              </w:tc>
              <w:tc>
                <w:tcPr>
                  <w:tcW w:w="1894" w:type="dxa"/>
                  <w:gridSpan w:val="2"/>
                  <w:vAlign w:val="center"/>
                </w:tcPr>
                <w:p w14:paraId="005D6AA3">
                  <w:pPr>
                    <w:widowControl/>
                    <w:jc w:val="center"/>
                    <w:textAlignment w:val="center"/>
                    <w:rPr>
                      <w:color w:val="auto"/>
                      <w:szCs w:val="21"/>
                      <w:highlight w:val="none"/>
                    </w:rPr>
                  </w:pPr>
                  <w:r>
                    <w:rPr>
                      <w:rFonts w:hint="eastAsia"/>
                      <w:color w:val="auto"/>
                      <w:kern w:val="0"/>
                      <w:sz w:val="22"/>
                      <w:szCs w:val="22"/>
                      <w:highlight w:val="none"/>
                      <w:lang w:bidi="ar"/>
                    </w:rPr>
                    <w:t>0.008</w:t>
                  </w:r>
                </w:p>
              </w:tc>
            </w:tr>
          </w:tbl>
          <w:p w14:paraId="184797B7">
            <w:pPr>
              <w:ind w:firstLine="496" w:firstLineChars="200"/>
              <w:rPr>
                <w:color w:val="auto"/>
                <w:spacing w:val="-6"/>
                <w:sz w:val="26"/>
                <w:szCs w:val="26"/>
                <w:highlight w:val="none"/>
              </w:rPr>
            </w:pPr>
          </w:p>
          <w:p w14:paraId="72797A6C">
            <w:pPr>
              <w:tabs>
                <w:tab w:val="left" w:pos="3855"/>
                <w:tab w:val="center" w:pos="3955"/>
              </w:tabs>
              <w:adjustRightInd w:val="0"/>
              <w:snapToGrid w:val="0"/>
              <w:spacing w:line="460" w:lineRule="exact"/>
              <w:ind w:firstLine="480" w:firstLineChars="200"/>
              <w:rPr>
                <w:bCs/>
                <w:color w:val="auto"/>
                <w:spacing w:val="-10"/>
                <w:sz w:val="26"/>
                <w:szCs w:val="26"/>
                <w:highlight w:val="none"/>
              </w:rPr>
            </w:pPr>
            <w:r>
              <w:rPr>
                <w:bCs/>
                <w:color w:val="auto"/>
                <w:spacing w:val="-10"/>
                <w:sz w:val="26"/>
                <w:szCs w:val="26"/>
                <w:highlight w:val="none"/>
              </w:rPr>
              <w:t>本项目废气有组织排放速率及排放浓度满足</w:t>
            </w:r>
            <w:r>
              <w:rPr>
                <w:color w:val="auto"/>
                <w:kern w:val="0"/>
                <w:sz w:val="26"/>
                <w:szCs w:val="26"/>
                <w:highlight w:val="none"/>
              </w:rPr>
              <w:t>重庆市《大气污染物综合排放标准》相关要求。</w:t>
            </w:r>
          </w:p>
          <w:p w14:paraId="67D1BA85">
            <w:pPr>
              <w:tabs>
                <w:tab w:val="left" w:pos="3855"/>
                <w:tab w:val="center" w:pos="3955"/>
              </w:tabs>
              <w:adjustRightInd w:val="0"/>
              <w:snapToGrid w:val="0"/>
              <w:spacing w:line="460" w:lineRule="exact"/>
              <w:ind w:firstLine="482" w:firstLineChars="200"/>
              <w:rPr>
                <w:b/>
                <w:bCs/>
                <w:color w:val="auto"/>
                <w:spacing w:val="-10"/>
                <w:sz w:val="26"/>
                <w:szCs w:val="26"/>
                <w:highlight w:val="none"/>
              </w:rPr>
            </w:pPr>
            <w:r>
              <w:rPr>
                <w:b/>
                <w:bCs/>
                <w:color w:val="auto"/>
                <w:spacing w:val="-10"/>
                <w:sz w:val="26"/>
                <w:szCs w:val="26"/>
                <w:highlight w:val="none"/>
              </w:rPr>
              <w:t>（2）非正常工况</w:t>
            </w:r>
          </w:p>
          <w:p w14:paraId="100971DB">
            <w:pPr>
              <w:tabs>
                <w:tab w:val="left" w:pos="3855"/>
                <w:tab w:val="center" w:pos="3955"/>
              </w:tabs>
              <w:adjustRightInd w:val="0"/>
              <w:snapToGrid w:val="0"/>
              <w:spacing w:line="460" w:lineRule="exact"/>
              <w:ind w:firstLine="480" w:firstLineChars="200"/>
              <w:rPr>
                <w:bCs/>
                <w:color w:val="auto"/>
                <w:spacing w:val="-10"/>
                <w:sz w:val="26"/>
                <w:szCs w:val="26"/>
                <w:highlight w:val="none"/>
              </w:rPr>
            </w:pPr>
            <w:r>
              <w:rPr>
                <w:bCs/>
                <w:color w:val="auto"/>
                <w:spacing w:val="-10"/>
                <w:sz w:val="26"/>
                <w:szCs w:val="26"/>
                <w:highlight w:val="none"/>
              </w:rPr>
              <w:t>项目营运期非正常工况时，即处理设施发生故障，考虑最不利以废气处理措施处理效率为0%计，则项目非正常排放量核算见下表。</w:t>
            </w:r>
          </w:p>
          <w:p w14:paraId="77F2A1D2">
            <w:pPr>
              <w:tabs>
                <w:tab w:val="left" w:pos="3855"/>
                <w:tab w:val="center" w:pos="3955"/>
              </w:tabs>
              <w:adjustRightInd w:val="0"/>
              <w:snapToGrid w:val="0"/>
              <w:ind w:firstLine="480" w:firstLineChars="200"/>
              <w:rPr>
                <w:bCs/>
                <w:color w:val="auto"/>
                <w:spacing w:val="-10"/>
                <w:sz w:val="26"/>
                <w:szCs w:val="26"/>
                <w:highlight w:val="none"/>
              </w:rPr>
            </w:pPr>
          </w:p>
          <w:p w14:paraId="15BE8BEB">
            <w:pPr>
              <w:adjustRightInd w:val="0"/>
              <w:snapToGrid w:val="0"/>
              <w:ind w:firstLine="480" w:firstLineChars="200"/>
              <w:jc w:val="center"/>
              <w:rPr>
                <w:bCs/>
                <w:color w:val="auto"/>
                <w:spacing w:val="-10"/>
                <w:sz w:val="24"/>
                <w:szCs w:val="26"/>
                <w:highlight w:val="none"/>
              </w:rPr>
            </w:pPr>
            <w:r>
              <w:rPr>
                <w:color w:val="auto"/>
                <w:sz w:val="24"/>
                <w:szCs w:val="26"/>
                <w:highlight w:val="none"/>
              </w:rPr>
              <w:t xml:space="preserve">表4.2-6  </w:t>
            </w:r>
            <w:r>
              <w:rPr>
                <w:bCs/>
                <w:color w:val="auto"/>
                <w:spacing w:val="-10"/>
                <w:sz w:val="24"/>
                <w:szCs w:val="26"/>
                <w:highlight w:val="none"/>
              </w:rPr>
              <w:t>项目运营期非正常工况排放情况一览表</w:t>
            </w:r>
          </w:p>
          <w:tbl>
            <w:tblPr>
              <w:tblStyle w:val="16"/>
              <w:tblW w:w="7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
              <w:gridCol w:w="920"/>
              <w:gridCol w:w="1094"/>
              <w:gridCol w:w="1096"/>
              <w:gridCol w:w="1522"/>
              <w:gridCol w:w="1020"/>
              <w:gridCol w:w="923"/>
              <w:gridCol w:w="923"/>
            </w:tblGrid>
            <w:tr w14:paraId="43BD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dxa"/>
                  <w:vAlign w:val="center"/>
                </w:tcPr>
                <w:p w14:paraId="37308BE0">
                  <w:pPr>
                    <w:widowControl/>
                    <w:jc w:val="center"/>
                    <w:textAlignment w:val="center"/>
                    <w:rPr>
                      <w:color w:val="auto"/>
                      <w:szCs w:val="21"/>
                      <w:highlight w:val="none"/>
                    </w:rPr>
                  </w:pPr>
                  <w:r>
                    <w:rPr>
                      <w:color w:val="auto"/>
                      <w:kern w:val="0"/>
                      <w:szCs w:val="21"/>
                      <w:highlight w:val="none"/>
                      <w:lang w:bidi="ar"/>
                    </w:rPr>
                    <w:t>序号</w:t>
                  </w:r>
                </w:p>
              </w:tc>
              <w:tc>
                <w:tcPr>
                  <w:tcW w:w="920" w:type="dxa"/>
                  <w:vAlign w:val="center"/>
                </w:tcPr>
                <w:p w14:paraId="0DA7E96F">
                  <w:pPr>
                    <w:widowControl/>
                    <w:jc w:val="center"/>
                    <w:textAlignment w:val="center"/>
                    <w:rPr>
                      <w:color w:val="auto"/>
                      <w:szCs w:val="21"/>
                      <w:highlight w:val="none"/>
                    </w:rPr>
                  </w:pPr>
                  <w:r>
                    <w:rPr>
                      <w:color w:val="auto"/>
                      <w:kern w:val="0"/>
                      <w:szCs w:val="21"/>
                      <w:highlight w:val="none"/>
                      <w:lang w:bidi="ar"/>
                    </w:rPr>
                    <w:t>排放口编号</w:t>
                  </w:r>
                </w:p>
              </w:tc>
              <w:tc>
                <w:tcPr>
                  <w:tcW w:w="1094" w:type="dxa"/>
                  <w:vAlign w:val="center"/>
                </w:tcPr>
                <w:p w14:paraId="5D51BCB0">
                  <w:pPr>
                    <w:widowControl/>
                    <w:jc w:val="center"/>
                    <w:textAlignment w:val="bottom"/>
                    <w:rPr>
                      <w:color w:val="auto"/>
                      <w:kern w:val="0"/>
                      <w:szCs w:val="21"/>
                      <w:highlight w:val="none"/>
                      <w:lang w:bidi="ar"/>
                    </w:rPr>
                  </w:pPr>
                  <w:r>
                    <w:rPr>
                      <w:color w:val="auto"/>
                      <w:kern w:val="0"/>
                      <w:szCs w:val="21"/>
                      <w:highlight w:val="none"/>
                      <w:lang w:bidi="ar"/>
                    </w:rPr>
                    <w:t>非正常排</w:t>
                  </w:r>
                </w:p>
                <w:p w14:paraId="63ADDB4C">
                  <w:pPr>
                    <w:widowControl/>
                    <w:jc w:val="center"/>
                    <w:textAlignment w:val="bottom"/>
                    <w:rPr>
                      <w:color w:val="auto"/>
                      <w:szCs w:val="21"/>
                      <w:highlight w:val="none"/>
                    </w:rPr>
                  </w:pPr>
                  <w:r>
                    <w:rPr>
                      <w:color w:val="auto"/>
                      <w:kern w:val="0"/>
                      <w:szCs w:val="21"/>
                      <w:highlight w:val="none"/>
                      <w:lang w:bidi="ar"/>
                    </w:rPr>
                    <w:t>放原因</w:t>
                  </w:r>
                </w:p>
              </w:tc>
              <w:tc>
                <w:tcPr>
                  <w:tcW w:w="1096" w:type="dxa"/>
                  <w:noWrap/>
                  <w:vAlign w:val="center"/>
                </w:tcPr>
                <w:p w14:paraId="07F4C204">
                  <w:pPr>
                    <w:widowControl/>
                    <w:jc w:val="center"/>
                    <w:textAlignment w:val="bottom"/>
                    <w:rPr>
                      <w:color w:val="auto"/>
                      <w:szCs w:val="21"/>
                      <w:highlight w:val="none"/>
                    </w:rPr>
                  </w:pPr>
                  <w:r>
                    <w:rPr>
                      <w:color w:val="auto"/>
                      <w:kern w:val="0"/>
                      <w:szCs w:val="21"/>
                      <w:highlight w:val="none"/>
                      <w:lang w:bidi="ar"/>
                    </w:rPr>
                    <w:t>污染物</w:t>
                  </w:r>
                </w:p>
              </w:tc>
              <w:tc>
                <w:tcPr>
                  <w:tcW w:w="1522" w:type="dxa"/>
                  <w:vAlign w:val="center"/>
                </w:tcPr>
                <w:p w14:paraId="7512238E">
                  <w:pPr>
                    <w:widowControl/>
                    <w:jc w:val="center"/>
                    <w:textAlignment w:val="bottom"/>
                    <w:rPr>
                      <w:color w:val="auto"/>
                      <w:szCs w:val="21"/>
                      <w:highlight w:val="none"/>
                    </w:rPr>
                  </w:pPr>
                  <w:r>
                    <w:rPr>
                      <w:color w:val="auto"/>
                      <w:kern w:val="0"/>
                      <w:szCs w:val="21"/>
                      <w:highlight w:val="none"/>
                      <w:lang w:bidi="ar"/>
                    </w:rPr>
                    <w:t>非正常最大排放速率/（kg/h）</w:t>
                  </w:r>
                </w:p>
              </w:tc>
              <w:tc>
                <w:tcPr>
                  <w:tcW w:w="1020" w:type="dxa"/>
                  <w:vAlign w:val="center"/>
                </w:tcPr>
                <w:p w14:paraId="6F389DFA">
                  <w:pPr>
                    <w:widowControl/>
                    <w:jc w:val="center"/>
                    <w:textAlignment w:val="bottom"/>
                    <w:rPr>
                      <w:color w:val="auto"/>
                      <w:szCs w:val="21"/>
                      <w:highlight w:val="none"/>
                    </w:rPr>
                  </w:pPr>
                  <w:r>
                    <w:rPr>
                      <w:color w:val="auto"/>
                      <w:kern w:val="0"/>
                      <w:szCs w:val="21"/>
                      <w:highlight w:val="none"/>
                      <w:lang w:bidi="ar"/>
                    </w:rPr>
                    <w:t>单次持续时间/h</w:t>
                  </w:r>
                </w:p>
              </w:tc>
              <w:tc>
                <w:tcPr>
                  <w:tcW w:w="923" w:type="dxa"/>
                  <w:vAlign w:val="center"/>
                </w:tcPr>
                <w:p w14:paraId="1A9C2226">
                  <w:pPr>
                    <w:widowControl/>
                    <w:jc w:val="center"/>
                    <w:textAlignment w:val="bottom"/>
                    <w:rPr>
                      <w:color w:val="auto"/>
                      <w:szCs w:val="21"/>
                      <w:highlight w:val="none"/>
                    </w:rPr>
                  </w:pPr>
                  <w:r>
                    <w:rPr>
                      <w:color w:val="auto"/>
                      <w:kern w:val="0"/>
                      <w:szCs w:val="21"/>
                      <w:highlight w:val="none"/>
                      <w:lang w:bidi="ar"/>
                    </w:rPr>
                    <w:t>年发生频次/次</w:t>
                  </w:r>
                </w:p>
              </w:tc>
              <w:tc>
                <w:tcPr>
                  <w:tcW w:w="923" w:type="dxa"/>
                  <w:vAlign w:val="center"/>
                </w:tcPr>
                <w:p w14:paraId="1551CDDD">
                  <w:pPr>
                    <w:widowControl/>
                    <w:jc w:val="center"/>
                    <w:textAlignment w:val="bottom"/>
                    <w:rPr>
                      <w:color w:val="auto"/>
                      <w:kern w:val="0"/>
                      <w:szCs w:val="21"/>
                      <w:highlight w:val="none"/>
                      <w:lang w:bidi="ar"/>
                    </w:rPr>
                  </w:pPr>
                  <w:r>
                    <w:rPr>
                      <w:color w:val="auto"/>
                      <w:kern w:val="0"/>
                      <w:szCs w:val="21"/>
                      <w:highlight w:val="none"/>
                      <w:lang w:bidi="ar"/>
                    </w:rPr>
                    <w:t>应对措施</w:t>
                  </w:r>
                </w:p>
              </w:tc>
            </w:tr>
            <w:tr w14:paraId="7FDE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dxa"/>
                  <w:vAlign w:val="center"/>
                </w:tcPr>
                <w:p w14:paraId="768E88EC">
                  <w:pPr>
                    <w:widowControl/>
                    <w:jc w:val="center"/>
                    <w:textAlignment w:val="center"/>
                    <w:rPr>
                      <w:color w:val="auto"/>
                      <w:szCs w:val="21"/>
                      <w:highlight w:val="none"/>
                    </w:rPr>
                  </w:pPr>
                  <w:r>
                    <w:rPr>
                      <w:color w:val="auto"/>
                      <w:kern w:val="0"/>
                      <w:szCs w:val="21"/>
                      <w:highlight w:val="none"/>
                      <w:lang w:bidi="ar"/>
                    </w:rPr>
                    <w:t>1</w:t>
                  </w:r>
                </w:p>
              </w:tc>
              <w:tc>
                <w:tcPr>
                  <w:tcW w:w="920" w:type="dxa"/>
                  <w:vAlign w:val="center"/>
                </w:tcPr>
                <w:p w14:paraId="70EFEE0F">
                  <w:pPr>
                    <w:widowControl/>
                    <w:jc w:val="center"/>
                    <w:textAlignment w:val="center"/>
                    <w:rPr>
                      <w:color w:val="auto"/>
                      <w:szCs w:val="21"/>
                      <w:highlight w:val="none"/>
                    </w:rPr>
                  </w:pPr>
                  <w:r>
                    <w:rPr>
                      <w:color w:val="auto"/>
                      <w:kern w:val="0"/>
                      <w:szCs w:val="21"/>
                      <w:highlight w:val="none"/>
                      <w:lang w:bidi="ar"/>
                    </w:rPr>
                    <w:t>DA001</w:t>
                  </w:r>
                </w:p>
              </w:tc>
              <w:tc>
                <w:tcPr>
                  <w:tcW w:w="1094" w:type="dxa"/>
                  <w:noWrap/>
                  <w:vAlign w:val="center"/>
                </w:tcPr>
                <w:p w14:paraId="7CB519F3">
                  <w:pPr>
                    <w:widowControl/>
                    <w:jc w:val="center"/>
                    <w:textAlignment w:val="bottom"/>
                    <w:rPr>
                      <w:color w:val="auto"/>
                      <w:szCs w:val="21"/>
                      <w:highlight w:val="none"/>
                    </w:rPr>
                  </w:pPr>
                  <w:r>
                    <w:rPr>
                      <w:color w:val="auto"/>
                      <w:kern w:val="0"/>
                      <w:szCs w:val="21"/>
                      <w:highlight w:val="none"/>
                      <w:lang w:bidi="ar"/>
                    </w:rPr>
                    <w:t>设备故障</w:t>
                  </w:r>
                </w:p>
              </w:tc>
              <w:tc>
                <w:tcPr>
                  <w:tcW w:w="1096" w:type="dxa"/>
                  <w:noWrap/>
                  <w:vAlign w:val="center"/>
                </w:tcPr>
                <w:p w14:paraId="6C44623E">
                  <w:pPr>
                    <w:widowControl/>
                    <w:jc w:val="center"/>
                    <w:textAlignment w:val="bottom"/>
                    <w:rPr>
                      <w:color w:val="auto"/>
                      <w:szCs w:val="21"/>
                      <w:highlight w:val="none"/>
                    </w:rPr>
                  </w:pPr>
                  <w:r>
                    <w:rPr>
                      <w:color w:val="auto"/>
                      <w:kern w:val="0"/>
                      <w:szCs w:val="21"/>
                      <w:highlight w:val="none"/>
                      <w:lang w:bidi="ar"/>
                    </w:rPr>
                    <w:t>颗粒物</w:t>
                  </w:r>
                </w:p>
              </w:tc>
              <w:tc>
                <w:tcPr>
                  <w:tcW w:w="1522" w:type="dxa"/>
                  <w:noWrap/>
                  <w:vAlign w:val="center"/>
                </w:tcPr>
                <w:p w14:paraId="0959DE70">
                  <w:pPr>
                    <w:widowControl/>
                    <w:jc w:val="center"/>
                    <w:textAlignment w:val="bottom"/>
                    <w:rPr>
                      <w:color w:val="auto"/>
                      <w:kern w:val="0"/>
                      <w:szCs w:val="21"/>
                      <w:highlight w:val="none"/>
                      <w:lang w:bidi="ar"/>
                    </w:rPr>
                  </w:pPr>
                  <w:r>
                    <w:rPr>
                      <w:rFonts w:hint="eastAsia"/>
                      <w:color w:val="auto"/>
                      <w:kern w:val="0"/>
                      <w:szCs w:val="21"/>
                      <w:highlight w:val="none"/>
                      <w:lang w:bidi="ar"/>
                    </w:rPr>
                    <w:t>0.06</w:t>
                  </w:r>
                </w:p>
              </w:tc>
              <w:tc>
                <w:tcPr>
                  <w:tcW w:w="1020" w:type="dxa"/>
                  <w:vAlign w:val="center"/>
                </w:tcPr>
                <w:p w14:paraId="2157F7D4">
                  <w:pPr>
                    <w:widowControl/>
                    <w:jc w:val="center"/>
                    <w:textAlignment w:val="center"/>
                    <w:rPr>
                      <w:color w:val="auto"/>
                      <w:szCs w:val="21"/>
                      <w:highlight w:val="none"/>
                    </w:rPr>
                  </w:pPr>
                  <w:r>
                    <w:rPr>
                      <w:color w:val="auto"/>
                      <w:kern w:val="0"/>
                      <w:szCs w:val="21"/>
                      <w:highlight w:val="none"/>
                      <w:lang w:bidi="ar"/>
                    </w:rPr>
                    <w:t>1</w:t>
                  </w:r>
                </w:p>
              </w:tc>
              <w:tc>
                <w:tcPr>
                  <w:tcW w:w="923" w:type="dxa"/>
                  <w:vAlign w:val="center"/>
                </w:tcPr>
                <w:p w14:paraId="21EE88F7">
                  <w:pPr>
                    <w:widowControl/>
                    <w:jc w:val="center"/>
                    <w:textAlignment w:val="center"/>
                    <w:rPr>
                      <w:color w:val="auto"/>
                      <w:szCs w:val="21"/>
                      <w:highlight w:val="none"/>
                    </w:rPr>
                  </w:pPr>
                  <w:r>
                    <w:rPr>
                      <w:color w:val="auto"/>
                      <w:kern w:val="0"/>
                      <w:szCs w:val="21"/>
                      <w:highlight w:val="none"/>
                      <w:lang w:bidi="ar"/>
                    </w:rPr>
                    <w:t>1</w:t>
                  </w:r>
                </w:p>
              </w:tc>
              <w:tc>
                <w:tcPr>
                  <w:tcW w:w="923" w:type="dxa"/>
                  <w:vAlign w:val="center"/>
                </w:tcPr>
                <w:p w14:paraId="7AA02A25">
                  <w:pPr>
                    <w:widowControl/>
                    <w:jc w:val="center"/>
                    <w:textAlignment w:val="center"/>
                    <w:rPr>
                      <w:color w:val="auto"/>
                      <w:kern w:val="0"/>
                      <w:szCs w:val="21"/>
                      <w:highlight w:val="none"/>
                      <w:lang w:bidi="ar"/>
                    </w:rPr>
                  </w:pPr>
                  <w:r>
                    <w:rPr>
                      <w:color w:val="auto"/>
                      <w:kern w:val="0"/>
                      <w:szCs w:val="21"/>
                      <w:highlight w:val="none"/>
                      <w:lang w:bidi="ar"/>
                    </w:rPr>
                    <w:t>定期保养、避免故障</w:t>
                  </w:r>
                </w:p>
              </w:tc>
            </w:tr>
          </w:tbl>
          <w:p w14:paraId="059121C6">
            <w:pPr>
              <w:tabs>
                <w:tab w:val="left" w:pos="3855"/>
                <w:tab w:val="center" w:pos="3955"/>
              </w:tabs>
              <w:adjustRightInd w:val="0"/>
              <w:snapToGrid w:val="0"/>
              <w:ind w:firstLine="480" w:firstLineChars="200"/>
              <w:rPr>
                <w:bCs/>
                <w:color w:val="auto"/>
                <w:spacing w:val="-10"/>
                <w:sz w:val="26"/>
                <w:szCs w:val="26"/>
                <w:highlight w:val="none"/>
              </w:rPr>
            </w:pPr>
          </w:p>
          <w:p w14:paraId="77F41963">
            <w:pPr>
              <w:tabs>
                <w:tab w:val="left" w:pos="3855"/>
                <w:tab w:val="center" w:pos="3955"/>
              </w:tabs>
              <w:adjustRightInd w:val="0"/>
              <w:snapToGrid w:val="0"/>
              <w:spacing w:line="460" w:lineRule="exact"/>
              <w:ind w:firstLine="480" w:firstLineChars="200"/>
              <w:rPr>
                <w:bCs/>
                <w:color w:val="auto"/>
                <w:spacing w:val="-10"/>
                <w:sz w:val="26"/>
                <w:szCs w:val="26"/>
                <w:highlight w:val="none"/>
              </w:rPr>
            </w:pPr>
            <w:r>
              <w:rPr>
                <w:bCs/>
                <w:color w:val="auto"/>
                <w:spacing w:val="-10"/>
                <w:sz w:val="26"/>
                <w:szCs w:val="26"/>
                <w:highlight w:val="none"/>
              </w:rPr>
              <w:t>环评要求项目一旦发生非正常排放，必须立即停产，对废气处理设施进行及时检修。为杜绝废气非正常排放，应采取以下措施确保废气达标排放：</w:t>
            </w:r>
          </w:p>
          <w:p w14:paraId="2635ED2F">
            <w:pPr>
              <w:tabs>
                <w:tab w:val="left" w:pos="3855"/>
                <w:tab w:val="center" w:pos="3955"/>
              </w:tabs>
              <w:adjustRightInd w:val="0"/>
              <w:snapToGrid w:val="0"/>
              <w:spacing w:line="460" w:lineRule="exact"/>
              <w:ind w:firstLine="480" w:firstLineChars="200"/>
              <w:rPr>
                <w:bCs/>
                <w:color w:val="auto"/>
                <w:spacing w:val="-10"/>
                <w:sz w:val="26"/>
                <w:szCs w:val="26"/>
                <w:highlight w:val="none"/>
              </w:rPr>
            </w:pPr>
            <w:r>
              <w:rPr>
                <w:bCs/>
                <w:color w:val="auto"/>
                <w:spacing w:val="-10"/>
                <w:sz w:val="26"/>
                <w:szCs w:val="26"/>
                <w:highlight w:val="none"/>
              </w:rPr>
              <w:t>①安排专人负责环保设备的日常维护和管理，每隔固定时间检查、汇报情况，及时发现废气处理设备的隐患，确保废气处理系统正常运行；</w:t>
            </w:r>
          </w:p>
          <w:p w14:paraId="7DE5149C">
            <w:pPr>
              <w:tabs>
                <w:tab w:val="left" w:pos="3855"/>
                <w:tab w:val="center" w:pos="3955"/>
              </w:tabs>
              <w:adjustRightInd w:val="0"/>
              <w:snapToGrid w:val="0"/>
              <w:spacing w:line="460" w:lineRule="exact"/>
              <w:ind w:firstLine="480" w:firstLineChars="200"/>
              <w:rPr>
                <w:bCs/>
                <w:color w:val="auto"/>
                <w:spacing w:val="-10"/>
                <w:sz w:val="26"/>
                <w:szCs w:val="26"/>
                <w:highlight w:val="none"/>
              </w:rPr>
            </w:pPr>
            <w:r>
              <w:rPr>
                <w:bCs/>
                <w:color w:val="auto"/>
                <w:spacing w:val="-10"/>
                <w:sz w:val="26"/>
                <w:szCs w:val="26"/>
                <w:highlight w:val="none"/>
              </w:rPr>
              <w:t>②建立健全的环保管理机构，对环保管理人员和技术人员进行岗位培训，委托具有专业资质的</w:t>
            </w:r>
            <w:bookmarkStart w:id="79" w:name="hmcheck_58ba0fb6561340c0846278b83fafd940"/>
            <w:r>
              <w:rPr>
                <w:bCs/>
                <w:color w:val="auto"/>
                <w:spacing w:val="-10"/>
                <w:sz w:val="26"/>
                <w:szCs w:val="26"/>
                <w:highlight w:val="none"/>
                <w:shd w:val="clear" w:fill="FFAFAA"/>
              </w:rPr>
              <w:t>环境检测</w:t>
            </w:r>
            <w:bookmarkEnd w:id="79"/>
            <w:r>
              <w:rPr>
                <w:bCs/>
                <w:color w:val="auto"/>
                <w:spacing w:val="-10"/>
                <w:sz w:val="26"/>
                <w:szCs w:val="26"/>
                <w:highlight w:val="none"/>
              </w:rPr>
              <w:t>单位对项目排放的各类污染物进行定期检测；</w:t>
            </w:r>
          </w:p>
          <w:p w14:paraId="383B6AA4">
            <w:pPr>
              <w:tabs>
                <w:tab w:val="left" w:pos="3855"/>
                <w:tab w:val="center" w:pos="3955"/>
              </w:tabs>
              <w:adjustRightInd w:val="0"/>
              <w:snapToGrid w:val="0"/>
              <w:spacing w:line="460" w:lineRule="exact"/>
              <w:ind w:firstLine="480" w:firstLineChars="200"/>
              <w:rPr>
                <w:bCs/>
                <w:color w:val="auto"/>
                <w:spacing w:val="-10"/>
                <w:sz w:val="26"/>
                <w:szCs w:val="26"/>
                <w:highlight w:val="none"/>
              </w:rPr>
            </w:pPr>
            <w:r>
              <w:rPr>
                <w:bCs/>
                <w:color w:val="auto"/>
                <w:spacing w:val="-10"/>
                <w:sz w:val="26"/>
                <w:szCs w:val="26"/>
                <w:highlight w:val="none"/>
              </w:rPr>
              <w:t>③应定期维护、检修废气处理装置，以保持废气处理装置的净化能力和净化容量。</w:t>
            </w:r>
          </w:p>
          <w:p w14:paraId="61253512">
            <w:pPr>
              <w:spacing w:line="480" w:lineRule="exact"/>
              <w:ind w:firstLine="522" w:firstLineChars="200"/>
              <w:rPr>
                <w:rFonts w:eastAsiaTheme="minorEastAsia"/>
                <w:b/>
                <w:color w:val="auto"/>
                <w:sz w:val="26"/>
                <w:szCs w:val="26"/>
                <w:highlight w:val="none"/>
              </w:rPr>
            </w:pPr>
            <w:r>
              <w:rPr>
                <w:rFonts w:eastAsiaTheme="minorEastAsia"/>
                <w:b/>
                <w:color w:val="auto"/>
                <w:sz w:val="26"/>
                <w:szCs w:val="26"/>
                <w:highlight w:val="none"/>
              </w:rPr>
              <w:t>4.2.1.3废气处理措施的可行性分析</w:t>
            </w:r>
          </w:p>
          <w:p w14:paraId="38C31D75">
            <w:pPr>
              <w:numPr>
                <w:ilvl w:val="0"/>
                <w:numId w:val="12"/>
              </w:numPr>
              <w:spacing w:line="480" w:lineRule="exact"/>
              <w:ind w:firstLine="522" w:firstLineChars="200"/>
              <w:rPr>
                <w:rFonts w:eastAsiaTheme="minorEastAsia"/>
                <w:b/>
                <w:color w:val="auto"/>
                <w:sz w:val="26"/>
                <w:szCs w:val="26"/>
                <w:highlight w:val="none"/>
              </w:rPr>
            </w:pPr>
            <w:r>
              <w:rPr>
                <w:rFonts w:eastAsiaTheme="minorEastAsia"/>
                <w:b/>
                <w:color w:val="auto"/>
                <w:sz w:val="26"/>
                <w:szCs w:val="26"/>
                <w:highlight w:val="none"/>
              </w:rPr>
              <w:t>颗粒物治理措施可行性分析</w:t>
            </w:r>
          </w:p>
          <w:p w14:paraId="622589A7">
            <w:pPr>
              <w:spacing w:line="460" w:lineRule="exact"/>
              <w:ind w:firstLine="520" w:firstLineChars="200"/>
              <w:rPr>
                <w:color w:val="auto"/>
                <w:sz w:val="26"/>
                <w:szCs w:val="26"/>
                <w:highlight w:val="none"/>
              </w:rPr>
            </w:pPr>
            <w:r>
              <w:rPr>
                <w:rFonts w:hint="eastAsia"/>
                <w:color w:val="auto"/>
                <w:sz w:val="26"/>
                <w:szCs w:val="26"/>
                <w:highlight w:val="none"/>
              </w:rPr>
              <w:t>本项目</w:t>
            </w:r>
            <w:r>
              <w:rPr>
                <w:color w:val="auto"/>
                <w:sz w:val="26"/>
                <w:szCs w:val="26"/>
                <w:highlight w:val="none"/>
              </w:rPr>
              <w:t>激光切割设备全密闭，产生的切割粉尘</w:t>
            </w:r>
            <w:r>
              <w:rPr>
                <w:rFonts w:hint="eastAsia"/>
                <w:color w:val="auto"/>
                <w:sz w:val="26"/>
                <w:szCs w:val="26"/>
                <w:highlight w:val="none"/>
              </w:rPr>
              <w:t>主要为大颗粒金属粉尘，</w:t>
            </w:r>
            <w:r>
              <w:rPr>
                <w:color w:val="auto"/>
                <w:sz w:val="26"/>
                <w:szCs w:val="26"/>
                <w:highlight w:val="none"/>
              </w:rPr>
              <w:t>经设备自带的</w:t>
            </w:r>
            <w:r>
              <w:rPr>
                <w:rFonts w:hint="eastAsia"/>
                <w:color w:val="auto"/>
                <w:sz w:val="26"/>
                <w:szCs w:val="26"/>
                <w:highlight w:val="none"/>
              </w:rPr>
              <w:t>滤芯</w:t>
            </w:r>
            <w:r>
              <w:rPr>
                <w:color w:val="auto"/>
                <w:sz w:val="26"/>
                <w:szCs w:val="26"/>
                <w:highlight w:val="none"/>
              </w:rPr>
              <w:t>除尘器处理后在厂房内无组织排放</w:t>
            </w:r>
            <w:r>
              <w:rPr>
                <w:rFonts w:hint="eastAsia"/>
                <w:color w:val="auto"/>
                <w:sz w:val="26"/>
                <w:szCs w:val="26"/>
                <w:highlight w:val="none"/>
              </w:rPr>
              <w:t>；不合格品返修工序因工位不固定、需不停移动，其产生打磨粉尘、补焊烟尘经过移动式</w:t>
            </w:r>
            <w:r>
              <w:rPr>
                <w:rFonts w:hint="eastAsia"/>
                <w:color w:val="auto"/>
                <w:sz w:val="26"/>
                <w:szCs w:val="26"/>
                <w:highlight w:val="none"/>
                <w:lang w:eastAsia="zh-CN"/>
              </w:rPr>
              <w:t>滤芯除尘器</w:t>
            </w:r>
            <w:r>
              <w:rPr>
                <w:rFonts w:hint="eastAsia"/>
                <w:color w:val="auto"/>
                <w:sz w:val="26"/>
                <w:szCs w:val="26"/>
                <w:highlight w:val="none"/>
              </w:rPr>
              <w:t>（含集气设备），打磨粉尘经收集处理后厂房内无组织排放；固定式弧焊位于封闭式弧焊间内，顶部设置废气收集口及废气管道，废气</w:t>
            </w:r>
            <w:r>
              <w:rPr>
                <w:rFonts w:hint="eastAsia"/>
                <w:color w:val="auto"/>
                <w:sz w:val="26"/>
                <w:szCs w:val="26"/>
                <w:highlight w:val="none"/>
                <w:lang w:eastAsia="zh-CN"/>
              </w:rPr>
              <w:t>收集</w:t>
            </w:r>
            <w:r>
              <w:rPr>
                <w:rFonts w:hint="eastAsia"/>
                <w:color w:val="auto"/>
                <w:sz w:val="26"/>
                <w:szCs w:val="26"/>
                <w:highlight w:val="none"/>
              </w:rPr>
              <w:t>后经滤芯除尘器处理后由15m排气筒（DA001）排放；滤芯除尘器</w:t>
            </w:r>
            <w:r>
              <w:rPr>
                <w:rFonts w:hint="eastAsia"/>
                <w:color w:val="auto"/>
                <w:sz w:val="26"/>
                <w:szCs w:val="26"/>
                <w:highlight w:val="none"/>
                <w:lang w:eastAsia="zh-CN"/>
              </w:rPr>
              <w:t>为高效</w:t>
            </w:r>
            <w:r>
              <w:rPr>
                <w:rFonts w:hint="eastAsia"/>
                <w:color w:val="auto"/>
                <w:sz w:val="26"/>
                <w:szCs w:val="26"/>
                <w:highlight w:val="none"/>
              </w:rPr>
              <w:t>除尘技术</w:t>
            </w:r>
            <w:r>
              <w:rPr>
                <w:rFonts w:hint="eastAsia"/>
                <w:color w:val="auto"/>
                <w:sz w:val="26"/>
                <w:szCs w:val="26"/>
                <w:highlight w:val="none"/>
                <w:lang w:eastAsia="zh-CN"/>
              </w:rPr>
              <w:t>，</w:t>
            </w:r>
            <w:r>
              <w:rPr>
                <w:rFonts w:hint="eastAsia"/>
                <w:color w:val="auto"/>
                <w:sz w:val="26"/>
                <w:szCs w:val="26"/>
                <w:highlight w:val="none"/>
              </w:rPr>
              <w:t>属于《汽车工业污染防治可行技术指南》（HJ1181-2021）可行技术，满足《排污许可证申请与核发技术规范  汽车制造业》（HJ971--2018）要求，废气治理措施可行。</w:t>
            </w:r>
          </w:p>
          <w:p w14:paraId="624CD0AD">
            <w:pPr>
              <w:pStyle w:val="93"/>
              <w:spacing w:line="480" w:lineRule="exact"/>
              <w:rPr>
                <w:color w:val="auto"/>
                <w:sz w:val="26"/>
                <w:szCs w:val="26"/>
                <w:highlight w:val="none"/>
              </w:rPr>
            </w:pPr>
            <w:r>
              <w:rPr>
                <w:color w:val="auto"/>
                <w:sz w:val="26"/>
                <w:szCs w:val="26"/>
                <w:highlight w:val="none"/>
              </w:rPr>
              <w:t>本项目固定式弧焊位于封闭式弧焊间内</w:t>
            </w:r>
            <w:r>
              <w:rPr>
                <w:rFonts w:hint="eastAsia"/>
                <w:color w:val="auto"/>
                <w:sz w:val="26"/>
                <w:szCs w:val="26"/>
                <w:highlight w:val="none"/>
              </w:rPr>
              <w:t>，共设置2个封闭式弧焊间，兼做集气罩，两面围闭，两侧操作侧设卷帘门，顶部设抽风管道使得其内保持一定的负压，焊接操作时卷帘门放下，整体收集效率可达到85%以上。排风量计算见下：</w:t>
            </w:r>
          </w:p>
          <w:p w14:paraId="24CCE6BE">
            <w:pPr>
              <w:adjustRightInd w:val="0"/>
              <w:snapToGrid w:val="0"/>
              <w:spacing w:line="480" w:lineRule="exact"/>
              <w:ind w:firstLine="520" w:firstLineChars="200"/>
              <w:rPr>
                <w:bCs/>
                <w:color w:val="auto"/>
                <w:sz w:val="26"/>
                <w:szCs w:val="26"/>
                <w:highlight w:val="none"/>
              </w:rPr>
            </w:pPr>
            <w:r>
              <w:rPr>
                <w:rFonts w:hint="eastAsia"/>
                <w:bCs/>
                <w:color w:val="auto"/>
                <w:sz w:val="26"/>
                <w:szCs w:val="26"/>
                <w:highlight w:val="none"/>
              </w:rPr>
              <w:t>按密闭空间开口断面风速计算排风量：</w:t>
            </w:r>
          </w:p>
          <w:p w14:paraId="6AE7F736">
            <w:pPr>
              <w:pStyle w:val="99"/>
              <w:adjustRightInd w:val="0"/>
              <w:snapToGrid w:val="0"/>
              <w:spacing w:line="480" w:lineRule="exact"/>
              <w:ind w:firstLine="520"/>
              <w:jc w:val="center"/>
              <w:rPr>
                <w:color w:val="auto"/>
                <w:sz w:val="26"/>
                <w:szCs w:val="26"/>
                <w:highlight w:val="none"/>
              </w:rPr>
            </w:pPr>
            <w:r>
              <w:rPr>
                <w:color w:val="auto"/>
                <w:sz w:val="26"/>
                <w:szCs w:val="26"/>
                <w:highlight w:val="none"/>
              </w:rPr>
              <w:t>Q=</w:t>
            </w:r>
            <w:r>
              <w:rPr>
                <w:rFonts w:hint="eastAsia"/>
                <w:color w:val="auto"/>
                <w:sz w:val="26"/>
                <w:szCs w:val="26"/>
                <w:highlight w:val="none"/>
              </w:rPr>
              <w:t>V</w:t>
            </w:r>
            <w:r>
              <w:rPr>
                <w:rFonts w:hint="eastAsia" w:ascii="微软雅黑" w:hAnsi="微软雅黑" w:eastAsia="微软雅黑" w:cs="微软雅黑"/>
                <w:color w:val="auto"/>
                <w:sz w:val="26"/>
                <w:szCs w:val="26"/>
                <w:highlight w:val="none"/>
              </w:rPr>
              <w:t>·</w:t>
            </w:r>
            <w:r>
              <w:rPr>
                <w:rFonts w:hint="eastAsia"/>
                <w:color w:val="auto"/>
                <w:sz w:val="26"/>
                <w:szCs w:val="26"/>
                <w:highlight w:val="none"/>
              </w:rPr>
              <w:t>F</w:t>
            </w:r>
            <w:r>
              <w:rPr>
                <w:rFonts w:hint="eastAsia" w:ascii="微软雅黑" w:hAnsi="微软雅黑" w:eastAsia="微软雅黑" w:cs="微软雅黑"/>
                <w:color w:val="auto"/>
                <w:sz w:val="26"/>
                <w:szCs w:val="26"/>
                <w:highlight w:val="none"/>
              </w:rPr>
              <w:t>·</w:t>
            </w:r>
            <w:r>
              <w:rPr>
                <w:rFonts w:hint="eastAsia"/>
                <w:color w:val="auto"/>
                <w:sz w:val="26"/>
                <w:szCs w:val="26"/>
                <w:highlight w:val="none"/>
              </w:rPr>
              <w:t>3600</w:t>
            </w:r>
          </w:p>
          <w:p w14:paraId="7F2AF2B0">
            <w:pPr>
              <w:pStyle w:val="99"/>
              <w:adjustRightInd w:val="0"/>
              <w:snapToGrid w:val="0"/>
              <w:spacing w:line="480" w:lineRule="exact"/>
              <w:ind w:firstLine="520"/>
              <w:jc w:val="left"/>
              <w:rPr>
                <w:color w:val="auto"/>
                <w:sz w:val="26"/>
                <w:szCs w:val="26"/>
                <w:highlight w:val="none"/>
              </w:rPr>
            </w:pPr>
            <w:r>
              <w:rPr>
                <w:color w:val="auto"/>
                <w:sz w:val="26"/>
                <w:szCs w:val="26"/>
                <w:highlight w:val="none"/>
              </w:rPr>
              <w:t>Q——风量</w:t>
            </w:r>
            <w:r>
              <w:rPr>
                <w:rFonts w:hint="eastAsia"/>
                <w:color w:val="auto"/>
                <w:sz w:val="26"/>
                <w:szCs w:val="26"/>
                <w:highlight w:val="none"/>
              </w:rPr>
              <w:t>，</w:t>
            </w:r>
            <w:r>
              <w:rPr>
                <w:color w:val="auto"/>
                <w:sz w:val="26"/>
                <w:szCs w:val="26"/>
                <w:highlight w:val="none"/>
              </w:rPr>
              <w:t>m</w:t>
            </w:r>
            <w:r>
              <w:rPr>
                <w:color w:val="auto"/>
                <w:sz w:val="26"/>
                <w:szCs w:val="26"/>
                <w:highlight w:val="none"/>
                <w:vertAlign w:val="superscript"/>
              </w:rPr>
              <w:t>3</w:t>
            </w:r>
            <w:r>
              <w:rPr>
                <w:rFonts w:hint="eastAsia"/>
                <w:color w:val="auto"/>
                <w:sz w:val="26"/>
                <w:szCs w:val="26"/>
                <w:highlight w:val="none"/>
              </w:rPr>
              <w:t>/h。</w:t>
            </w:r>
          </w:p>
          <w:p w14:paraId="14679512">
            <w:pPr>
              <w:pStyle w:val="99"/>
              <w:adjustRightInd w:val="0"/>
              <w:snapToGrid w:val="0"/>
              <w:spacing w:line="480" w:lineRule="exact"/>
              <w:ind w:firstLine="520"/>
              <w:jc w:val="left"/>
              <w:rPr>
                <w:color w:val="auto"/>
                <w:sz w:val="26"/>
                <w:szCs w:val="26"/>
                <w:highlight w:val="none"/>
              </w:rPr>
            </w:pPr>
            <w:r>
              <w:rPr>
                <w:rFonts w:hint="eastAsia"/>
                <w:color w:val="auto"/>
                <w:sz w:val="26"/>
                <w:szCs w:val="26"/>
                <w:highlight w:val="none"/>
              </w:rPr>
              <w:t>F</w:t>
            </w:r>
            <w:r>
              <w:rPr>
                <w:color w:val="auto"/>
                <w:sz w:val="26"/>
                <w:szCs w:val="26"/>
                <w:highlight w:val="none"/>
              </w:rPr>
              <w:t>——</w:t>
            </w:r>
            <w:r>
              <w:rPr>
                <w:rFonts w:hint="eastAsia"/>
                <w:color w:val="auto"/>
                <w:sz w:val="26"/>
                <w:szCs w:val="26"/>
                <w:highlight w:val="none"/>
              </w:rPr>
              <w:t>进风面</w:t>
            </w:r>
            <w:r>
              <w:rPr>
                <w:color w:val="auto"/>
                <w:sz w:val="26"/>
                <w:szCs w:val="26"/>
                <w:highlight w:val="none"/>
              </w:rPr>
              <w:t>面积</w:t>
            </w:r>
            <w:r>
              <w:rPr>
                <w:rFonts w:hint="eastAsia"/>
                <w:color w:val="auto"/>
                <w:sz w:val="26"/>
                <w:szCs w:val="26"/>
                <w:highlight w:val="none"/>
              </w:rPr>
              <w:t>，</w:t>
            </w:r>
            <w:r>
              <w:rPr>
                <w:color w:val="auto"/>
                <w:sz w:val="26"/>
                <w:szCs w:val="26"/>
                <w:highlight w:val="none"/>
              </w:rPr>
              <w:t>m</w:t>
            </w:r>
            <w:r>
              <w:rPr>
                <w:color w:val="auto"/>
                <w:sz w:val="26"/>
                <w:szCs w:val="26"/>
                <w:highlight w:val="none"/>
                <w:vertAlign w:val="superscript"/>
              </w:rPr>
              <w:t>2</w:t>
            </w:r>
            <w:r>
              <w:rPr>
                <w:color w:val="auto"/>
                <w:sz w:val="26"/>
                <w:szCs w:val="26"/>
                <w:highlight w:val="none"/>
              </w:rPr>
              <w:t>；</w:t>
            </w:r>
            <w:r>
              <w:rPr>
                <w:rFonts w:hint="eastAsia"/>
                <w:color w:val="auto"/>
                <w:sz w:val="26"/>
                <w:szCs w:val="26"/>
                <w:highlight w:val="none"/>
              </w:rPr>
              <w:t>本次评价按最不利考虑，即弧焊间一侧卷帘门</w:t>
            </w:r>
            <w:r>
              <w:rPr>
                <w:rFonts w:hint="eastAsia"/>
                <w:color w:val="auto"/>
                <w:sz w:val="26"/>
                <w:szCs w:val="26"/>
                <w:highlight w:val="none"/>
                <w:lang w:eastAsia="zh-CN"/>
              </w:rPr>
              <w:t>完全</w:t>
            </w:r>
            <w:r>
              <w:rPr>
                <w:rFonts w:hint="eastAsia"/>
                <w:color w:val="auto"/>
                <w:sz w:val="26"/>
                <w:szCs w:val="26"/>
                <w:highlight w:val="none"/>
              </w:rPr>
              <w:t>开启计算，进风面面积取2</w:t>
            </w:r>
            <w:r>
              <w:rPr>
                <w:rFonts w:ascii="Arial" w:hAnsi="Arial" w:cs="Arial"/>
                <w:color w:val="auto"/>
                <w:sz w:val="26"/>
                <w:szCs w:val="26"/>
                <w:highlight w:val="none"/>
              </w:rPr>
              <w:t>×</w:t>
            </w:r>
            <w:r>
              <w:rPr>
                <w:rFonts w:hint="eastAsia"/>
                <w:color w:val="auto"/>
                <w:sz w:val="26"/>
                <w:szCs w:val="26"/>
                <w:highlight w:val="none"/>
              </w:rPr>
              <w:t xml:space="preserve">2=4 </w:t>
            </w:r>
            <w:r>
              <w:rPr>
                <w:color w:val="auto"/>
                <w:sz w:val="26"/>
                <w:szCs w:val="26"/>
                <w:highlight w:val="none"/>
              </w:rPr>
              <w:t>m</w:t>
            </w:r>
            <w:r>
              <w:rPr>
                <w:color w:val="auto"/>
                <w:sz w:val="26"/>
                <w:szCs w:val="26"/>
                <w:highlight w:val="none"/>
                <w:vertAlign w:val="superscript"/>
              </w:rPr>
              <w:t>2</w:t>
            </w:r>
            <w:r>
              <w:rPr>
                <w:rFonts w:hint="eastAsia"/>
                <w:color w:val="auto"/>
                <w:sz w:val="26"/>
                <w:szCs w:val="26"/>
                <w:highlight w:val="none"/>
              </w:rPr>
              <w:t>。</w:t>
            </w:r>
          </w:p>
          <w:p w14:paraId="3B33E2FF">
            <w:pPr>
              <w:pStyle w:val="99"/>
              <w:adjustRightInd w:val="0"/>
              <w:snapToGrid w:val="0"/>
              <w:spacing w:line="480" w:lineRule="exact"/>
              <w:ind w:firstLine="520"/>
              <w:jc w:val="left"/>
              <w:rPr>
                <w:bCs/>
                <w:color w:val="auto"/>
                <w:kern w:val="2"/>
                <w:sz w:val="26"/>
                <w:szCs w:val="26"/>
                <w:highlight w:val="none"/>
              </w:rPr>
            </w:pPr>
            <w:r>
              <w:rPr>
                <w:rFonts w:hint="eastAsia"/>
                <w:color w:val="auto"/>
                <w:sz w:val="26"/>
                <w:szCs w:val="26"/>
                <w:highlight w:val="none"/>
              </w:rPr>
              <w:t>v</w:t>
            </w:r>
            <w:r>
              <w:rPr>
                <w:color w:val="auto"/>
                <w:sz w:val="26"/>
                <w:szCs w:val="26"/>
                <w:highlight w:val="none"/>
              </w:rPr>
              <w:t>——</w:t>
            </w:r>
            <w:r>
              <w:rPr>
                <w:rFonts w:hint="eastAsia"/>
                <w:color w:val="auto"/>
                <w:sz w:val="26"/>
                <w:szCs w:val="26"/>
                <w:highlight w:val="none"/>
              </w:rPr>
              <w:t>控制风速、</w:t>
            </w:r>
            <w:r>
              <w:rPr>
                <w:color w:val="auto"/>
                <w:sz w:val="26"/>
                <w:szCs w:val="26"/>
                <w:highlight w:val="none"/>
              </w:rPr>
              <w:t>m/s</w:t>
            </w:r>
            <w:r>
              <w:rPr>
                <w:rFonts w:hint="eastAsia"/>
                <w:color w:val="auto"/>
                <w:sz w:val="26"/>
                <w:szCs w:val="26"/>
                <w:highlight w:val="none"/>
              </w:rPr>
              <w:t>，采用车间整体密闭，开启的外门、外窗取1.2~1.5m/s，其他进风面取0.4~0.6m/s；本评价按0.5m/s考虑</w:t>
            </w:r>
            <w:r>
              <w:rPr>
                <w:color w:val="auto"/>
                <w:sz w:val="26"/>
                <w:szCs w:val="26"/>
                <w:highlight w:val="none"/>
              </w:rPr>
              <w:t>。</w:t>
            </w:r>
          </w:p>
          <w:p w14:paraId="3BE8C271">
            <w:pPr>
              <w:spacing w:line="460" w:lineRule="exact"/>
              <w:ind w:firstLine="520" w:firstLineChars="200"/>
              <w:rPr>
                <w:color w:val="auto"/>
                <w:sz w:val="26"/>
                <w:szCs w:val="26"/>
                <w:highlight w:val="none"/>
              </w:rPr>
            </w:pPr>
            <w:r>
              <w:rPr>
                <w:rFonts w:hint="eastAsia"/>
                <w:color w:val="auto"/>
                <w:sz w:val="26"/>
                <w:szCs w:val="26"/>
                <w:highlight w:val="none"/>
              </w:rPr>
              <w:t>则2个弧焊间计算中排风量为14400m³/h。本项目设计焊接烟尘处理设施设计风量为15000m³/h，满足不利情况下（弧焊间一侧卷帘门因生产工作需要开启时）风量需求。焊接烟尘处理后排放速率及最大排放浓度均</w:t>
            </w:r>
            <w:r>
              <w:rPr>
                <w:color w:val="auto"/>
                <w:sz w:val="26"/>
                <w:szCs w:val="26"/>
                <w:highlight w:val="none"/>
              </w:rPr>
              <w:t>满足《大气污染物综合排放标准》（DB50/418-2016）中有组织排放标准</w:t>
            </w:r>
            <w:r>
              <w:rPr>
                <w:color w:val="auto"/>
                <w:sz w:val="26"/>
                <w:szCs w:val="20"/>
                <w:highlight w:val="none"/>
                <w:lang w:val="zh-CN"/>
              </w:rPr>
              <w:t>（排放速率</w:t>
            </w:r>
            <w:r>
              <w:rPr>
                <w:rFonts w:hint="eastAsia"/>
                <w:color w:val="auto"/>
                <w:sz w:val="26"/>
                <w:szCs w:val="20"/>
                <w:highlight w:val="none"/>
              </w:rPr>
              <w:t>1.5</w:t>
            </w:r>
            <w:r>
              <w:rPr>
                <w:color w:val="auto"/>
                <w:sz w:val="26"/>
                <w:szCs w:val="20"/>
                <w:highlight w:val="none"/>
                <w:lang w:val="zh-CN"/>
              </w:rPr>
              <w:t>kg/h、排放浓度</w:t>
            </w:r>
            <w:r>
              <w:rPr>
                <w:color w:val="auto"/>
                <w:sz w:val="26"/>
                <w:szCs w:val="20"/>
                <w:highlight w:val="none"/>
              </w:rPr>
              <w:t>100</w:t>
            </w:r>
            <w:r>
              <w:rPr>
                <w:color w:val="auto"/>
                <w:sz w:val="26"/>
                <w:szCs w:val="20"/>
                <w:highlight w:val="none"/>
                <w:lang w:val="zh-CN"/>
              </w:rPr>
              <w:t>mg/m</w:t>
            </w:r>
            <w:r>
              <w:rPr>
                <w:color w:val="auto"/>
                <w:sz w:val="26"/>
                <w:szCs w:val="20"/>
                <w:highlight w:val="none"/>
                <w:vertAlign w:val="superscript"/>
                <w:lang w:val="zh-CN"/>
              </w:rPr>
              <w:t>3</w:t>
            </w:r>
            <w:r>
              <w:rPr>
                <w:color w:val="auto"/>
                <w:sz w:val="26"/>
                <w:szCs w:val="20"/>
                <w:highlight w:val="none"/>
                <w:lang w:val="zh-CN"/>
              </w:rPr>
              <w:t>）</w:t>
            </w:r>
            <w:r>
              <w:rPr>
                <w:color w:val="auto"/>
                <w:sz w:val="26"/>
                <w:szCs w:val="26"/>
                <w:highlight w:val="none"/>
              </w:rPr>
              <w:t>。</w:t>
            </w:r>
          </w:p>
          <w:p w14:paraId="1ACEAE37">
            <w:pPr>
              <w:spacing w:line="460" w:lineRule="exact"/>
              <w:ind w:firstLine="520" w:firstLineChars="200"/>
              <w:rPr>
                <w:color w:val="auto"/>
                <w:sz w:val="26"/>
                <w:szCs w:val="26"/>
                <w:highlight w:val="none"/>
              </w:rPr>
            </w:pPr>
            <w:r>
              <w:rPr>
                <w:color w:val="auto"/>
                <w:sz w:val="26"/>
                <w:szCs w:val="26"/>
                <w:highlight w:val="none"/>
              </w:rPr>
              <w:t>综上，本项目的废气风量满足要求，采用</w:t>
            </w:r>
            <w:r>
              <w:rPr>
                <w:rFonts w:hint="eastAsia"/>
                <w:color w:val="auto"/>
                <w:sz w:val="26"/>
                <w:szCs w:val="26"/>
                <w:highlight w:val="none"/>
              </w:rPr>
              <w:t>滤芯除尘器为高效除尘技术</w:t>
            </w:r>
            <w:r>
              <w:rPr>
                <w:rFonts w:hint="eastAsia"/>
                <w:color w:val="auto"/>
                <w:sz w:val="26"/>
                <w:szCs w:val="26"/>
                <w:highlight w:val="none"/>
                <w:lang w:eastAsia="zh-CN"/>
              </w:rPr>
              <w:t>，</w:t>
            </w:r>
            <w:r>
              <w:rPr>
                <w:rFonts w:hint="eastAsia"/>
                <w:color w:val="auto"/>
                <w:sz w:val="26"/>
                <w:szCs w:val="26"/>
                <w:highlight w:val="none"/>
              </w:rPr>
              <w:t>属于</w:t>
            </w:r>
            <w:r>
              <w:rPr>
                <w:color w:val="auto"/>
                <w:sz w:val="26"/>
                <w:szCs w:val="26"/>
                <w:highlight w:val="none"/>
              </w:rPr>
              <w:t>《汽车工业污染防治可行技术指南》（HJ1181-2021）</w:t>
            </w:r>
            <w:r>
              <w:rPr>
                <w:rFonts w:hint="eastAsia"/>
                <w:color w:val="auto"/>
                <w:sz w:val="26"/>
                <w:szCs w:val="26"/>
                <w:highlight w:val="none"/>
              </w:rPr>
              <w:t>可行技术</w:t>
            </w:r>
            <w:r>
              <w:rPr>
                <w:color w:val="auto"/>
                <w:sz w:val="26"/>
                <w:szCs w:val="26"/>
                <w:highlight w:val="none"/>
              </w:rPr>
              <w:t>，</w:t>
            </w:r>
            <w:r>
              <w:rPr>
                <w:rFonts w:hint="eastAsia"/>
                <w:color w:val="auto"/>
                <w:sz w:val="26"/>
                <w:szCs w:val="26"/>
                <w:highlight w:val="none"/>
                <w:lang w:eastAsia="zh-CN"/>
              </w:rPr>
              <w:t>满足《排污许可证申请与核发技术规范  汽车制造业》（HJ971--2018）要求，</w:t>
            </w:r>
            <w:r>
              <w:rPr>
                <w:color w:val="auto"/>
                <w:sz w:val="26"/>
                <w:szCs w:val="26"/>
                <w:highlight w:val="none"/>
              </w:rPr>
              <w:t>废气治理措施可行。</w:t>
            </w:r>
          </w:p>
          <w:p w14:paraId="03A14B6C">
            <w:pPr>
              <w:spacing w:line="480" w:lineRule="exact"/>
              <w:ind w:firstLine="522" w:firstLineChars="200"/>
              <w:rPr>
                <w:rFonts w:eastAsiaTheme="minorEastAsia"/>
                <w:b/>
                <w:color w:val="auto"/>
                <w:sz w:val="26"/>
                <w:szCs w:val="26"/>
                <w:highlight w:val="none"/>
              </w:rPr>
            </w:pPr>
            <w:r>
              <w:rPr>
                <w:rFonts w:eastAsiaTheme="minorEastAsia"/>
                <w:b/>
                <w:color w:val="auto"/>
                <w:sz w:val="26"/>
                <w:szCs w:val="26"/>
                <w:highlight w:val="none"/>
              </w:rPr>
              <w:t>（2）有机废气治理措施可行性分析</w:t>
            </w:r>
          </w:p>
          <w:p w14:paraId="60D6B052">
            <w:pPr>
              <w:widowControl/>
              <w:spacing w:line="480" w:lineRule="exact"/>
              <w:ind w:firstLine="520" w:firstLineChars="200"/>
              <w:jc w:val="left"/>
              <w:rPr>
                <w:rFonts w:eastAsiaTheme="minorEastAsia"/>
                <w:color w:val="auto"/>
                <w:sz w:val="26"/>
                <w:szCs w:val="26"/>
                <w:highlight w:val="none"/>
              </w:rPr>
            </w:pPr>
            <w:r>
              <w:rPr>
                <w:rFonts w:eastAsiaTheme="minorEastAsia"/>
                <w:color w:val="auto"/>
                <w:sz w:val="26"/>
                <w:szCs w:val="26"/>
                <w:highlight w:val="none"/>
              </w:rPr>
              <w:t>根据《挥发性有机物无组织排放控制标准》（GB37822-2019）中“10.3.2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另外，根据生态环境部2020年6月印发的《关于印发&lt;2020年挥发性有机物治理攻坚方案&gt;的通知》（环大气〔2020〕33号）中均规定：“企业采用符合国家有关低VOCs含量产品规定的涂料、油墨、</w:t>
            </w:r>
            <w:bookmarkStart w:id="80" w:name="hmcheck_859c0e75986a43dc8944a33ed1b81739"/>
            <w:r>
              <w:rPr>
                <w:rFonts w:hint="eastAsia" w:eastAsiaTheme="minorEastAsia"/>
                <w:color w:val="auto"/>
                <w:sz w:val="26"/>
                <w:szCs w:val="26"/>
                <w:highlight w:val="none"/>
                <w:shd w:val="clear" w:fill="B2E9BC"/>
                <w:lang w:eastAsia="zh-CN"/>
              </w:rPr>
              <w:t>胶黏剂</w:t>
            </w:r>
            <w:bookmarkEnd w:id="80"/>
            <w:r>
              <w:rPr>
                <w:rFonts w:eastAsiaTheme="minorEastAsia"/>
                <w:color w:val="auto"/>
                <w:sz w:val="26"/>
                <w:szCs w:val="26"/>
                <w:highlight w:val="none"/>
              </w:rPr>
              <w:t>等，排放浓度稳定达标且排放速率、排放绩效等满足相关规定的，相应生产工序可不要求建设末端治理设施。使用的原辅材料VOCs含量（质量比）低于10%的工序，可不要求采取无组织排放收集措施。”</w:t>
            </w:r>
          </w:p>
          <w:p w14:paraId="6EFD63B5">
            <w:pPr>
              <w:widowControl/>
              <w:spacing w:line="480" w:lineRule="exact"/>
              <w:ind w:firstLine="520" w:firstLineChars="200"/>
              <w:jc w:val="left"/>
              <w:rPr>
                <w:rFonts w:eastAsiaTheme="minorEastAsia"/>
                <w:color w:val="auto"/>
                <w:sz w:val="26"/>
                <w:szCs w:val="26"/>
                <w:highlight w:val="none"/>
              </w:rPr>
            </w:pPr>
            <w:r>
              <w:rPr>
                <w:rFonts w:hint="eastAsia" w:eastAsiaTheme="minorEastAsia"/>
                <w:color w:val="auto"/>
                <w:sz w:val="26"/>
                <w:szCs w:val="26"/>
                <w:highlight w:val="none"/>
              </w:rPr>
              <w:t>本项目使用的折边胶为三友高分子技术有限公司汽车用钢板折边胶，以环氧树脂为主体，</w:t>
            </w:r>
            <w:r>
              <w:rPr>
                <w:rFonts w:hint="eastAsia" w:eastAsiaTheme="minorEastAsia"/>
                <w:color w:val="auto"/>
                <w:sz w:val="26"/>
                <w:szCs w:val="26"/>
                <w:highlight w:val="none"/>
                <w:lang w:eastAsia="zh-CN"/>
              </w:rPr>
              <w:t>产品质量标准执行《汽车用折边胶》（QC/T 852-2011），其中对不挥发物含量技术要求为≥98%</w:t>
            </w:r>
            <w:r>
              <w:rPr>
                <w:rFonts w:hint="eastAsia" w:eastAsiaTheme="minorEastAsia"/>
                <w:color w:val="auto"/>
                <w:sz w:val="26"/>
                <w:szCs w:val="26"/>
                <w:highlight w:val="none"/>
              </w:rPr>
              <w:t>，则其VOC含量&lt;2%，属于低挥发性</w:t>
            </w:r>
            <w:bookmarkStart w:id="81" w:name="hmcheck_a87e8e1e0fdd484086c3066fa9baf600"/>
            <w:r>
              <w:rPr>
                <w:rFonts w:hint="eastAsia" w:eastAsiaTheme="minorEastAsia"/>
                <w:color w:val="auto"/>
                <w:sz w:val="26"/>
                <w:szCs w:val="26"/>
                <w:highlight w:val="none"/>
                <w:shd w:val="clear" w:fill="B2E9BC"/>
                <w:lang w:eastAsia="zh-CN"/>
              </w:rPr>
              <w:t>胶黏剂</w:t>
            </w:r>
            <w:bookmarkEnd w:id="81"/>
            <w:r>
              <w:rPr>
                <w:rFonts w:hint="eastAsia" w:eastAsiaTheme="minorEastAsia"/>
                <w:color w:val="auto"/>
                <w:sz w:val="26"/>
                <w:szCs w:val="26"/>
                <w:highlight w:val="none"/>
              </w:rPr>
              <w:t>。</w:t>
            </w:r>
            <w:r>
              <w:rPr>
                <w:rFonts w:eastAsiaTheme="minorEastAsia"/>
                <w:color w:val="auto"/>
                <w:sz w:val="26"/>
                <w:szCs w:val="26"/>
                <w:highlight w:val="none"/>
              </w:rPr>
              <w:t>故涂胶粘接工序产生的有机废气通过加强车间通风后无组织排放，</w:t>
            </w:r>
            <w:r>
              <w:rPr>
                <w:rFonts w:hint="eastAsia" w:eastAsiaTheme="minorEastAsia"/>
                <w:color w:val="auto"/>
                <w:sz w:val="26"/>
                <w:szCs w:val="26"/>
                <w:highlight w:val="none"/>
              </w:rPr>
              <w:t>可不采取无组织收集处理措施</w:t>
            </w:r>
            <w:r>
              <w:rPr>
                <w:rFonts w:eastAsiaTheme="minorEastAsia"/>
                <w:color w:val="auto"/>
                <w:sz w:val="26"/>
                <w:szCs w:val="26"/>
                <w:highlight w:val="none"/>
              </w:rPr>
              <w:t>。</w:t>
            </w:r>
          </w:p>
          <w:p w14:paraId="6D16713D">
            <w:pPr>
              <w:pStyle w:val="81"/>
              <w:numPr>
                <w:ilvl w:val="0"/>
                <w:numId w:val="0"/>
              </w:numPr>
              <w:spacing w:line="460" w:lineRule="exact"/>
              <w:ind w:firstLine="522" w:firstLineChars="200"/>
              <w:jc w:val="both"/>
              <w:rPr>
                <w:rFonts w:eastAsia="宋体"/>
                <w:b/>
                <w:color w:val="auto"/>
                <w:sz w:val="26"/>
                <w:szCs w:val="26"/>
                <w:highlight w:val="none"/>
              </w:rPr>
            </w:pPr>
            <w:r>
              <w:rPr>
                <w:rFonts w:eastAsia="宋体"/>
                <w:b/>
                <w:color w:val="auto"/>
                <w:sz w:val="26"/>
                <w:szCs w:val="26"/>
                <w:highlight w:val="none"/>
              </w:rPr>
              <w:t>4.2.1.4本项目废气监测要求</w:t>
            </w:r>
          </w:p>
          <w:p w14:paraId="4B34B17E">
            <w:pPr>
              <w:spacing w:line="460" w:lineRule="exact"/>
              <w:ind w:firstLine="520" w:firstLineChars="200"/>
              <w:rPr>
                <w:color w:val="auto"/>
                <w:sz w:val="26"/>
                <w:szCs w:val="20"/>
                <w:highlight w:val="none"/>
                <w:lang w:val="zh-CN"/>
              </w:rPr>
            </w:pPr>
            <w:r>
              <w:rPr>
                <w:color w:val="auto"/>
                <w:sz w:val="26"/>
                <w:szCs w:val="20"/>
                <w:highlight w:val="none"/>
                <w:lang w:val="zh-CN"/>
              </w:rPr>
              <w:t>根据《排污单位自行监测技术指南</w:t>
            </w:r>
            <w:r>
              <w:rPr>
                <w:color w:val="auto"/>
                <w:sz w:val="26"/>
                <w:szCs w:val="20"/>
                <w:highlight w:val="none"/>
              </w:rPr>
              <w:t xml:space="preserve">  </w:t>
            </w:r>
            <w:r>
              <w:rPr>
                <w:color w:val="auto"/>
                <w:sz w:val="26"/>
                <w:szCs w:val="20"/>
                <w:highlight w:val="none"/>
                <w:lang w:val="zh-CN"/>
              </w:rPr>
              <w:t>总则》（HJ819-2017）、《排污许可证申请与核发技术规范 汽车制造业》（HJ971-2018）相关要求。项目废气监测要求见下表。</w:t>
            </w:r>
          </w:p>
          <w:p w14:paraId="62A39574">
            <w:pPr>
              <w:adjustRightInd w:val="0"/>
              <w:snapToGrid w:val="0"/>
              <w:jc w:val="center"/>
              <w:rPr>
                <w:color w:val="auto"/>
                <w:kern w:val="0"/>
                <w:sz w:val="22"/>
                <w:szCs w:val="20"/>
                <w:highlight w:val="none"/>
              </w:rPr>
            </w:pPr>
          </w:p>
          <w:p w14:paraId="304C6EC1">
            <w:pPr>
              <w:tabs>
                <w:tab w:val="left" w:pos="1040"/>
              </w:tabs>
              <w:adjustRightInd w:val="0"/>
              <w:snapToGrid w:val="0"/>
              <w:jc w:val="center"/>
              <w:rPr>
                <w:color w:val="auto"/>
                <w:kern w:val="0"/>
                <w:sz w:val="26"/>
                <w:szCs w:val="26"/>
                <w:highlight w:val="none"/>
              </w:rPr>
            </w:pPr>
            <w:r>
              <w:rPr>
                <w:color w:val="auto"/>
                <w:kern w:val="0"/>
                <w:sz w:val="26"/>
                <w:szCs w:val="26"/>
                <w:highlight w:val="none"/>
              </w:rPr>
              <w:t>表4.2-7  废气运营期监测计划</w:t>
            </w:r>
          </w:p>
          <w:tbl>
            <w:tblPr>
              <w:tblStyle w:val="16"/>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
              <w:gridCol w:w="693"/>
              <w:gridCol w:w="982"/>
              <w:gridCol w:w="1243"/>
              <w:gridCol w:w="1619"/>
              <w:gridCol w:w="2966"/>
            </w:tblGrid>
            <w:tr w14:paraId="4D52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4" w:type="dxa"/>
                  <w:vAlign w:val="center"/>
                </w:tcPr>
                <w:p w14:paraId="19EF8D4F">
                  <w:pPr>
                    <w:snapToGrid w:val="0"/>
                    <w:jc w:val="center"/>
                    <w:rPr>
                      <w:color w:val="auto"/>
                      <w:sz w:val="22"/>
                      <w:szCs w:val="22"/>
                      <w:highlight w:val="none"/>
                    </w:rPr>
                  </w:pPr>
                  <w:r>
                    <w:rPr>
                      <w:color w:val="auto"/>
                      <w:sz w:val="22"/>
                      <w:szCs w:val="22"/>
                      <w:highlight w:val="none"/>
                    </w:rPr>
                    <w:t>类别</w:t>
                  </w:r>
                </w:p>
              </w:tc>
              <w:tc>
                <w:tcPr>
                  <w:tcW w:w="1675" w:type="dxa"/>
                  <w:gridSpan w:val="2"/>
                  <w:shd w:val="clear" w:color="auto" w:fill="auto"/>
                  <w:vAlign w:val="center"/>
                </w:tcPr>
                <w:p w14:paraId="52D99145">
                  <w:pPr>
                    <w:snapToGrid w:val="0"/>
                    <w:jc w:val="center"/>
                    <w:rPr>
                      <w:color w:val="auto"/>
                      <w:sz w:val="22"/>
                      <w:szCs w:val="22"/>
                      <w:highlight w:val="none"/>
                    </w:rPr>
                  </w:pPr>
                  <w:r>
                    <w:rPr>
                      <w:color w:val="auto"/>
                      <w:sz w:val="22"/>
                      <w:szCs w:val="22"/>
                      <w:highlight w:val="none"/>
                    </w:rPr>
                    <w:t>监测点位</w:t>
                  </w:r>
                </w:p>
              </w:tc>
              <w:tc>
                <w:tcPr>
                  <w:tcW w:w="1243" w:type="dxa"/>
                  <w:shd w:val="clear" w:color="auto" w:fill="auto"/>
                  <w:vAlign w:val="center"/>
                </w:tcPr>
                <w:p w14:paraId="24DFBE7E">
                  <w:pPr>
                    <w:snapToGrid w:val="0"/>
                    <w:jc w:val="center"/>
                    <w:rPr>
                      <w:color w:val="auto"/>
                      <w:sz w:val="22"/>
                      <w:szCs w:val="22"/>
                      <w:highlight w:val="none"/>
                    </w:rPr>
                  </w:pPr>
                  <w:r>
                    <w:rPr>
                      <w:color w:val="auto"/>
                      <w:sz w:val="22"/>
                      <w:szCs w:val="22"/>
                      <w:highlight w:val="none"/>
                    </w:rPr>
                    <w:t>监测指标</w:t>
                  </w:r>
                </w:p>
              </w:tc>
              <w:tc>
                <w:tcPr>
                  <w:tcW w:w="1619" w:type="dxa"/>
                  <w:shd w:val="clear" w:color="auto" w:fill="auto"/>
                  <w:vAlign w:val="center"/>
                </w:tcPr>
                <w:p w14:paraId="28760E4F">
                  <w:pPr>
                    <w:snapToGrid w:val="0"/>
                    <w:jc w:val="center"/>
                    <w:rPr>
                      <w:color w:val="auto"/>
                      <w:sz w:val="22"/>
                      <w:szCs w:val="22"/>
                      <w:highlight w:val="none"/>
                    </w:rPr>
                  </w:pPr>
                  <w:r>
                    <w:rPr>
                      <w:color w:val="auto"/>
                      <w:sz w:val="22"/>
                      <w:szCs w:val="22"/>
                      <w:highlight w:val="none"/>
                    </w:rPr>
                    <w:t>监测频次</w:t>
                  </w:r>
                </w:p>
              </w:tc>
              <w:tc>
                <w:tcPr>
                  <w:tcW w:w="2966" w:type="dxa"/>
                  <w:shd w:val="clear" w:color="auto" w:fill="auto"/>
                  <w:vAlign w:val="center"/>
                </w:tcPr>
                <w:p w14:paraId="4B7B423F">
                  <w:pPr>
                    <w:snapToGrid w:val="0"/>
                    <w:jc w:val="center"/>
                    <w:rPr>
                      <w:color w:val="auto"/>
                      <w:sz w:val="22"/>
                      <w:szCs w:val="22"/>
                      <w:highlight w:val="none"/>
                    </w:rPr>
                  </w:pPr>
                  <w:r>
                    <w:rPr>
                      <w:color w:val="auto"/>
                      <w:sz w:val="22"/>
                      <w:szCs w:val="22"/>
                      <w:highlight w:val="none"/>
                    </w:rPr>
                    <w:t>执行标准</w:t>
                  </w:r>
                </w:p>
              </w:tc>
            </w:tr>
            <w:tr w14:paraId="1F56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4" w:type="dxa"/>
                  <w:vMerge w:val="restart"/>
                  <w:vAlign w:val="center"/>
                </w:tcPr>
                <w:p w14:paraId="5E1A84E7">
                  <w:pPr>
                    <w:snapToGrid w:val="0"/>
                    <w:jc w:val="center"/>
                    <w:rPr>
                      <w:color w:val="auto"/>
                      <w:sz w:val="22"/>
                      <w:szCs w:val="22"/>
                      <w:highlight w:val="none"/>
                    </w:rPr>
                  </w:pPr>
                  <w:r>
                    <w:rPr>
                      <w:color w:val="auto"/>
                      <w:sz w:val="22"/>
                      <w:szCs w:val="22"/>
                      <w:highlight w:val="none"/>
                    </w:rPr>
                    <w:t>废气</w:t>
                  </w:r>
                </w:p>
              </w:tc>
              <w:tc>
                <w:tcPr>
                  <w:tcW w:w="693" w:type="dxa"/>
                  <w:tcBorders>
                    <w:right w:val="single" w:color="000000" w:sz="4" w:space="0"/>
                  </w:tcBorders>
                  <w:shd w:val="clear" w:color="auto" w:fill="auto"/>
                  <w:vAlign w:val="center"/>
                </w:tcPr>
                <w:p w14:paraId="0D516A7F">
                  <w:pPr>
                    <w:snapToGrid w:val="0"/>
                    <w:jc w:val="center"/>
                    <w:rPr>
                      <w:color w:val="auto"/>
                      <w:sz w:val="22"/>
                      <w:szCs w:val="22"/>
                      <w:highlight w:val="none"/>
                    </w:rPr>
                  </w:pPr>
                  <w:r>
                    <w:rPr>
                      <w:color w:val="auto"/>
                      <w:sz w:val="22"/>
                      <w:szCs w:val="22"/>
                      <w:highlight w:val="none"/>
                    </w:rPr>
                    <w:t>有组织</w:t>
                  </w:r>
                </w:p>
              </w:tc>
              <w:tc>
                <w:tcPr>
                  <w:tcW w:w="982" w:type="dxa"/>
                  <w:tcBorders>
                    <w:left w:val="single" w:color="000000" w:sz="4" w:space="0"/>
                  </w:tcBorders>
                  <w:shd w:val="clear" w:color="auto" w:fill="auto"/>
                  <w:vAlign w:val="center"/>
                </w:tcPr>
                <w:p w14:paraId="4C80F9FA">
                  <w:pPr>
                    <w:snapToGrid w:val="0"/>
                    <w:jc w:val="center"/>
                    <w:rPr>
                      <w:color w:val="auto"/>
                      <w:sz w:val="22"/>
                      <w:szCs w:val="22"/>
                      <w:highlight w:val="none"/>
                    </w:rPr>
                  </w:pPr>
                  <w:r>
                    <w:rPr>
                      <w:color w:val="auto"/>
                      <w:sz w:val="22"/>
                      <w:szCs w:val="22"/>
                      <w:highlight w:val="none"/>
                    </w:rPr>
                    <w:t>DA001排气筒</w:t>
                  </w:r>
                </w:p>
              </w:tc>
              <w:tc>
                <w:tcPr>
                  <w:tcW w:w="1243" w:type="dxa"/>
                  <w:shd w:val="clear" w:color="auto" w:fill="auto"/>
                  <w:vAlign w:val="center"/>
                </w:tcPr>
                <w:p w14:paraId="672B0997">
                  <w:pPr>
                    <w:snapToGrid w:val="0"/>
                    <w:jc w:val="center"/>
                    <w:rPr>
                      <w:color w:val="auto"/>
                      <w:sz w:val="22"/>
                      <w:szCs w:val="22"/>
                      <w:highlight w:val="none"/>
                    </w:rPr>
                  </w:pPr>
                  <w:r>
                    <w:rPr>
                      <w:color w:val="auto"/>
                      <w:sz w:val="22"/>
                      <w:szCs w:val="22"/>
                      <w:highlight w:val="none"/>
                    </w:rPr>
                    <w:t>颗粒物</w:t>
                  </w:r>
                </w:p>
              </w:tc>
              <w:tc>
                <w:tcPr>
                  <w:tcW w:w="1619" w:type="dxa"/>
                  <w:shd w:val="clear" w:color="auto" w:fill="auto"/>
                  <w:vAlign w:val="center"/>
                </w:tcPr>
                <w:p w14:paraId="23A31793">
                  <w:pPr>
                    <w:snapToGrid w:val="0"/>
                    <w:jc w:val="center"/>
                    <w:rPr>
                      <w:color w:val="auto"/>
                      <w:sz w:val="22"/>
                      <w:szCs w:val="22"/>
                      <w:highlight w:val="none"/>
                    </w:rPr>
                  </w:pPr>
                  <w:r>
                    <w:rPr>
                      <w:color w:val="auto"/>
                      <w:sz w:val="22"/>
                      <w:szCs w:val="22"/>
                      <w:highlight w:val="none"/>
                    </w:rPr>
                    <w:t>验收监测1次，后续1次/年</w:t>
                  </w:r>
                </w:p>
              </w:tc>
              <w:tc>
                <w:tcPr>
                  <w:tcW w:w="2966" w:type="dxa"/>
                  <w:shd w:val="clear" w:color="auto" w:fill="auto"/>
                  <w:vAlign w:val="center"/>
                </w:tcPr>
                <w:p w14:paraId="6C999AC2">
                  <w:pPr>
                    <w:snapToGrid w:val="0"/>
                    <w:jc w:val="center"/>
                    <w:rPr>
                      <w:color w:val="auto"/>
                      <w:sz w:val="22"/>
                      <w:szCs w:val="22"/>
                      <w:highlight w:val="none"/>
                    </w:rPr>
                  </w:pPr>
                  <w:r>
                    <w:rPr>
                      <w:snapToGrid w:val="0"/>
                      <w:color w:val="auto"/>
                      <w:sz w:val="22"/>
                      <w:szCs w:val="22"/>
                      <w:highlight w:val="none"/>
                    </w:rPr>
                    <w:t>《大气污染物综合排放标准》（DB50/418-2016）</w:t>
                  </w:r>
                </w:p>
              </w:tc>
            </w:tr>
            <w:tr w14:paraId="64F3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4" w:type="dxa"/>
                  <w:vMerge w:val="continue"/>
                  <w:vAlign w:val="center"/>
                </w:tcPr>
                <w:p w14:paraId="38945F34">
                  <w:pPr>
                    <w:snapToGrid w:val="0"/>
                    <w:jc w:val="center"/>
                    <w:rPr>
                      <w:color w:val="auto"/>
                      <w:sz w:val="22"/>
                      <w:szCs w:val="22"/>
                      <w:highlight w:val="none"/>
                    </w:rPr>
                  </w:pPr>
                </w:p>
              </w:tc>
              <w:tc>
                <w:tcPr>
                  <w:tcW w:w="693" w:type="dxa"/>
                  <w:tcBorders>
                    <w:right w:val="single" w:color="000000" w:sz="4" w:space="0"/>
                  </w:tcBorders>
                  <w:shd w:val="clear" w:color="auto" w:fill="auto"/>
                  <w:vAlign w:val="center"/>
                </w:tcPr>
                <w:p w14:paraId="7FC785D7">
                  <w:pPr>
                    <w:snapToGrid w:val="0"/>
                    <w:jc w:val="center"/>
                    <w:rPr>
                      <w:color w:val="auto"/>
                      <w:sz w:val="22"/>
                      <w:szCs w:val="22"/>
                      <w:highlight w:val="none"/>
                    </w:rPr>
                  </w:pPr>
                  <w:r>
                    <w:rPr>
                      <w:color w:val="auto"/>
                      <w:sz w:val="22"/>
                      <w:szCs w:val="22"/>
                      <w:highlight w:val="none"/>
                    </w:rPr>
                    <w:t>无组织</w:t>
                  </w:r>
                </w:p>
              </w:tc>
              <w:tc>
                <w:tcPr>
                  <w:tcW w:w="982" w:type="dxa"/>
                  <w:tcBorders>
                    <w:left w:val="single" w:color="000000" w:sz="4" w:space="0"/>
                  </w:tcBorders>
                  <w:shd w:val="clear" w:color="auto" w:fill="auto"/>
                  <w:vAlign w:val="center"/>
                </w:tcPr>
                <w:p w14:paraId="73BDD696">
                  <w:pPr>
                    <w:snapToGrid w:val="0"/>
                    <w:jc w:val="center"/>
                    <w:rPr>
                      <w:color w:val="auto"/>
                      <w:sz w:val="22"/>
                      <w:szCs w:val="22"/>
                      <w:highlight w:val="none"/>
                    </w:rPr>
                  </w:pPr>
                  <w:r>
                    <w:rPr>
                      <w:color w:val="auto"/>
                      <w:sz w:val="22"/>
                      <w:szCs w:val="22"/>
                      <w:highlight w:val="none"/>
                    </w:rPr>
                    <w:t>厂界</w:t>
                  </w:r>
                </w:p>
              </w:tc>
              <w:tc>
                <w:tcPr>
                  <w:tcW w:w="1243" w:type="dxa"/>
                  <w:shd w:val="clear" w:color="auto" w:fill="auto"/>
                  <w:vAlign w:val="center"/>
                </w:tcPr>
                <w:p w14:paraId="67083E35">
                  <w:pPr>
                    <w:snapToGrid w:val="0"/>
                    <w:jc w:val="center"/>
                    <w:rPr>
                      <w:color w:val="auto"/>
                      <w:sz w:val="22"/>
                      <w:szCs w:val="22"/>
                      <w:highlight w:val="none"/>
                    </w:rPr>
                  </w:pPr>
                  <w:r>
                    <w:rPr>
                      <w:color w:val="auto"/>
                      <w:sz w:val="22"/>
                      <w:szCs w:val="22"/>
                      <w:highlight w:val="none"/>
                    </w:rPr>
                    <w:t>颗粒物、非甲烷总烃</w:t>
                  </w:r>
                </w:p>
              </w:tc>
              <w:tc>
                <w:tcPr>
                  <w:tcW w:w="1619" w:type="dxa"/>
                  <w:shd w:val="clear" w:color="auto" w:fill="auto"/>
                  <w:vAlign w:val="center"/>
                </w:tcPr>
                <w:p w14:paraId="41C529B5">
                  <w:pPr>
                    <w:snapToGrid w:val="0"/>
                    <w:jc w:val="center"/>
                    <w:rPr>
                      <w:color w:val="auto"/>
                      <w:sz w:val="22"/>
                      <w:szCs w:val="22"/>
                      <w:highlight w:val="none"/>
                    </w:rPr>
                  </w:pPr>
                  <w:r>
                    <w:rPr>
                      <w:color w:val="auto"/>
                      <w:sz w:val="22"/>
                      <w:szCs w:val="22"/>
                      <w:highlight w:val="none"/>
                    </w:rPr>
                    <w:t>验收监测1次，后续1次/年</w:t>
                  </w:r>
                </w:p>
              </w:tc>
              <w:tc>
                <w:tcPr>
                  <w:tcW w:w="2966" w:type="dxa"/>
                  <w:shd w:val="clear" w:color="auto" w:fill="auto"/>
                  <w:vAlign w:val="center"/>
                </w:tcPr>
                <w:p w14:paraId="31CC9175">
                  <w:pPr>
                    <w:snapToGrid w:val="0"/>
                    <w:jc w:val="center"/>
                    <w:rPr>
                      <w:color w:val="auto"/>
                      <w:sz w:val="22"/>
                      <w:szCs w:val="22"/>
                      <w:highlight w:val="none"/>
                    </w:rPr>
                  </w:pPr>
                  <w:r>
                    <w:rPr>
                      <w:snapToGrid w:val="0"/>
                      <w:color w:val="auto"/>
                      <w:sz w:val="22"/>
                      <w:szCs w:val="22"/>
                      <w:highlight w:val="none"/>
                    </w:rPr>
                    <w:t>《大气污染物综合排放标准》（DB50/418-2016）</w:t>
                  </w:r>
                </w:p>
              </w:tc>
            </w:tr>
          </w:tbl>
          <w:p w14:paraId="2C7DEEC0">
            <w:pPr>
              <w:snapToGrid w:val="0"/>
              <w:jc w:val="center"/>
              <w:rPr>
                <w:color w:val="auto"/>
                <w:kern w:val="0"/>
                <w:sz w:val="22"/>
                <w:szCs w:val="21"/>
                <w:highlight w:val="none"/>
              </w:rPr>
            </w:pPr>
          </w:p>
          <w:p w14:paraId="006157FC">
            <w:pPr>
              <w:pStyle w:val="81"/>
              <w:numPr>
                <w:ilvl w:val="0"/>
                <w:numId w:val="0"/>
              </w:numPr>
              <w:spacing w:line="460" w:lineRule="exact"/>
              <w:ind w:firstLine="522" w:firstLineChars="200"/>
              <w:jc w:val="both"/>
              <w:rPr>
                <w:rFonts w:eastAsia="宋体"/>
                <w:b/>
                <w:color w:val="auto"/>
                <w:sz w:val="26"/>
                <w:szCs w:val="26"/>
                <w:highlight w:val="none"/>
              </w:rPr>
            </w:pPr>
            <w:r>
              <w:rPr>
                <w:rFonts w:eastAsia="宋体"/>
                <w:b/>
                <w:color w:val="auto"/>
                <w:sz w:val="26"/>
                <w:szCs w:val="26"/>
                <w:highlight w:val="none"/>
              </w:rPr>
              <w:t>4.2.1.5本项目废气排放环境影响</w:t>
            </w:r>
          </w:p>
          <w:p w14:paraId="1DEFAA2C">
            <w:pPr>
              <w:snapToGrid w:val="0"/>
              <w:spacing w:line="480" w:lineRule="atLeast"/>
              <w:ind w:firstLine="522"/>
              <w:rPr>
                <w:bCs/>
                <w:color w:val="auto"/>
                <w:sz w:val="26"/>
                <w:szCs w:val="26"/>
                <w:highlight w:val="none"/>
                <w:u w:color="000000"/>
              </w:rPr>
            </w:pPr>
            <w:r>
              <w:rPr>
                <w:bCs/>
                <w:color w:val="auto"/>
                <w:sz w:val="26"/>
                <w:szCs w:val="26"/>
                <w:highlight w:val="none"/>
                <w:u w:color="000000"/>
              </w:rPr>
              <w:t>本项目采用的废气污染防治措施</w:t>
            </w:r>
            <w:r>
              <w:rPr>
                <w:color w:val="auto"/>
                <w:sz w:val="26"/>
                <w:szCs w:val="26"/>
                <w:highlight w:val="none"/>
              </w:rPr>
              <w:t>可行</w:t>
            </w:r>
            <w:r>
              <w:rPr>
                <w:bCs/>
                <w:color w:val="auto"/>
                <w:sz w:val="26"/>
                <w:szCs w:val="26"/>
                <w:highlight w:val="none"/>
                <w:u w:color="000000"/>
              </w:rPr>
              <w:t>，项目废气排放能够满足</w:t>
            </w:r>
            <w:r>
              <w:rPr>
                <w:color w:val="auto"/>
                <w:kern w:val="0"/>
                <w:sz w:val="26"/>
                <w:szCs w:val="26"/>
                <w:highlight w:val="none"/>
              </w:rPr>
              <w:t>重庆市《大气污染物综合排放标准》（DB50/418-2016）及《挥发性有机物无组织排放控制标准》（GB37822-2019）</w:t>
            </w:r>
            <w:r>
              <w:rPr>
                <w:bCs/>
                <w:color w:val="auto"/>
                <w:sz w:val="26"/>
                <w:szCs w:val="26"/>
                <w:highlight w:val="none"/>
                <w:u w:color="000000"/>
              </w:rPr>
              <w:t>要求，可做到达标排放。</w:t>
            </w:r>
          </w:p>
          <w:p w14:paraId="7537E042">
            <w:pPr>
              <w:snapToGrid w:val="0"/>
              <w:spacing w:line="480" w:lineRule="atLeast"/>
              <w:ind w:firstLine="522"/>
              <w:rPr>
                <w:bCs/>
                <w:color w:val="auto"/>
                <w:sz w:val="26"/>
                <w:highlight w:val="none"/>
              </w:rPr>
            </w:pPr>
            <w:r>
              <w:rPr>
                <w:bCs/>
                <w:color w:val="auto"/>
                <w:sz w:val="26"/>
                <w:szCs w:val="26"/>
                <w:highlight w:val="none"/>
                <w:u w:color="000000"/>
              </w:rPr>
              <w:t>项目周边500m范围内</w:t>
            </w:r>
            <w:r>
              <w:rPr>
                <w:color w:val="auto"/>
                <w:kern w:val="0"/>
                <w:sz w:val="26"/>
                <w:szCs w:val="26"/>
                <w:highlight w:val="none"/>
              </w:rPr>
              <w:t>无自然保护区、风景名胜区等环境保护目标分布</w:t>
            </w:r>
            <w:r>
              <w:rPr>
                <w:bCs/>
                <w:color w:val="auto"/>
                <w:sz w:val="26"/>
                <w:szCs w:val="26"/>
                <w:highlight w:val="none"/>
                <w:u w:color="000000"/>
              </w:rPr>
              <w:t>，主要大气环境保护目标为银翔盛世华庭、盛世悦庭等集中居住区及园区外农村居民点。其中集中居住区银翔盛世华庭、盛世悦庭位于</w:t>
            </w:r>
            <w:r>
              <w:rPr>
                <w:snapToGrid w:val="0"/>
                <w:color w:val="auto"/>
                <w:kern w:val="0"/>
                <w:sz w:val="26"/>
                <w:szCs w:val="28"/>
                <w:highlight w:val="none"/>
              </w:rPr>
              <w:t>本项目主导风向上风向，最近距离分别约404m、492m，且之前有园区</w:t>
            </w:r>
            <w:r>
              <w:rPr>
                <w:bCs/>
                <w:color w:val="auto"/>
                <w:sz w:val="26"/>
                <w:szCs w:val="26"/>
                <w:highlight w:val="none"/>
                <w:u w:color="000000"/>
              </w:rPr>
              <w:t>已建工业企业、道路、绿化带相隔；农村居民点位于项目主导风向侧下风向，最近距离约296m，且之前有园区已建工业企业、园区外林地及农用地相隔。</w:t>
            </w:r>
            <w:r>
              <w:rPr>
                <w:color w:val="auto"/>
                <w:sz w:val="26"/>
                <w:highlight w:val="none"/>
              </w:rPr>
              <w:t>项目废气排放量较小，在严格落实废气污染防治措施基础上，本项目建成后可做到稳定达标排放，废气污染物排放量较少，不会因项目建设导致周边环境空气质量明显改变而对大气环境保护目标产生明显不利影响，项目建设对区域大气环境影响可接受</w:t>
            </w:r>
            <w:r>
              <w:rPr>
                <w:bCs/>
                <w:color w:val="auto"/>
                <w:sz w:val="26"/>
                <w:highlight w:val="none"/>
              </w:rPr>
              <w:t>。</w:t>
            </w:r>
          </w:p>
          <w:p w14:paraId="417A3263">
            <w:pPr>
              <w:adjustRightInd w:val="0"/>
              <w:snapToGrid w:val="0"/>
              <w:spacing w:line="480" w:lineRule="exact"/>
              <w:ind w:firstLine="522" w:firstLineChars="200"/>
              <w:rPr>
                <w:b/>
                <w:color w:val="auto"/>
                <w:kern w:val="0"/>
                <w:sz w:val="26"/>
                <w:szCs w:val="26"/>
                <w:highlight w:val="none"/>
              </w:rPr>
            </w:pPr>
            <w:r>
              <w:rPr>
                <w:b/>
                <w:color w:val="auto"/>
                <w:kern w:val="0"/>
                <w:sz w:val="26"/>
                <w:szCs w:val="26"/>
                <w:highlight w:val="none"/>
              </w:rPr>
              <w:t>4.2</w:t>
            </w:r>
            <w:r>
              <w:rPr>
                <w:rFonts w:hint="eastAsia"/>
                <w:b/>
                <w:color w:val="auto"/>
                <w:kern w:val="0"/>
                <w:sz w:val="26"/>
                <w:szCs w:val="26"/>
                <w:highlight w:val="none"/>
              </w:rPr>
              <w:t>.2</w:t>
            </w:r>
            <w:r>
              <w:rPr>
                <w:b/>
                <w:color w:val="auto"/>
                <w:kern w:val="0"/>
                <w:sz w:val="26"/>
                <w:szCs w:val="26"/>
                <w:highlight w:val="none"/>
              </w:rPr>
              <w:t xml:space="preserve"> </w:t>
            </w:r>
            <w:r>
              <w:rPr>
                <w:rFonts w:hint="eastAsia"/>
                <w:b/>
                <w:color w:val="auto"/>
                <w:kern w:val="0"/>
                <w:sz w:val="26"/>
                <w:szCs w:val="26"/>
                <w:highlight w:val="none"/>
              </w:rPr>
              <w:t>地表水环境影响及废气污染防治措施</w:t>
            </w:r>
          </w:p>
          <w:p w14:paraId="658FEA99">
            <w:pPr>
              <w:adjustRightInd w:val="0"/>
              <w:snapToGrid w:val="0"/>
              <w:spacing w:line="480" w:lineRule="exact"/>
              <w:ind w:firstLine="522" w:firstLineChars="200"/>
              <w:rPr>
                <w:b/>
                <w:color w:val="auto"/>
                <w:sz w:val="26"/>
                <w:szCs w:val="26"/>
                <w:highlight w:val="none"/>
              </w:rPr>
            </w:pPr>
            <w:r>
              <w:rPr>
                <w:rFonts w:hint="eastAsia"/>
                <w:b/>
                <w:color w:val="auto"/>
                <w:sz w:val="26"/>
                <w:szCs w:val="26"/>
                <w:highlight w:val="none"/>
              </w:rPr>
              <w:t>4.2.2.1废水污染源源强核算</w:t>
            </w:r>
          </w:p>
          <w:p w14:paraId="0429499E">
            <w:pPr>
              <w:widowControl/>
              <w:spacing w:line="480" w:lineRule="exact"/>
              <w:ind w:firstLine="520" w:firstLineChars="200"/>
              <w:rPr>
                <w:bCs/>
                <w:color w:val="auto"/>
                <w:sz w:val="26"/>
                <w:szCs w:val="26"/>
                <w:highlight w:val="none"/>
              </w:rPr>
            </w:pPr>
            <w:r>
              <w:rPr>
                <w:rFonts w:hint="eastAsia"/>
                <w:bCs/>
                <w:color w:val="auto"/>
                <w:sz w:val="26"/>
                <w:szCs w:val="26"/>
                <w:highlight w:val="none"/>
              </w:rPr>
              <w:t>①生产废水</w:t>
            </w:r>
          </w:p>
          <w:p w14:paraId="328C8472">
            <w:pPr>
              <w:widowControl/>
              <w:spacing w:line="480" w:lineRule="exact"/>
              <w:ind w:firstLine="520" w:firstLineChars="200"/>
              <w:rPr>
                <w:bCs/>
                <w:color w:val="auto"/>
                <w:sz w:val="26"/>
                <w:szCs w:val="26"/>
                <w:highlight w:val="none"/>
              </w:rPr>
            </w:pPr>
            <w:r>
              <w:rPr>
                <w:rFonts w:hint="eastAsia"/>
                <w:bCs/>
                <w:color w:val="auto"/>
                <w:sz w:val="26"/>
                <w:szCs w:val="26"/>
                <w:highlight w:val="none"/>
              </w:rPr>
              <w:t>车间地面每个月进行一次拖地，产生地面拖洗废水，地面拖洗用水量为21.48m³/a，排污系数取0.9，则地面拖洗废水产生量为1.93</w:t>
            </w:r>
            <w:r>
              <w:rPr>
                <w:rFonts w:eastAsiaTheme="minorEastAsia"/>
                <w:color w:val="auto"/>
                <w:kern w:val="0"/>
                <w:sz w:val="26"/>
                <w:szCs w:val="26"/>
                <w:highlight w:val="none"/>
                <w:lang w:bidi="ar"/>
              </w:rPr>
              <w:t>m</w:t>
            </w:r>
            <w:r>
              <w:rPr>
                <w:rFonts w:eastAsiaTheme="minorEastAsia"/>
                <w:color w:val="auto"/>
                <w:kern w:val="0"/>
                <w:sz w:val="26"/>
                <w:szCs w:val="26"/>
                <w:highlight w:val="none"/>
                <w:vertAlign w:val="superscript"/>
                <w:lang w:bidi="ar"/>
              </w:rPr>
              <w:t>3</w:t>
            </w:r>
            <w:r>
              <w:rPr>
                <w:rFonts w:hint="eastAsia" w:eastAsiaTheme="minorEastAsia"/>
                <w:color w:val="auto"/>
                <w:kern w:val="0"/>
                <w:sz w:val="26"/>
                <w:szCs w:val="26"/>
                <w:highlight w:val="none"/>
                <w:lang w:bidi="ar"/>
              </w:rPr>
              <w:t>/次，主要污染因子为pH、COD、SS、少量石油类等。利</w:t>
            </w:r>
            <w:r>
              <w:rPr>
                <w:rFonts w:hint="eastAsia" w:eastAsiaTheme="minorEastAsia"/>
                <w:color w:val="auto"/>
                <w:kern w:val="0"/>
                <w:sz w:val="26"/>
                <w:szCs w:val="26"/>
                <w:highlight w:val="none"/>
                <w:lang w:eastAsia="zh-CN" w:bidi="ar"/>
              </w:rPr>
              <w:t>用</w:t>
            </w:r>
            <w:r>
              <w:rPr>
                <w:rFonts w:hint="eastAsia" w:eastAsiaTheme="minorEastAsia"/>
                <w:color w:val="auto"/>
                <w:kern w:val="0"/>
                <w:sz w:val="26"/>
                <w:szCs w:val="26"/>
                <w:highlight w:val="none"/>
                <w:lang w:bidi="ar"/>
              </w:rPr>
              <w:t>重庆友拓汽车零部件有限公司已建综合生化池进行预处理后，排入园区市政管网，后进入园区污水处理厂。</w:t>
            </w:r>
          </w:p>
          <w:p w14:paraId="75FCFB7F">
            <w:pPr>
              <w:widowControl/>
              <w:spacing w:line="480" w:lineRule="exact"/>
              <w:ind w:firstLine="520" w:firstLineChars="200"/>
              <w:rPr>
                <w:rFonts w:hint="eastAsia"/>
                <w:bCs/>
                <w:color w:val="auto"/>
                <w:sz w:val="26"/>
                <w:szCs w:val="26"/>
                <w:highlight w:val="none"/>
              </w:rPr>
            </w:pPr>
            <w:r>
              <w:rPr>
                <w:rFonts w:hint="eastAsia"/>
                <w:bCs/>
                <w:color w:val="auto"/>
                <w:sz w:val="26"/>
                <w:szCs w:val="26"/>
                <w:highlight w:val="none"/>
              </w:rPr>
              <w:t>冷却水循环系统定期更换产生生产废水</w:t>
            </w:r>
            <w:r>
              <w:rPr>
                <w:rFonts w:hint="eastAsia"/>
                <w:bCs/>
                <w:color w:val="auto"/>
                <w:sz w:val="26"/>
                <w:szCs w:val="26"/>
                <w:highlight w:val="none"/>
                <w:lang w:eastAsia="zh-CN"/>
              </w:rPr>
              <w:t>，</w:t>
            </w:r>
            <w:r>
              <w:rPr>
                <w:rFonts w:hint="eastAsia" w:eastAsiaTheme="minorEastAsia"/>
                <w:color w:val="auto"/>
                <w:kern w:val="0"/>
                <w:sz w:val="26"/>
                <w:szCs w:val="26"/>
                <w:highlight w:val="none"/>
                <w:lang w:eastAsia="zh-CN" w:bidi="ar"/>
              </w:rPr>
              <w:t>冷却水箱中冷却水</w:t>
            </w:r>
            <w:r>
              <w:rPr>
                <w:rFonts w:hint="eastAsia" w:eastAsiaTheme="minorEastAsia"/>
                <w:color w:val="auto"/>
                <w:kern w:val="0"/>
                <w:sz w:val="26"/>
                <w:szCs w:val="26"/>
                <w:highlight w:val="none"/>
                <w:lang w:val="en-US" w:eastAsia="zh-CN" w:bidi="ar"/>
              </w:rPr>
              <w:t>约</w:t>
            </w:r>
            <w:r>
              <w:rPr>
                <w:rFonts w:hint="eastAsia" w:eastAsiaTheme="minorEastAsia"/>
                <w:color w:val="auto"/>
                <w:kern w:val="0"/>
                <w:sz w:val="26"/>
                <w:szCs w:val="26"/>
                <w:highlight w:val="none"/>
                <w:lang w:eastAsia="zh-CN" w:bidi="ar"/>
              </w:rPr>
              <w:t>半年更换一次，每年更换2次，每次更换时排水量约为</w:t>
            </w:r>
            <w:r>
              <w:rPr>
                <w:rFonts w:hint="eastAsia" w:eastAsiaTheme="minorEastAsia"/>
                <w:color w:val="auto"/>
                <w:kern w:val="0"/>
                <w:sz w:val="26"/>
                <w:szCs w:val="26"/>
                <w:highlight w:val="none"/>
                <w:lang w:val="en-US" w:eastAsia="zh-CN" w:bidi="ar"/>
              </w:rPr>
              <w:t>30×(1</w:t>
            </w:r>
            <w:bookmarkStart w:id="82" w:name="hmcheck_3202031511ba4eb2bbf8f038fe194577"/>
            <w:r>
              <w:rPr>
                <w:rFonts w:hint="eastAsia" w:eastAsiaTheme="minorEastAsia"/>
                <w:color w:val="auto"/>
                <w:kern w:val="0"/>
                <w:sz w:val="26"/>
                <w:szCs w:val="26"/>
                <w:highlight w:val="none"/>
                <w:shd w:val="clear" w:fill="FFAFAA"/>
                <w:lang w:val="en-US" w:eastAsia="zh-CN" w:bidi="ar"/>
              </w:rPr>
              <w:t>-</w:t>
            </w:r>
            <w:bookmarkEnd w:id="82"/>
            <w:r>
              <w:rPr>
                <w:rFonts w:hint="eastAsia" w:eastAsiaTheme="minorEastAsia"/>
                <w:color w:val="auto"/>
                <w:kern w:val="0"/>
                <w:sz w:val="26"/>
                <w:szCs w:val="26"/>
                <w:highlight w:val="none"/>
                <w:lang w:val="en-US" w:eastAsia="zh-CN" w:bidi="ar"/>
              </w:rPr>
              <w:t>30%</w:t>
            </w:r>
            <w:bookmarkStart w:id="83" w:name="hmcheck_9de4623bc7464315b5507fd3bb566b76"/>
            <w:r>
              <w:rPr>
                <w:rFonts w:hint="eastAsia" w:eastAsiaTheme="minorEastAsia"/>
                <w:color w:val="auto"/>
                <w:kern w:val="0"/>
                <w:sz w:val="26"/>
                <w:szCs w:val="26"/>
                <w:highlight w:val="none"/>
                <w:shd w:val="clear" w:fill="FFAFAA"/>
                <w:lang w:val="en-US" w:eastAsia="zh-CN" w:bidi="ar"/>
              </w:rPr>
              <w:t>）</w:t>
            </w:r>
            <w:bookmarkEnd w:id="83"/>
            <w:r>
              <w:rPr>
                <w:rFonts w:hint="eastAsia" w:eastAsiaTheme="minorEastAsia"/>
                <w:color w:val="auto"/>
                <w:kern w:val="0"/>
                <w:sz w:val="26"/>
                <w:szCs w:val="26"/>
                <w:highlight w:val="none"/>
                <w:lang w:val="en-US" w:eastAsia="zh-CN" w:bidi="ar"/>
              </w:rPr>
              <w:t>=21</w:t>
            </w:r>
            <w:r>
              <w:rPr>
                <w:rFonts w:eastAsiaTheme="minorEastAsia"/>
                <w:color w:val="auto"/>
                <w:kern w:val="0"/>
                <w:sz w:val="26"/>
                <w:szCs w:val="26"/>
                <w:highlight w:val="none"/>
                <w:lang w:bidi="ar"/>
              </w:rPr>
              <w:t>m</w:t>
            </w:r>
            <w:r>
              <w:rPr>
                <w:rFonts w:eastAsiaTheme="minorEastAsia"/>
                <w:color w:val="auto"/>
                <w:kern w:val="0"/>
                <w:sz w:val="26"/>
                <w:szCs w:val="26"/>
                <w:highlight w:val="none"/>
                <w:vertAlign w:val="superscript"/>
                <w:lang w:bidi="ar"/>
              </w:rPr>
              <w:t>3</w:t>
            </w:r>
            <w:r>
              <w:rPr>
                <w:rFonts w:hint="eastAsia"/>
                <w:bCs/>
                <w:color w:val="auto"/>
                <w:sz w:val="26"/>
                <w:szCs w:val="26"/>
                <w:highlight w:val="none"/>
              </w:rPr>
              <w:t>，为间接冷却水，主要污染因子为pH、SS、COD</w:t>
            </w:r>
            <w:r>
              <w:rPr>
                <w:rFonts w:hint="eastAsia" w:eastAsia="宋体"/>
                <w:bCs/>
                <w:color w:val="auto"/>
                <w:sz w:val="26"/>
                <w:szCs w:val="26"/>
                <w:highlight w:val="none"/>
                <w:lang w:eastAsia="zh-CN"/>
              </w:rPr>
              <w:t>、石油类</w:t>
            </w:r>
            <w:r>
              <w:rPr>
                <w:rFonts w:hint="eastAsia"/>
                <w:bCs/>
                <w:color w:val="auto"/>
                <w:sz w:val="26"/>
                <w:szCs w:val="26"/>
                <w:highlight w:val="none"/>
              </w:rPr>
              <w:t>等。</w:t>
            </w:r>
            <w:r>
              <w:rPr>
                <w:rFonts w:hint="eastAsia" w:eastAsia="宋体"/>
                <w:bCs/>
                <w:color w:val="auto"/>
                <w:sz w:val="26"/>
                <w:szCs w:val="26"/>
                <w:highlight w:val="none"/>
                <w:lang w:eastAsia="zh-CN"/>
              </w:rPr>
              <w:t>利用</w:t>
            </w:r>
            <w:r>
              <w:rPr>
                <w:rFonts w:hint="eastAsia"/>
                <w:bCs/>
                <w:color w:val="auto"/>
                <w:sz w:val="26"/>
                <w:szCs w:val="26"/>
                <w:highlight w:val="none"/>
              </w:rPr>
              <w:t>重庆友拓汽车零部件有限公司综合生化池进行预处理后，排入园区市政管网，后进入园区污水处理厂。</w:t>
            </w:r>
          </w:p>
          <w:p w14:paraId="20A951F7">
            <w:pPr>
              <w:widowControl/>
              <w:spacing w:line="480" w:lineRule="exact"/>
              <w:ind w:firstLine="520" w:firstLineChars="200"/>
              <w:rPr>
                <w:bCs/>
                <w:color w:val="auto"/>
                <w:sz w:val="26"/>
                <w:szCs w:val="26"/>
                <w:highlight w:val="none"/>
              </w:rPr>
            </w:pPr>
            <w:r>
              <w:rPr>
                <w:rFonts w:hint="eastAsia"/>
                <w:bCs/>
                <w:color w:val="auto"/>
                <w:sz w:val="26"/>
                <w:szCs w:val="26"/>
                <w:highlight w:val="none"/>
              </w:rPr>
              <w:t>②生活污水</w:t>
            </w:r>
          </w:p>
          <w:p w14:paraId="0EB845DC">
            <w:pPr>
              <w:widowControl/>
              <w:spacing w:line="480" w:lineRule="exact"/>
              <w:ind w:firstLine="520" w:firstLineChars="200"/>
              <w:rPr>
                <w:bCs/>
                <w:color w:val="auto"/>
                <w:sz w:val="26"/>
                <w:szCs w:val="26"/>
                <w:highlight w:val="none"/>
              </w:rPr>
            </w:pPr>
            <w:r>
              <w:rPr>
                <w:rFonts w:hint="eastAsia"/>
                <w:bCs/>
                <w:color w:val="auto"/>
                <w:sz w:val="26"/>
                <w:szCs w:val="26"/>
                <w:highlight w:val="none"/>
              </w:rPr>
              <w:t>生活污水主要为工作人员办公生活污水，项目不设置食堂、宿舍，生活污水产生量约5.4 m³/d，主要污染物为COD、BOD</w:t>
            </w:r>
            <w:r>
              <w:rPr>
                <w:rFonts w:hint="eastAsia"/>
                <w:bCs/>
                <w:color w:val="auto"/>
                <w:sz w:val="26"/>
                <w:szCs w:val="26"/>
                <w:highlight w:val="none"/>
                <w:vertAlign w:val="subscript"/>
              </w:rPr>
              <w:t>5</w:t>
            </w:r>
            <w:r>
              <w:rPr>
                <w:rFonts w:hint="eastAsia"/>
                <w:bCs/>
                <w:color w:val="auto"/>
                <w:sz w:val="26"/>
                <w:szCs w:val="26"/>
                <w:highlight w:val="none"/>
              </w:rPr>
              <w:t>、SS、氨氮、TP等。生活污水</w:t>
            </w:r>
            <w:r>
              <w:rPr>
                <w:rFonts w:hint="eastAsia" w:eastAsia="宋体"/>
                <w:bCs/>
                <w:color w:val="auto"/>
                <w:sz w:val="26"/>
                <w:szCs w:val="26"/>
                <w:highlight w:val="none"/>
                <w:lang w:eastAsia="zh-CN"/>
              </w:rPr>
              <w:t>利用</w:t>
            </w:r>
            <w:r>
              <w:rPr>
                <w:rFonts w:hint="eastAsia"/>
                <w:bCs/>
                <w:color w:val="auto"/>
                <w:sz w:val="26"/>
                <w:szCs w:val="26"/>
                <w:highlight w:val="none"/>
              </w:rPr>
              <w:t>重庆友拓汽车零部件有限公司综合生化池进行预处理后，排入园区市政管网，后进入园区污水处理厂。</w:t>
            </w:r>
          </w:p>
          <w:p w14:paraId="501C6C91">
            <w:pPr>
              <w:snapToGrid w:val="0"/>
              <w:spacing w:line="480" w:lineRule="atLeast"/>
              <w:ind w:firstLine="522"/>
              <w:rPr>
                <w:bCs/>
                <w:color w:val="auto"/>
                <w:sz w:val="26"/>
                <w:highlight w:val="none"/>
              </w:rPr>
            </w:pPr>
            <w:r>
              <w:rPr>
                <w:rFonts w:hint="eastAsia"/>
                <w:bCs/>
                <w:color w:val="auto"/>
                <w:sz w:val="26"/>
                <w:szCs w:val="26"/>
                <w:highlight w:val="none"/>
              </w:rPr>
              <w:t>废水产排情况见表4.2-8，废水类别、污染物及污染治理信息见表4.2-9，废水间接排放口基本情况见表4.2-10，废水污染物排放信息见表4.2-11。</w:t>
            </w:r>
          </w:p>
        </w:tc>
      </w:tr>
    </w:tbl>
    <w:p w14:paraId="0E43FD5D">
      <w:pPr>
        <w:tabs>
          <w:tab w:val="left" w:pos="345"/>
          <w:tab w:val="center" w:pos="4422"/>
        </w:tabs>
        <w:adjustRightInd w:val="0"/>
        <w:snapToGrid w:val="0"/>
        <w:rPr>
          <w:rFonts w:ascii="宋体" w:hAnsi="宋体" w:cs="宋体"/>
          <w:bCs/>
          <w:color w:val="auto"/>
          <w:sz w:val="26"/>
          <w:szCs w:val="26"/>
          <w:highlight w:val="none"/>
        </w:rPr>
        <w:sectPr>
          <w:pgSz w:w="11907" w:h="16840"/>
          <w:pgMar w:top="1701" w:right="1531" w:bottom="2127" w:left="1531" w:header="851" w:footer="851" w:gutter="0"/>
          <w:cols w:space="720" w:num="1"/>
          <w:docGrid w:linePitch="312" w:charSpace="0"/>
        </w:sectPr>
      </w:pPr>
    </w:p>
    <w:tbl>
      <w:tblPr>
        <w:tblStyle w:val="16"/>
        <w:tblW w:w="48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2449"/>
      </w:tblGrid>
      <w:tr w14:paraId="7CE1DB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35" w:hRule="atLeast"/>
          <w:jc w:val="center"/>
        </w:trPr>
        <w:tc>
          <w:tcPr>
            <w:tcW w:w="716" w:type="dxa"/>
            <w:tcMar>
              <w:left w:w="28" w:type="dxa"/>
              <w:right w:w="28" w:type="dxa"/>
            </w:tcMar>
            <w:vAlign w:val="center"/>
          </w:tcPr>
          <w:p w14:paraId="2DDD0C38">
            <w:pPr>
              <w:adjustRightInd w:val="0"/>
              <w:snapToGrid w:val="0"/>
              <w:jc w:val="center"/>
              <w:rPr>
                <w:rFonts w:ascii="宋体" w:hAnsi="宋体" w:cs="宋体"/>
                <w:bCs/>
                <w:color w:val="auto"/>
                <w:sz w:val="26"/>
                <w:szCs w:val="26"/>
                <w:highlight w:val="none"/>
              </w:rPr>
            </w:pPr>
            <w:r>
              <w:rPr>
                <w:rFonts w:hint="eastAsia" w:ascii="宋体" w:hAnsi="宋体" w:cs="宋体"/>
                <w:bCs/>
                <w:color w:val="auto"/>
                <w:sz w:val="26"/>
                <w:szCs w:val="26"/>
                <w:highlight w:val="none"/>
              </w:rPr>
              <w:t>运营</w:t>
            </w:r>
          </w:p>
          <w:p w14:paraId="3046C88D">
            <w:pPr>
              <w:adjustRightInd w:val="0"/>
              <w:snapToGrid w:val="0"/>
              <w:jc w:val="center"/>
              <w:rPr>
                <w:rFonts w:ascii="宋体" w:hAnsi="宋体" w:cs="宋体"/>
                <w:bCs/>
                <w:color w:val="auto"/>
                <w:sz w:val="26"/>
                <w:szCs w:val="26"/>
                <w:highlight w:val="none"/>
              </w:rPr>
            </w:pPr>
            <w:r>
              <w:rPr>
                <w:rFonts w:hint="eastAsia" w:ascii="宋体" w:hAnsi="宋体" w:cs="宋体"/>
                <w:bCs/>
                <w:color w:val="auto"/>
                <w:sz w:val="26"/>
                <w:szCs w:val="26"/>
                <w:highlight w:val="none"/>
              </w:rPr>
              <w:t>期环</w:t>
            </w:r>
          </w:p>
          <w:p w14:paraId="2D3681B1">
            <w:pPr>
              <w:adjustRightInd w:val="0"/>
              <w:snapToGrid w:val="0"/>
              <w:jc w:val="center"/>
              <w:rPr>
                <w:rFonts w:ascii="宋体" w:hAnsi="宋体" w:cs="宋体"/>
                <w:bCs/>
                <w:color w:val="auto"/>
                <w:sz w:val="26"/>
                <w:szCs w:val="26"/>
                <w:highlight w:val="none"/>
              </w:rPr>
            </w:pPr>
            <w:r>
              <w:rPr>
                <w:rFonts w:hint="eastAsia" w:ascii="宋体" w:hAnsi="宋体" w:cs="宋体"/>
                <w:bCs/>
                <w:color w:val="auto"/>
                <w:sz w:val="26"/>
                <w:szCs w:val="26"/>
                <w:highlight w:val="none"/>
              </w:rPr>
              <w:t>境影</w:t>
            </w:r>
          </w:p>
          <w:p w14:paraId="59166AFF">
            <w:pPr>
              <w:adjustRightInd w:val="0"/>
              <w:snapToGrid w:val="0"/>
              <w:jc w:val="center"/>
              <w:rPr>
                <w:rFonts w:ascii="宋体" w:hAnsi="宋体" w:cs="宋体"/>
                <w:bCs/>
                <w:color w:val="auto"/>
                <w:sz w:val="26"/>
                <w:szCs w:val="26"/>
                <w:highlight w:val="none"/>
              </w:rPr>
            </w:pPr>
            <w:r>
              <w:rPr>
                <w:rFonts w:hint="eastAsia" w:ascii="宋体" w:hAnsi="宋体" w:cs="宋体"/>
                <w:bCs/>
                <w:color w:val="auto"/>
                <w:sz w:val="26"/>
                <w:szCs w:val="26"/>
                <w:highlight w:val="none"/>
              </w:rPr>
              <w:t>响和</w:t>
            </w:r>
          </w:p>
          <w:p w14:paraId="50EBCA34">
            <w:pPr>
              <w:adjustRightInd w:val="0"/>
              <w:snapToGrid w:val="0"/>
              <w:jc w:val="center"/>
              <w:rPr>
                <w:rFonts w:ascii="宋体" w:hAnsi="宋体" w:cs="宋体"/>
                <w:bCs/>
                <w:color w:val="auto"/>
                <w:sz w:val="26"/>
                <w:szCs w:val="26"/>
                <w:highlight w:val="none"/>
              </w:rPr>
            </w:pPr>
            <w:r>
              <w:rPr>
                <w:rFonts w:hint="eastAsia" w:ascii="宋体" w:hAnsi="宋体" w:cs="宋体"/>
                <w:bCs/>
                <w:color w:val="auto"/>
                <w:sz w:val="26"/>
                <w:szCs w:val="26"/>
                <w:highlight w:val="none"/>
              </w:rPr>
              <w:t>保护</w:t>
            </w:r>
          </w:p>
          <w:p w14:paraId="6213E2EA">
            <w:pPr>
              <w:adjustRightInd w:val="0"/>
              <w:snapToGrid w:val="0"/>
              <w:jc w:val="center"/>
              <w:rPr>
                <w:rFonts w:ascii="宋体" w:hAnsi="宋体" w:cs="宋体"/>
                <w:bCs/>
                <w:color w:val="auto"/>
                <w:sz w:val="26"/>
                <w:szCs w:val="26"/>
                <w:highlight w:val="none"/>
              </w:rPr>
            </w:pPr>
            <w:r>
              <w:rPr>
                <w:rFonts w:hint="eastAsia" w:ascii="宋体" w:hAnsi="宋体" w:cs="宋体"/>
                <w:bCs/>
                <w:color w:val="auto"/>
                <w:sz w:val="26"/>
                <w:szCs w:val="26"/>
                <w:highlight w:val="none"/>
              </w:rPr>
              <w:t>措施</w:t>
            </w:r>
          </w:p>
        </w:tc>
        <w:tc>
          <w:tcPr>
            <w:tcW w:w="12449" w:type="dxa"/>
            <w:vAlign w:val="center"/>
          </w:tcPr>
          <w:p w14:paraId="0B53D27C">
            <w:pPr>
              <w:adjustRightInd w:val="0"/>
              <w:snapToGrid w:val="0"/>
              <w:jc w:val="center"/>
              <w:rPr>
                <w:color w:val="auto"/>
                <w:kern w:val="0"/>
                <w:sz w:val="24"/>
                <w:szCs w:val="26"/>
                <w:highlight w:val="none"/>
              </w:rPr>
            </w:pPr>
            <w:r>
              <w:rPr>
                <w:color w:val="auto"/>
                <w:kern w:val="0"/>
                <w:sz w:val="24"/>
                <w:szCs w:val="26"/>
                <w:highlight w:val="none"/>
              </w:rPr>
              <w:t>表4.2-</w:t>
            </w:r>
            <w:r>
              <w:rPr>
                <w:rFonts w:hint="eastAsia"/>
                <w:color w:val="auto"/>
                <w:kern w:val="0"/>
                <w:sz w:val="24"/>
                <w:szCs w:val="26"/>
                <w:highlight w:val="none"/>
              </w:rPr>
              <w:t>8</w:t>
            </w:r>
            <w:r>
              <w:rPr>
                <w:color w:val="auto"/>
                <w:kern w:val="0"/>
                <w:sz w:val="24"/>
                <w:szCs w:val="26"/>
                <w:highlight w:val="none"/>
              </w:rPr>
              <w:t xml:space="preserve">  </w:t>
            </w:r>
            <w:r>
              <w:rPr>
                <w:rFonts w:hint="eastAsia"/>
                <w:color w:val="auto"/>
                <w:kern w:val="0"/>
                <w:sz w:val="24"/>
                <w:szCs w:val="26"/>
                <w:highlight w:val="none"/>
              </w:rPr>
              <w:t>废水产排情况及治理设施信息一览表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472"/>
              <w:gridCol w:w="1020"/>
              <w:gridCol w:w="728"/>
              <w:gridCol w:w="718"/>
              <w:gridCol w:w="921"/>
              <w:gridCol w:w="686"/>
              <w:gridCol w:w="444"/>
              <w:gridCol w:w="797"/>
              <w:gridCol w:w="739"/>
              <w:gridCol w:w="697"/>
              <w:gridCol w:w="910"/>
              <w:gridCol w:w="933"/>
              <w:gridCol w:w="900"/>
              <w:gridCol w:w="964"/>
              <w:gridCol w:w="418"/>
            </w:tblGrid>
            <w:tr w14:paraId="3D28F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76" w:type="dxa"/>
                  <w:vMerge w:val="restart"/>
                  <w:vAlign w:val="center"/>
                </w:tcPr>
                <w:p w14:paraId="7AFCD151">
                  <w:pPr>
                    <w:widowControl/>
                    <w:jc w:val="center"/>
                    <w:textAlignment w:val="bottom"/>
                    <w:rPr>
                      <w:color w:val="auto"/>
                      <w:sz w:val="22"/>
                      <w:szCs w:val="22"/>
                      <w:highlight w:val="none"/>
                    </w:rPr>
                  </w:pPr>
                  <w:r>
                    <w:rPr>
                      <w:color w:val="auto"/>
                      <w:kern w:val="0"/>
                      <w:sz w:val="22"/>
                      <w:szCs w:val="22"/>
                      <w:highlight w:val="none"/>
                      <w:lang w:bidi="ar"/>
                    </w:rPr>
                    <w:t>产污环节</w:t>
                  </w:r>
                </w:p>
              </w:tc>
              <w:tc>
                <w:tcPr>
                  <w:tcW w:w="472" w:type="dxa"/>
                  <w:vMerge w:val="restart"/>
                  <w:vAlign w:val="center"/>
                </w:tcPr>
                <w:p w14:paraId="172439AE">
                  <w:pPr>
                    <w:widowControl/>
                    <w:jc w:val="center"/>
                    <w:textAlignment w:val="bottom"/>
                    <w:rPr>
                      <w:color w:val="auto"/>
                      <w:sz w:val="22"/>
                      <w:szCs w:val="22"/>
                      <w:highlight w:val="none"/>
                    </w:rPr>
                  </w:pPr>
                  <w:r>
                    <w:rPr>
                      <w:color w:val="auto"/>
                      <w:kern w:val="0"/>
                      <w:sz w:val="22"/>
                      <w:szCs w:val="22"/>
                      <w:highlight w:val="none"/>
                      <w:lang w:bidi="ar"/>
                    </w:rPr>
                    <w:t>废水类别</w:t>
                  </w:r>
                </w:p>
              </w:tc>
              <w:tc>
                <w:tcPr>
                  <w:tcW w:w="1020" w:type="dxa"/>
                  <w:vMerge w:val="restart"/>
                  <w:vAlign w:val="center"/>
                </w:tcPr>
                <w:p w14:paraId="2E21471A">
                  <w:pPr>
                    <w:widowControl/>
                    <w:jc w:val="center"/>
                    <w:textAlignment w:val="bottom"/>
                    <w:rPr>
                      <w:color w:val="auto"/>
                      <w:sz w:val="22"/>
                      <w:szCs w:val="22"/>
                      <w:highlight w:val="none"/>
                    </w:rPr>
                  </w:pPr>
                  <w:r>
                    <w:rPr>
                      <w:color w:val="auto"/>
                      <w:kern w:val="0"/>
                      <w:sz w:val="22"/>
                      <w:szCs w:val="22"/>
                      <w:highlight w:val="none"/>
                      <w:lang w:bidi="ar"/>
                    </w:rPr>
                    <w:t>污染物种类</w:t>
                  </w:r>
                </w:p>
              </w:tc>
              <w:tc>
                <w:tcPr>
                  <w:tcW w:w="2367" w:type="dxa"/>
                  <w:gridSpan w:val="3"/>
                  <w:vMerge w:val="restart"/>
                  <w:vAlign w:val="center"/>
                </w:tcPr>
                <w:p w14:paraId="161D6BF3">
                  <w:pPr>
                    <w:widowControl/>
                    <w:jc w:val="center"/>
                    <w:textAlignment w:val="bottom"/>
                    <w:rPr>
                      <w:color w:val="auto"/>
                      <w:sz w:val="22"/>
                      <w:szCs w:val="22"/>
                      <w:highlight w:val="none"/>
                    </w:rPr>
                  </w:pPr>
                  <w:r>
                    <w:rPr>
                      <w:color w:val="auto"/>
                      <w:kern w:val="0"/>
                      <w:sz w:val="22"/>
                      <w:szCs w:val="22"/>
                      <w:highlight w:val="none"/>
                      <w:lang w:bidi="ar"/>
                    </w:rPr>
                    <w:t>产生情况</w:t>
                  </w:r>
                </w:p>
              </w:tc>
              <w:tc>
                <w:tcPr>
                  <w:tcW w:w="2666" w:type="dxa"/>
                  <w:gridSpan w:val="4"/>
                  <w:vMerge w:val="restart"/>
                  <w:vAlign w:val="center"/>
                </w:tcPr>
                <w:p w14:paraId="220D49E9">
                  <w:pPr>
                    <w:widowControl/>
                    <w:jc w:val="center"/>
                    <w:textAlignment w:val="bottom"/>
                    <w:rPr>
                      <w:color w:val="auto"/>
                      <w:sz w:val="22"/>
                      <w:szCs w:val="22"/>
                      <w:highlight w:val="none"/>
                    </w:rPr>
                  </w:pPr>
                  <w:r>
                    <w:rPr>
                      <w:color w:val="auto"/>
                      <w:kern w:val="0"/>
                      <w:sz w:val="22"/>
                      <w:szCs w:val="22"/>
                      <w:highlight w:val="none"/>
                      <w:lang w:bidi="ar"/>
                    </w:rPr>
                    <w:t>治理设施</w:t>
                  </w:r>
                </w:p>
              </w:tc>
              <w:tc>
                <w:tcPr>
                  <w:tcW w:w="4404" w:type="dxa"/>
                  <w:gridSpan w:val="5"/>
                  <w:noWrap/>
                  <w:vAlign w:val="center"/>
                </w:tcPr>
                <w:p w14:paraId="407B23BF">
                  <w:pPr>
                    <w:widowControl/>
                    <w:jc w:val="center"/>
                    <w:textAlignment w:val="bottom"/>
                    <w:rPr>
                      <w:color w:val="auto"/>
                      <w:sz w:val="22"/>
                      <w:szCs w:val="22"/>
                      <w:highlight w:val="none"/>
                    </w:rPr>
                  </w:pPr>
                  <w:r>
                    <w:rPr>
                      <w:color w:val="auto"/>
                      <w:kern w:val="0"/>
                      <w:sz w:val="22"/>
                      <w:szCs w:val="22"/>
                      <w:highlight w:val="none"/>
                      <w:lang w:bidi="ar"/>
                    </w:rPr>
                    <w:t>排放情况</w:t>
                  </w:r>
                </w:p>
              </w:tc>
              <w:tc>
                <w:tcPr>
                  <w:tcW w:w="418" w:type="dxa"/>
                  <w:vMerge w:val="restart"/>
                  <w:noWrap/>
                  <w:vAlign w:val="center"/>
                </w:tcPr>
                <w:p w14:paraId="41F9E774">
                  <w:pPr>
                    <w:widowControl/>
                    <w:jc w:val="center"/>
                    <w:textAlignment w:val="bottom"/>
                    <w:rPr>
                      <w:color w:val="auto"/>
                      <w:sz w:val="22"/>
                      <w:szCs w:val="22"/>
                      <w:highlight w:val="none"/>
                    </w:rPr>
                  </w:pPr>
                  <w:r>
                    <w:rPr>
                      <w:color w:val="auto"/>
                      <w:kern w:val="0"/>
                      <w:sz w:val="22"/>
                      <w:szCs w:val="22"/>
                      <w:highlight w:val="none"/>
                      <w:lang w:bidi="ar"/>
                    </w:rPr>
                    <w:t>排放方式</w:t>
                  </w:r>
                </w:p>
              </w:tc>
            </w:tr>
            <w:tr w14:paraId="01D2C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76" w:type="dxa"/>
                  <w:vMerge w:val="continue"/>
                  <w:vAlign w:val="center"/>
                </w:tcPr>
                <w:p w14:paraId="04D96EB8">
                  <w:pPr>
                    <w:jc w:val="center"/>
                    <w:rPr>
                      <w:color w:val="auto"/>
                      <w:sz w:val="22"/>
                      <w:szCs w:val="22"/>
                      <w:highlight w:val="none"/>
                    </w:rPr>
                  </w:pPr>
                </w:p>
              </w:tc>
              <w:tc>
                <w:tcPr>
                  <w:tcW w:w="472" w:type="dxa"/>
                  <w:vMerge w:val="continue"/>
                  <w:vAlign w:val="center"/>
                </w:tcPr>
                <w:p w14:paraId="348A17B6">
                  <w:pPr>
                    <w:jc w:val="center"/>
                    <w:rPr>
                      <w:color w:val="auto"/>
                      <w:sz w:val="22"/>
                      <w:szCs w:val="22"/>
                      <w:highlight w:val="none"/>
                    </w:rPr>
                  </w:pPr>
                </w:p>
              </w:tc>
              <w:tc>
                <w:tcPr>
                  <w:tcW w:w="1020" w:type="dxa"/>
                  <w:vMerge w:val="continue"/>
                  <w:vAlign w:val="center"/>
                </w:tcPr>
                <w:p w14:paraId="706B7B3C">
                  <w:pPr>
                    <w:jc w:val="center"/>
                    <w:rPr>
                      <w:color w:val="auto"/>
                      <w:sz w:val="22"/>
                      <w:szCs w:val="22"/>
                      <w:highlight w:val="none"/>
                    </w:rPr>
                  </w:pPr>
                </w:p>
              </w:tc>
              <w:tc>
                <w:tcPr>
                  <w:tcW w:w="2367" w:type="dxa"/>
                  <w:gridSpan w:val="3"/>
                  <w:vMerge w:val="continue"/>
                  <w:vAlign w:val="center"/>
                </w:tcPr>
                <w:p w14:paraId="4B025585">
                  <w:pPr>
                    <w:jc w:val="center"/>
                    <w:rPr>
                      <w:color w:val="auto"/>
                      <w:sz w:val="22"/>
                      <w:szCs w:val="22"/>
                      <w:highlight w:val="none"/>
                    </w:rPr>
                  </w:pPr>
                </w:p>
              </w:tc>
              <w:tc>
                <w:tcPr>
                  <w:tcW w:w="2666" w:type="dxa"/>
                  <w:gridSpan w:val="4"/>
                  <w:vMerge w:val="continue"/>
                  <w:vAlign w:val="center"/>
                </w:tcPr>
                <w:p w14:paraId="15C66707">
                  <w:pPr>
                    <w:jc w:val="center"/>
                    <w:rPr>
                      <w:color w:val="auto"/>
                      <w:sz w:val="22"/>
                      <w:szCs w:val="22"/>
                      <w:highlight w:val="none"/>
                    </w:rPr>
                  </w:pPr>
                </w:p>
              </w:tc>
              <w:tc>
                <w:tcPr>
                  <w:tcW w:w="697" w:type="dxa"/>
                  <w:vMerge w:val="restart"/>
                  <w:vAlign w:val="center"/>
                </w:tcPr>
                <w:p w14:paraId="3F61E6D4">
                  <w:pPr>
                    <w:widowControl/>
                    <w:jc w:val="center"/>
                    <w:textAlignment w:val="bottom"/>
                    <w:rPr>
                      <w:color w:val="auto"/>
                      <w:sz w:val="22"/>
                      <w:szCs w:val="22"/>
                      <w:highlight w:val="none"/>
                    </w:rPr>
                  </w:pPr>
                  <w:r>
                    <w:rPr>
                      <w:color w:val="auto"/>
                      <w:kern w:val="0"/>
                      <w:sz w:val="22"/>
                      <w:szCs w:val="22"/>
                      <w:highlight w:val="none"/>
                      <w:lang w:bidi="ar"/>
                    </w:rPr>
                    <w:t>废水排放量（m³/a）</w:t>
                  </w:r>
                </w:p>
              </w:tc>
              <w:tc>
                <w:tcPr>
                  <w:tcW w:w="1843" w:type="dxa"/>
                  <w:gridSpan w:val="2"/>
                  <w:vAlign w:val="center"/>
                </w:tcPr>
                <w:p w14:paraId="12E4D739">
                  <w:pPr>
                    <w:widowControl/>
                    <w:jc w:val="center"/>
                    <w:textAlignment w:val="bottom"/>
                    <w:rPr>
                      <w:color w:val="auto"/>
                      <w:sz w:val="22"/>
                      <w:szCs w:val="22"/>
                      <w:highlight w:val="none"/>
                    </w:rPr>
                  </w:pPr>
                  <w:r>
                    <w:rPr>
                      <w:color w:val="auto"/>
                      <w:kern w:val="0"/>
                      <w:sz w:val="22"/>
                      <w:szCs w:val="22"/>
                      <w:highlight w:val="none"/>
                      <w:lang w:bidi="ar"/>
                    </w:rPr>
                    <w:t>排放浓度（mg/L）</w:t>
                  </w:r>
                </w:p>
              </w:tc>
              <w:tc>
                <w:tcPr>
                  <w:tcW w:w="1864" w:type="dxa"/>
                  <w:gridSpan w:val="2"/>
                  <w:vAlign w:val="center"/>
                </w:tcPr>
                <w:p w14:paraId="0FA82475">
                  <w:pPr>
                    <w:widowControl/>
                    <w:jc w:val="center"/>
                    <w:textAlignment w:val="bottom"/>
                    <w:rPr>
                      <w:color w:val="auto"/>
                      <w:sz w:val="22"/>
                      <w:szCs w:val="22"/>
                      <w:highlight w:val="none"/>
                    </w:rPr>
                  </w:pPr>
                  <w:r>
                    <w:rPr>
                      <w:color w:val="auto"/>
                      <w:kern w:val="0"/>
                      <w:sz w:val="22"/>
                      <w:szCs w:val="22"/>
                      <w:highlight w:val="none"/>
                      <w:lang w:bidi="ar"/>
                    </w:rPr>
                    <w:t>排放量（t/a）</w:t>
                  </w:r>
                </w:p>
              </w:tc>
              <w:tc>
                <w:tcPr>
                  <w:tcW w:w="418" w:type="dxa"/>
                  <w:vMerge w:val="continue"/>
                  <w:noWrap/>
                  <w:vAlign w:val="center"/>
                </w:tcPr>
                <w:p w14:paraId="1D18351D">
                  <w:pPr>
                    <w:jc w:val="center"/>
                    <w:rPr>
                      <w:color w:val="auto"/>
                      <w:sz w:val="22"/>
                      <w:szCs w:val="22"/>
                      <w:highlight w:val="none"/>
                    </w:rPr>
                  </w:pPr>
                </w:p>
              </w:tc>
            </w:tr>
            <w:tr w14:paraId="60CC8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76" w:type="dxa"/>
                  <w:vMerge w:val="continue"/>
                  <w:vAlign w:val="center"/>
                </w:tcPr>
                <w:p w14:paraId="4DCEF363">
                  <w:pPr>
                    <w:jc w:val="center"/>
                    <w:rPr>
                      <w:color w:val="auto"/>
                      <w:sz w:val="22"/>
                      <w:szCs w:val="22"/>
                      <w:highlight w:val="none"/>
                    </w:rPr>
                  </w:pPr>
                </w:p>
              </w:tc>
              <w:tc>
                <w:tcPr>
                  <w:tcW w:w="472" w:type="dxa"/>
                  <w:vMerge w:val="continue"/>
                  <w:vAlign w:val="center"/>
                </w:tcPr>
                <w:p w14:paraId="1B94B3AA">
                  <w:pPr>
                    <w:jc w:val="center"/>
                    <w:rPr>
                      <w:color w:val="auto"/>
                      <w:sz w:val="22"/>
                      <w:szCs w:val="22"/>
                      <w:highlight w:val="none"/>
                    </w:rPr>
                  </w:pPr>
                </w:p>
              </w:tc>
              <w:tc>
                <w:tcPr>
                  <w:tcW w:w="1020" w:type="dxa"/>
                  <w:vMerge w:val="continue"/>
                  <w:vAlign w:val="center"/>
                </w:tcPr>
                <w:p w14:paraId="08E84C6B">
                  <w:pPr>
                    <w:jc w:val="center"/>
                    <w:rPr>
                      <w:color w:val="auto"/>
                      <w:sz w:val="22"/>
                      <w:szCs w:val="22"/>
                      <w:highlight w:val="none"/>
                    </w:rPr>
                  </w:pPr>
                </w:p>
              </w:tc>
              <w:tc>
                <w:tcPr>
                  <w:tcW w:w="728" w:type="dxa"/>
                  <w:vAlign w:val="center"/>
                </w:tcPr>
                <w:p w14:paraId="3A0DD315">
                  <w:pPr>
                    <w:widowControl/>
                    <w:jc w:val="center"/>
                    <w:textAlignment w:val="bottom"/>
                    <w:rPr>
                      <w:color w:val="auto"/>
                      <w:sz w:val="22"/>
                      <w:szCs w:val="22"/>
                      <w:highlight w:val="none"/>
                    </w:rPr>
                  </w:pPr>
                  <w:r>
                    <w:rPr>
                      <w:color w:val="auto"/>
                      <w:kern w:val="0"/>
                      <w:sz w:val="22"/>
                      <w:szCs w:val="22"/>
                      <w:highlight w:val="none"/>
                      <w:lang w:bidi="ar"/>
                    </w:rPr>
                    <w:t>废水产生量（m³/a）</w:t>
                  </w:r>
                </w:p>
              </w:tc>
              <w:tc>
                <w:tcPr>
                  <w:tcW w:w="718" w:type="dxa"/>
                  <w:vAlign w:val="center"/>
                </w:tcPr>
                <w:p w14:paraId="68ECAEAA">
                  <w:pPr>
                    <w:widowControl/>
                    <w:jc w:val="center"/>
                    <w:textAlignment w:val="bottom"/>
                    <w:rPr>
                      <w:color w:val="auto"/>
                      <w:sz w:val="22"/>
                      <w:szCs w:val="22"/>
                      <w:highlight w:val="none"/>
                    </w:rPr>
                  </w:pPr>
                  <w:r>
                    <w:rPr>
                      <w:color w:val="auto"/>
                      <w:kern w:val="0"/>
                      <w:sz w:val="22"/>
                      <w:szCs w:val="22"/>
                      <w:highlight w:val="none"/>
                      <w:lang w:bidi="ar"/>
                    </w:rPr>
                    <w:t>产生浓度（mg/L）</w:t>
                  </w:r>
                </w:p>
              </w:tc>
              <w:tc>
                <w:tcPr>
                  <w:tcW w:w="921" w:type="dxa"/>
                  <w:vAlign w:val="center"/>
                </w:tcPr>
                <w:p w14:paraId="29C1587A">
                  <w:pPr>
                    <w:widowControl/>
                    <w:jc w:val="center"/>
                    <w:textAlignment w:val="bottom"/>
                    <w:rPr>
                      <w:color w:val="auto"/>
                      <w:sz w:val="22"/>
                      <w:szCs w:val="22"/>
                      <w:highlight w:val="none"/>
                    </w:rPr>
                  </w:pPr>
                  <w:r>
                    <w:rPr>
                      <w:color w:val="auto"/>
                      <w:kern w:val="0"/>
                      <w:sz w:val="22"/>
                      <w:szCs w:val="22"/>
                      <w:highlight w:val="none"/>
                      <w:lang w:bidi="ar"/>
                    </w:rPr>
                    <w:t>产生量（t/a）</w:t>
                  </w:r>
                </w:p>
              </w:tc>
              <w:tc>
                <w:tcPr>
                  <w:tcW w:w="686" w:type="dxa"/>
                  <w:vAlign w:val="center"/>
                </w:tcPr>
                <w:p w14:paraId="27EBA763">
                  <w:pPr>
                    <w:widowControl/>
                    <w:jc w:val="center"/>
                    <w:textAlignment w:val="bottom"/>
                    <w:rPr>
                      <w:color w:val="auto"/>
                      <w:sz w:val="22"/>
                      <w:szCs w:val="22"/>
                      <w:highlight w:val="none"/>
                    </w:rPr>
                  </w:pPr>
                  <w:r>
                    <w:rPr>
                      <w:color w:val="auto"/>
                      <w:kern w:val="0"/>
                      <w:sz w:val="22"/>
                      <w:szCs w:val="22"/>
                      <w:highlight w:val="none"/>
                      <w:lang w:bidi="ar"/>
                    </w:rPr>
                    <w:t>处理能力（m³/a）</w:t>
                  </w:r>
                </w:p>
              </w:tc>
              <w:tc>
                <w:tcPr>
                  <w:tcW w:w="444" w:type="dxa"/>
                  <w:vAlign w:val="center"/>
                </w:tcPr>
                <w:p w14:paraId="06A3FE0F">
                  <w:pPr>
                    <w:widowControl/>
                    <w:jc w:val="center"/>
                    <w:textAlignment w:val="bottom"/>
                    <w:rPr>
                      <w:color w:val="auto"/>
                      <w:sz w:val="22"/>
                      <w:szCs w:val="22"/>
                      <w:highlight w:val="none"/>
                    </w:rPr>
                  </w:pPr>
                  <w:r>
                    <w:rPr>
                      <w:color w:val="auto"/>
                      <w:kern w:val="0"/>
                      <w:sz w:val="22"/>
                      <w:szCs w:val="22"/>
                      <w:highlight w:val="none"/>
                      <w:lang w:bidi="ar"/>
                    </w:rPr>
                    <w:t>治理工艺</w:t>
                  </w:r>
                </w:p>
              </w:tc>
              <w:tc>
                <w:tcPr>
                  <w:tcW w:w="797" w:type="dxa"/>
                  <w:vAlign w:val="center"/>
                </w:tcPr>
                <w:p w14:paraId="69F4FFB2">
                  <w:pPr>
                    <w:widowControl/>
                    <w:jc w:val="center"/>
                    <w:textAlignment w:val="bottom"/>
                    <w:rPr>
                      <w:color w:val="auto"/>
                      <w:sz w:val="22"/>
                      <w:szCs w:val="22"/>
                      <w:highlight w:val="none"/>
                    </w:rPr>
                  </w:pPr>
                  <w:r>
                    <w:rPr>
                      <w:color w:val="auto"/>
                      <w:kern w:val="0"/>
                      <w:sz w:val="22"/>
                      <w:szCs w:val="22"/>
                      <w:highlight w:val="none"/>
                      <w:lang w:bidi="ar"/>
                    </w:rPr>
                    <w:t>治理效率</w:t>
                  </w:r>
                </w:p>
              </w:tc>
              <w:tc>
                <w:tcPr>
                  <w:tcW w:w="739" w:type="dxa"/>
                  <w:vAlign w:val="center"/>
                </w:tcPr>
                <w:p w14:paraId="435733CB">
                  <w:pPr>
                    <w:widowControl/>
                    <w:jc w:val="center"/>
                    <w:textAlignment w:val="bottom"/>
                    <w:rPr>
                      <w:color w:val="auto"/>
                      <w:sz w:val="22"/>
                      <w:szCs w:val="22"/>
                      <w:highlight w:val="none"/>
                    </w:rPr>
                  </w:pPr>
                  <w:r>
                    <w:rPr>
                      <w:color w:val="auto"/>
                      <w:kern w:val="0"/>
                      <w:sz w:val="22"/>
                      <w:szCs w:val="22"/>
                      <w:highlight w:val="none"/>
                      <w:lang w:bidi="ar"/>
                    </w:rPr>
                    <w:t>是否为可行技术</w:t>
                  </w:r>
                </w:p>
              </w:tc>
              <w:tc>
                <w:tcPr>
                  <w:tcW w:w="697" w:type="dxa"/>
                  <w:vMerge w:val="continue"/>
                  <w:vAlign w:val="center"/>
                </w:tcPr>
                <w:p w14:paraId="00173662">
                  <w:pPr>
                    <w:jc w:val="center"/>
                    <w:rPr>
                      <w:color w:val="auto"/>
                      <w:sz w:val="22"/>
                      <w:szCs w:val="22"/>
                      <w:highlight w:val="none"/>
                    </w:rPr>
                  </w:pPr>
                </w:p>
              </w:tc>
              <w:tc>
                <w:tcPr>
                  <w:tcW w:w="910" w:type="dxa"/>
                  <w:vAlign w:val="center"/>
                </w:tcPr>
                <w:p w14:paraId="688FD0DB">
                  <w:pPr>
                    <w:widowControl/>
                    <w:jc w:val="center"/>
                    <w:textAlignment w:val="bottom"/>
                    <w:rPr>
                      <w:color w:val="auto"/>
                      <w:sz w:val="22"/>
                      <w:szCs w:val="22"/>
                      <w:highlight w:val="none"/>
                    </w:rPr>
                  </w:pPr>
                  <w:r>
                    <w:rPr>
                      <w:color w:val="auto"/>
                      <w:kern w:val="0"/>
                      <w:sz w:val="22"/>
                      <w:szCs w:val="22"/>
                      <w:highlight w:val="none"/>
                      <w:lang w:bidi="ar"/>
                    </w:rPr>
                    <w:t>污水处理设施处理后</w:t>
                  </w:r>
                </w:p>
              </w:tc>
              <w:tc>
                <w:tcPr>
                  <w:tcW w:w="933" w:type="dxa"/>
                  <w:vAlign w:val="center"/>
                </w:tcPr>
                <w:p w14:paraId="6966E2FD">
                  <w:pPr>
                    <w:widowControl/>
                    <w:jc w:val="center"/>
                    <w:textAlignment w:val="bottom"/>
                    <w:rPr>
                      <w:color w:val="auto"/>
                      <w:sz w:val="22"/>
                      <w:szCs w:val="22"/>
                      <w:highlight w:val="none"/>
                    </w:rPr>
                  </w:pPr>
                  <w:r>
                    <w:rPr>
                      <w:color w:val="auto"/>
                      <w:kern w:val="0"/>
                      <w:sz w:val="22"/>
                      <w:szCs w:val="22"/>
                      <w:highlight w:val="none"/>
                      <w:lang w:bidi="ar"/>
                    </w:rPr>
                    <w:t>园区污水处理厂处理后（一级</w:t>
                  </w:r>
                  <w:r>
                    <w:rPr>
                      <w:rFonts w:hint="eastAsia"/>
                      <w:color w:val="auto"/>
                      <w:kern w:val="0"/>
                      <w:sz w:val="22"/>
                      <w:szCs w:val="22"/>
                      <w:highlight w:val="none"/>
                      <w:lang w:bidi="ar"/>
                    </w:rPr>
                    <w:t>A</w:t>
                  </w:r>
                  <w:r>
                    <w:rPr>
                      <w:rFonts w:hint="eastAsia"/>
                      <w:color w:val="auto"/>
                      <w:kern w:val="0"/>
                      <w:sz w:val="22"/>
                      <w:szCs w:val="22"/>
                      <w:highlight w:val="none"/>
                      <w:lang w:eastAsia="zh-CN" w:bidi="ar"/>
                    </w:rPr>
                    <w:t>）</w:t>
                  </w:r>
                </w:p>
              </w:tc>
              <w:tc>
                <w:tcPr>
                  <w:tcW w:w="900" w:type="dxa"/>
                  <w:vAlign w:val="center"/>
                </w:tcPr>
                <w:p w14:paraId="1F04B1F4">
                  <w:pPr>
                    <w:widowControl/>
                    <w:jc w:val="center"/>
                    <w:rPr>
                      <w:color w:val="auto"/>
                      <w:sz w:val="22"/>
                      <w:szCs w:val="22"/>
                      <w:highlight w:val="none"/>
                    </w:rPr>
                  </w:pPr>
                  <w:r>
                    <w:rPr>
                      <w:color w:val="auto"/>
                      <w:kern w:val="0"/>
                      <w:sz w:val="22"/>
                      <w:szCs w:val="22"/>
                      <w:highlight w:val="none"/>
                    </w:rPr>
                    <w:t>污水处理设施处理后</w:t>
                  </w:r>
                </w:p>
              </w:tc>
              <w:tc>
                <w:tcPr>
                  <w:tcW w:w="964" w:type="dxa"/>
                  <w:vAlign w:val="center"/>
                </w:tcPr>
                <w:p w14:paraId="085B8D22">
                  <w:pPr>
                    <w:widowControl/>
                    <w:jc w:val="center"/>
                    <w:rPr>
                      <w:color w:val="auto"/>
                      <w:sz w:val="22"/>
                      <w:szCs w:val="22"/>
                      <w:highlight w:val="none"/>
                    </w:rPr>
                  </w:pPr>
                  <w:r>
                    <w:rPr>
                      <w:color w:val="auto"/>
                      <w:kern w:val="0"/>
                      <w:sz w:val="22"/>
                      <w:szCs w:val="22"/>
                      <w:highlight w:val="none"/>
                    </w:rPr>
                    <w:t>园区污水处理厂处理后（一级</w:t>
                  </w:r>
                  <w:r>
                    <w:rPr>
                      <w:rFonts w:hint="eastAsia"/>
                      <w:color w:val="auto"/>
                      <w:kern w:val="0"/>
                      <w:sz w:val="22"/>
                      <w:szCs w:val="22"/>
                      <w:highlight w:val="none"/>
                    </w:rPr>
                    <w:t>A</w:t>
                  </w:r>
                  <w:r>
                    <w:rPr>
                      <w:rFonts w:hint="eastAsia"/>
                      <w:color w:val="auto"/>
                      <w:kern w:val="0"/>
                      <w:sz w:val="22"/>
                      <w:szCs w:val="22"/>
                      <w:highlight w:val="none"/>
                      <w:lang w:eastAsia="zh-CN"/>
                    </w:rPr>
                    <w:t>）</w:t>
                  </w:r>
                </w:p>
              </w:tc>
              <w:tc>
                <w:tcPr>
                  <w:tcW w:w="418" w:type="dxa"/>
                  <w:vMerge w:val="continue"/>
                  <w:noWrap/>
                  <w:vAlign w:val="center"/>
                </w:tcPr>
                <w:p w14:paraId="5461FB8C">
                  <w:pPr>
                    <w:jc w:val="center"/>
                    <w:rPr>
                      <w:color w:val="auto"/>
                      <w:sz w:val="22"/>
                      <w:szCs w:val="22"/>
                      <w:highlight w:val="none"/>
                    </w:rPr>
                  </w:pPr>
                </w:p>
              </w:tc>
            </w:tr>
            <w:tr w14:paraId="6B54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76" w:type="dxa"/>
                  <w:vMerge w:val="restart"/>
                  <w:vAlign w:val="center"/>
                </w:tcPr>
                <w:p w14:paraId="0D03AD17">
                  <w:pPr>
                    <w:widowControl/>
                    <w:jc w:val="center"/>
                    <w:textAlignment w:val="bottom"/>
                    <w:rPr>
                      <w:color w:val="auto"/>
                      <w:sz w:val="22"/>
                      <w:szCs w:val="22"/>
                      <w:highlight w:val="none"/>
                    </w:rPr>
                  </w:pPr>
                  <w:r>
                    <w:rPr>
                      <w:rFonts w:hint="eastAsia"/>
                      <w:color w:val="auto"/>
                      <w:sz w:val="22"/>
                      <w:szCs w:val="22"/>
                      <w:highlight w:val="none"/>
                    </w:rPr>
                    <w:t>循环冷却水更换废水</w:t>
                  </w:r>
                </w:p>
              </w:tc>
              <w:tc>
                <w:tcPr>
                  <w:tcW w:w="472" w:type="dxa"/>
                  <w:vMerge w:val="restart"/>
                  <w:vAlign w:val="center"/>
                </w:tcPr>
                <w:p w14:paraId="600888F0">
                  <w:pPr>
                    <w:widowControl/>
                    <w:jc w:val="center"/>
                    <w:textAlignment w:val="bottom"/>
                    <w:rPr>
                      <w:color w:val="auto"/>
                      <w:sz w:val="22"/>
                      <w:szCs w:val="22"/>
                      <w:highlight w:val="none"/>
                    </w:rPr>
                  </w:pPr>
                  <w:r>
                    <w:rPr>
                      <w:color w:val="auto"/>
                      <w:kern w:val="0"/>
                      <w:sz w:val="22"/>
                      <w:szCs w:val="22"/>
                      <w:highlight w:val="none"/>
                      <w:lang w:bidi="ar"/>
                    </w:rPr>
                    <w:t>生产废水</w:t>
                  </w:r>
                </w:p>
              </w:tc>
              <w:tc>
                <w:tcPr>
                  <w:tcW w:w="1020" w:type="dxa"/>
                  <w:vAlign w:val="center"/>
                </w:tcPr>
                <w:p w14:paraId="1CAD2BE1">
                  <w:pPr>
                    <w:widowControl/>
                    <w:jc w:val="center"/>
                    <w:textAlignment w:val="bottom"/>
                    <w:rPr>
                      <w:color w:val="auto"/>
                      <w:sz w:val="22"/>
                      <w:szCs w:val="22"/>
                      <w:highlight w:val="none"/>
                    </w:rPr>
                  </w:pPr>
                  <w:r>
                    <w:rPr>
                      <w:color w:val="auto"/>
                      <w:kern w:val="0"/>
                      <w:sz w:val="22"/>
                      <w:szCs w:val="22"/>
                      <w:highlight w:val="none"/>
                      <w:lang w:bidi="ar"/>
                    </w:rPr>
                    <w:t>pH</w:t>
                  </w:r>
                </w:p>
              </w:tc>
              <w:tc>
                <w:tcPr>
                  <w:tcW w:w="728" w:type="dxa"/>
                  <w:vMerge w:val="restart"/>
                  <w:vAlign w:val="center"/>
                </w:tcPr>
                <w:p w14:paraId="6101C500">
                  <w:pPr>
                    <w:widowControl/>
                    <w:jc w:val="center"/>
                    <w:textAlignment w:val="bottom"/>
                    <w:rPr>
                      <w:rFonts w:hint="default" w:eastAsia="宋体"/>
                      <w:color w:val="auto"/>
                      <w:sz w:val="22"/>
                      <w:szCs w:val="22"/>
                      <w:highlight w:val="none"/>
                      <w:lang w:val="en-US" w:eastAsia="zh-CN"/>
                    </w:rPr>
                  </w:pPr>
                  <w:r>
                    <w:rPr>
                      <w:rFonts w:hint="eastAsia"/>
                      <w:color w:val="auto"/>
                      <w:sz w:val="22"/>
                      <w:szCs w:val="22"/>
                      <w:highlight w:val="none"/>
                      <w:lang w:val="en-US" w:eastAsia="zh-CN"/>
                    </w:rPr>
                    <w:t>84</w:t>
                  </w:r>
                </w:p>
              </w:tc>
              <w:tc>
                <w:tcPr>
                  <w:tcW w:w="718" w:type="dxa"/>
                  <w:vAlign w:val="center"/>
                </w:tcPr>
                <w:p w14:paraId="4205C4B9">
                  <w:pPr>
                    <w:jc w:val="center"/>
                    <w:rPr>
                      <w:color w:val="auto"/>
                      <w:sz w:val="22"/>
                      <w:szCs w:val="22"/>
                      <w:highlight w:val="none"/>
                    </w:rPr>
                  </w:pPr>
                  <w:r>
                    <w:rPr>
                      <w:rFonts w:hint="eastAsia" w:eastAsia="Times New Roman"/>
                      <w:color w:val="auto"/>
                      <w:sz w:val="22"/>
                      <w:highlight w:val="none"/>
                    </w:rPr>
                    <w:t>/</w:t>
                  </w:r>
                </w:p>
              </w:tc>
              <w:tc>
                <w:tcPr>
                  <w:tcW w:w="921" w:type="dxa"/>
                  <w:vAlign w:val="center"/>
                </w:tcPr>
                <w:p w14:paraId="5FE64BEC">
                  <w:pPr>
                    <w:jc w:val="center"/>
                    <w:rPr>
                      <w:color w:val="auto"/>
                      <w:sz w:val="22"/>
                      <w:szCs w:val="22"/>
                      <w:highlight w:val="none"/>
                    </w:rPr>
                  </w:pPr>
                  <w:r>
                    <w:rPr>
                      <w:rFonts w:hint="eastAsia" w:eastAsia="Times New Roman"/>
                      <w:color w:val="auto"/>
                      <w:sz w:val="22"/>
                      <w:highlight w:val="none"/>
                    </w:rPr>
                    <w:t>/</w:t>
                  </w:r>
                </w:p>
              </w:tc>
              <w:tc>
                <w:tcPr>
                  <w:tcW w:w="686" w:type="dxa"/>
                  <w:vMerge w:val="restart"/>
                  <w:vAlign w:val="center"/>
                </w:tcPr>
                <w:p w14:paraId="4E56B630">
                  <w:pPr>
                    <w:widowControl/>
                    <w:jc w:val="center"/>
                    <w:textAlignment w:val="bottom"/>
                    <w:rPr>
                      <w:color w:val="auto"/>
                      <w:sz w:val="22"/>
                      <w:szCs w:val="22"/>
                      <w:highlight w:val="none"/>
                    </w:rPr>
                  </w:pPr>
                  <w:r>
                    <w:rPr>
                      <w:rFonts w:hint="eastAsia"/>
                      <w:color w:val="auto"/>
                      <w:sz w:val="22"/>
                      <w:szCs w:val="22"/>
                      <w:highlight w:val="none"/>
                    </w:rPr>
                    <w:t>10950</w:t>
                  </w:r>
                </w:p>
              </w:tc>
              <w:tc>
                <w:tcPr>
                  <w:tcW w:w="444" w:type="dxa"/>
                  <w:vMerge w:val="restart"/>
                  <w:vAlign w:val="center"/>
                </w:tcPr>
                <w:p w14:paraId="1B0B2056">
                  <w:pPr>
                    <w:widowControl/>
                    <w:jc w:val="center"/>
                    <w:textAlignment w:val="bottom"/>
                    <w:rPr>
                      <w:color w:val="auto"/>
                      <w:sz w:val="22"/>
                      <w:szCs w:val="22"/>
                      <w:highlight w:val="none"/>
                    </w:rPr>
                  </w:pPr>
                  <w:r>
                    <w:rPr>
                      <w:color w:val="auto"/>
                      <w:kern w:val="0"/>
                      <w:sz w:val="22"/>
                      <w:szCs w:val="22"/>
                      <w:highlight w:val="none"/>
                      <w:lang w:bidi="ar"/>
                    </w:rPr>
                    <w:t>格栅+初沉+厌氧</w:t>
                  </w:r>
                </w:p>
              </w:tc>
              <w:tc>
                <w:tcPr>
                  <w:tcW w:w="797" w:type="dxa"/>
                  <w:vAlign w:val="center"/>
                </w:tcPr>
                <w:p w14:paraId="0A99BFAA">
                  <w:pPr>
                    <w:jc w:val="center"/>
                    <w:rPr>
                      <w:color w:val="auto"/>
                      <w:sz w:val="22"/>
                      <w:szCs w:val="22"/>
                      <w:highlight w:val="none"/>
                    </w:rPr>
                  </w:pPr>
                  <w:r>
                    <w:rPr>
                      <w:rFonts w:hint="eastAsia" w:eastAsia="Times New Roman"/>
                      <w:color w:val="auto"/>
                      <w:sz w:val="22"/>
                      <w:highlight w:val="none"/>
                    </w:rPr>
                    <w:t>/</w:t>
                  </w:r>
                </w:p>
              </w:tc>
              <w:tc>
                <w:tcPr>
                  <w:tcW w:w="739" w:type="dxa"/>
                  <w:vMerge w:val="restart"/>
                  <w:vAlign w:val="center"/>
                </w:tcPr>
                <w:p w14:paraId="3BA092E1">
                  <w:pPr>
                    <w:widowControl/>
                    <w:jc w:val="center"/>
                    <w:textAlignment w:val="bottom"/>
                    <w:rPr>
                      <w:color w:val="auto"/>
                      <w:sz w:val="22"/>
                      <w:szCs w:val="22"/>
                      <w:highlight w:val="none"/>
                    </w:rPr>
                  </w:pPr>
                  <w:r>
                    <w:rPr>
                      <w:color w:val="auto"/>
                      <w:kern w:val="0"/>
                      <w:sz w:val="22"/>
                      <w:szCs w:val="22"/>
                      <w:highlight w:val="none"/>
                      <w:lang w:bidi="ar"/>
                    </w:rPr>
                    <w:t>是</w:t>
                  </w:r>
                </w:p>
              </w:tc>
              <w:tc>
                <w:tcPr>
                  <w:tcW w:w="697" w:type="dxa"/>
                  <w:vMerge w:val="restart"/>
                  <w:vAlign w:val="center"/>
                </w:tcPr>
                <w:p w14:paraId="7B38C2E0">
                  <w:pPr>
                    <w:widowControl/>
                    <w:jc w:val="center"/>
                    <w:textAlignment w:val="bottom"/>
                    <w:rPr>
                      <w:rFonts w:hint="default" w:eastAsia="宋体"/>
                      <w:color w:val="auto"/>
                      <w:sz w:val="22"/>
                      <w:szCs w:val="22"/>
                      <w:highlight w:val="none"/>
                      <w:lang w:val="en-US" w:eastAsia="zh-CN"/>
                    </w:rPr>
                  </w:pPr>
                  <w:r>
                    <w:rPr>
                      <w:rFonts w:hint="eastAsia"/>
                      <w:color w:val="auto"/>
                      <w:sz w:val="22"/>
                      <w:szCs w:val="22"/>
                      <w:highlight w:val="none"/>
                      <w:lang w:val="en-US" w:eastAsia="zh-CN"/>
                    </w:rPr>
                    <w:t>84</w:t>
                  </w:r>
                </w:p>
              </w:tc>
              <w:tc>
                <w:tcPr>
                  <w:tcW w:w="910" w:type="dxa"/>
                  <w:vAlign w:val="center"/>
                </w:tcPr>
                <w:p w14:paraId="58775440">
                  <w:pPr>
                    <w:jc w:val="center"/>
                    <w:rPr>
                      <w:color w:val="auto"/>
                      <w:sz w:val="22"/>
                      <w:szCs w:val="22"/>
                      <w:highlight w:val="none"/>
                    </w:rPr>
                  </w:pPr>
                  <w:r>
                    <w:rPr>
                      <w:rFonts w:hint="eastAsia" w:eastAsia="Times New Roman"/>
                      <w:color w:val="auto"/>
                      <w:sz w:val="22"/>
                      <w:highlight w:val="none"/>
                    </w:rPr>
                    <w:t>6~9</w:t>
                  </w:r>
                </w:p>
              </w:tc>
              <w:tc>
                <w:tcPr>
                  <w:tcW w:w="933" w:type="dxa"/>
                  <w:vAlign w:val="center"/>
                </w:tcPr>
                <w:p w14:paraId="3A7525C7">
                  <w:pPr>
                    <w:jc w:val="center"/>
                    <w:rPr>
                      <w:color w:val="auto"/>
                      <w:sz w:val="22"/>
                      <w:szCs w:val="22"/>
                      <w:highlight w:val="none"/>
                    </w:rPr>
                  </w:pPr>
                  <w:r>
                    <w:rPr>
                      <w:rFonts w:hint="eastAsia" w:eastAsia="Times New Roman"/>
                      <w:color w:val="auto"/>
                      <w:sz w:val="22"/>
                      <w:highlight w:val="none"/>
                    </w:rPr>
                    <w:t>6~9</w:t>
                  </w:r>
                </w:p>
              </w:tc>
              <w:tc>
                <w:tcPr>
                  <w:tcW w:w="900" w:type="dxa"/>
                  <w:vAlign w:val="center"/>
                </w:tcPr>
                <w:p w14:paraId="2993F8FA">
                  <w:pPr>
                    <w:jc w:val="center"/>
                    <w:rPr>
                      <w:color w:val="auto"/>
                      <w:sz w:val="22"/>
                      <w:szCs w:val="22"/>
                      <w:highlight w:val="none"/>
                    </w:rPr>
                  </w:pPr>
                  <w:r>
                    <w:rPr>
                      <w:rFonts w:hint="eastAsia" w:eastAsia="Times New Roman"/>
                      <w:color w:val="auto"/>
                      <w:sz w:val="22"/>
                      <w:highlight w:val="none"/>
                    </w:rPr>
                    <w:t>/</w:t>
                  </w:r>
                </w:p>
              </w:tc>
              <w:tc>
                <w:tcPr>
                  <w:tcW w:w="964" w:type="dxa"/>
                  <w:vAlign w:val="center"/>
                </w:tcPr>
                <w:p w14:paraId="7D3C8A9E">
                  <w:pPr>
                    <w:jc w:val="center"/>
                    <w:rPr>
                      <w:color w:val="auto"/>
                      <w:sz w:val="22"/>
                      <w:szCs w:val="22"/>
                      <w:highlight w:val="none"/>
                    </w:rPr>
                  </w:pPr>
                  <w:r>
                    <w:rPr>
                      <w:rFonts w:hint="eastAsia" w:eastAsia="Times New Roman"/>
                      <w:color w:val="auto"/>
                      <w:sz w:val="22"/>
                      <w:highlight w:val="none"/>
                    </w:rPr>
                    <w:t>/</w:t>
                  </w:r>
                </w:p>
              </w:tc>
              <w:tc>
                <w:tcPr>
                  <w:tcW w:w="418" w:type="dxa"/>
                  <w:vMerge w:val="restart"/>
                  <w:vAlign w:val="center"/>
                </w:tcPr>
                <w:p w14:paraId="02A4BD3D">
                  <w:pPr>
                    <w:widowControl/>
                    <w:jc w:val="center"/>
                    <w:textAlignment w:val="bottom"/>
                    <w:rPr>
                      <w:color w:val="auto"/>
                      <w:sz w:val="22"/>
                      <w:szCs w:val="22"/>
                      <w:highlight w:val="none"/>
                    </w:rPr>
                  </w:pPr>
                  <w:r>
                    <w:rPr>
                      <w:color w:val="auto"/>
                      <w:kern w:val="0"/>
                      <w:sz w:val="22"/>
                      <w:szCs w:val="22"/>
                      <w:highlight w:val="none"/>
                      <w:lang w:bidi="ar"/>
                    </w:rPr>
                    <w:t>间接排放</w:t>
                  </w:r>
                </w:p>
              </w:tc>
            </w:tr>
            <w:tr w14:paraId="7614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76" w:type="dxa"/>
                  <w:vMerge w:val="continue"/>
                  <w:vAlign w:val="center"/>
                </w:tcPr>
                <w:p w14:paraId="375584ED">
                  <w:pPr>
                    <w:jc w:val="center"/>
                    <w:rPr>
                      <w:color w:val="auto"/>
                      <w:sz w:val="22"/>
                      <w:szCs w:val="22"/>
                      <w:highlight w:val="none"/>
                    </w:rPr>
                  </w:pPr>
                </w:p>
              </w:tc>
              <w:tc>
                <w:tcPr>
                  <w:tcW w:w="472" w:type="dxa"/>
                  <w:vMerge w:val="continue"/>
                  <w:vAlign w:val="center"/>
                </w:tcPr>
                <w:p w14:paraId="14FF98A0">
                  <w:pPr>
                    <w:jc w:val="center"/>
                    <w:rPr>
                      <w:color w:val="auto"/>
                      <w:sz w:val="22"/>
                      <w:szCs w:val="22"/>
                      <w:highlight w:val="none"/>
                    </w:rPr>
                  </w:pPr>
                </w:p>
              </w:tc>
              <w:tc>
                <w:tcPr>
                  <w:tcW w:w="1020" w:type="dxa"/>
                  <w:vAlign w:val="center"/>
                </w:tcPr>
                <w:p w14:paraId="3E4788E2">
                  <w:pPr>
                    <w:widowControl/>
                    <w:jc w:val="center"/>
                    <w:textAlignment w:val="bottom"/>
                    <w:rPr>
                      <w:color w:val="auto"/>
                      <w:sz w:val="22"/>
                      <w:szCs w:val="22"/>
                      <w:highlight w:val="none"/>
                    </w:rPr>
                  </w:pPr>
                  <w:r>
                    <w:rPr>
                      <w:color w:val="auto"/>
                      <w:kern w:val="0"/>
                      <w:sz w:val="22"/>
                      <w:szCs w:val="22"/>
                      <w:highlight w:val="none"/>
                      <w:lang w:bidi="ar"/>
                    </w:rPr>
                    <w:t>COD</w:t>
                  </w:r>
                </w:p>
              </w:tc>
              <w:tc>
                <w:tcPr>
                  <w:tcW w:w="728" w:type="dxa"/>
                  <w:vMerge w:val="continue"/>
                  <w:vAlign w:val="center"/>
                </w:tcPr>
                <w:p w14:paraId="64786C37">
                  <w:pPr>
                    <w:jc w:val="center"/>
                    <w:rPr>
                      <w:color w:val="auto"/>
                      <w:sz w:val="22"/>
                      <w:szCs w:val="22"/>
                      <w:highlight w:val="none"/>
                    </w:rPr>
                  </w:pPr>
                </w:p>
              </w:tc>
              <w:tc>
                <w:tcPr>
                  <w:tcW w:w="718" w:type="dxa"/>
                  <w:vAlign w:val="center"/>
                </w:tcPr>
                <w:p w14:paraId="360CE04A">
                  <w:pPr>
                    <w:jc w:val="center"/>
                    <w:rPr>
                      <w:color w:val="auto"/>
                      <w:sz w:val="22"/>
                      <w:szCs w:val="22"/>
                      <w:highlight w:val="none"/>
                    </w:rPr>
                  </w:pPr>
                  <w:r>
                    <w:rPr>
                      <w:rFonts w:hint="eastAsia" w:eastAsia="Times New Roman"/>
                      <w:color w:val="auto"/>
                      <w:sz w:val="22"/>
                      <w:highlight w:val="none"/>
                    </w:rPr>
                    <w:t>200</w:t>
                  </w:r>
                </w:p>
              </w:tc>
              <w:tc>
                <w:tcPr>
                  <w:tcW w:w="921" w:type="dxa"/>
                  <w:vAlign w:val="bottom"/>
                </w:tcPr>
                <w:p w14:paraId="1C97A936">
                  <w:pPr>
                    <w:keepNext w:val="0"/>
                    <w:keepLines w:val="0"/>
                    <w:widowControl/>
                    <w:suppressLineNumbers w:val="0"/>
                    <w:jc w:val="center"/>
                    <w:textAlignment w:val="bottom"/>
                    <w:rPr>
                      <w:color w:val="auto"/>
                      <w:kern w:val="0"/>
                      <w:sz w:val="22"/>
                      <w:szCs w:val="22"/>
                      <w:highlight w:val="none"/>
                      <w:lang w:bidi="ar"/>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0.017 </w:t>
                  </w:r>
                </w:p>
              </w:tc>
              <w:tc>
                <w:tcPr>
                  <w:tcW w:w="686" w:type="dxa"/>
                  <w:vMerge w:val="continue"/>
                  <w:vAlign w:val="center"/>
                </w:tcPr>
                <w:p w14:paraId="2776259D">
                  <w:pPr>
                    <w:jc w:val="center"/>
                    <w:rPr>
                      <w:color w:val="auto"/>
                      <w:sz w:val="22"/>
                      <w:szCs w:val="22"/>
                      <w:highlight w:val="none"/>
                    </w:rPr>
                  </w:pPr>
                </w:p>
              </w:tc>
              <w:tc>
                <w:tcPr>
                  <w:tcW w:w="444" w:type="dxa"/>
                  <w:vMerge w:val="continue"/>
                  <w:vAlign w:val="center"/>
                </w:tcPr>
                <w:p w14:paraId="70E5BD53">
                  <w:pPr>
                    <w:jc w:val="center"/>
                    <w:rPr>
                      <w:color w:val="auto"/>
                      <w:sz w:val="22"/>
                      <w:szCs w:val="22"/>
                      <w:highlight w:val="none"/>
                    </w:rPr>
                  </w:pPr>
                </w:p>
              </w:tc>
              <w:tc>
                <w:tcPr>
                  <w:tcW w:w="797" w:type="dxa"/>
                  <w:vAlign w:val="center"/>
                </w:tcPr>
                <w:p w14:paraId="43434130">
                  <w:pPr>
                    <w:jc w:val="center"/>
                    <w:rPr>
                      <w:color w:val="auto"/>
                      <w:sz w:val="22"/>
                      <w:szCs w:val="22"/>
                      <w:highlight w:val="none"/>
                    </w:rPr>
                  </w:pPr>
                  <w:r>
                    <w:rPr>
                      <w:rFonts w:hint="eastAsia" w:eastAsia="Times New Roman"/>
                      <w:color w:val="auto"/>
                      <w:sz w:val="22"/>
                      <w:highlight w:val="none"/>
                    </w:rPr>
                    <w:t>/</w:t>
                  </w:r>
                </w:p>
              </w:tc>
              <w:tc>
                <w:tcPr>
                  <w:tcW w:w="739" w:type="dxa"/>
                  <w:vMerge w:val="continue"/>
                  <w:vAlign w:val="center"/>
                </w:tcPr>
                <w:p w14:paraId="22FDC8E0">
                  <w:pPr>
                    <w:jc w:val="center"/>
                    <w:rPr>
                      <w:color w:val="auto"/>
                      <w:sz w:val="22"/>
                      <w:szCs w:val="22"/>
                      <w:highlight w:val="none"/>
                    </w:rPr>
                  </w:pPr>
                </w:p>
              </w:tc>
              <w:tc>
                <w:tcPr>
                  <w:tcW w:w="697" w:type="dxa"/>
                  <w:vMerge w:val="continue"/>
                  <w:vAlign w:val="center"/>
                </w:tcPr>
                <w:p w14:paraId="7D94AA9D">
                  <w:pPr>
                    <w:jc w:val="center"/>
                    <w:rPr>
                      <w:color w:val="auto"/>
                      <w:sz w:val="22"/>
                      <w:szCs w:val="22"/>
                      <w:highlight w:val="none"/>
                    </w:rPr>
                  </w:pPr>
                </w:p>
              </w:tc>
              <w:tc>
                <w:tcPr>
                  <w:tcW w:w="910" w:type="dxa"/>
                  <w:vAlign w:val="center"/>
                </w:tcPr>
                <w:p w14:paraId="5DFA9E7F">
                  <w:pPr>
                    <w:jc w:val="center"/>
                    <w:rPr>
                      <w:color w:val="auto"/>
                      <w:sz w:val="22"/>
                      <w:szCs w:val="22"/>
                      <w:highlight w:val="none"/>
                    </w:rPr>
                  </w:pPr>
                  <w:r>
                    <w:rPr>
                      <w:rFonts w:hint="eastAsia" w:eastAsia="Times New Roman"/>
                      <w:color w:val="auto"/>
                      <w:sz w:val="22"/>
                      <w:highlight w:val="none"/>
                    </w:rPr>
                    <w:t>200</w:t>
                  </w:r>
                </w:p>
              </w:tc>
              <w:tc>
                <w:tcPr>
                  <w:tcW w:w="933" w:type="dxa"/>
                  <w:vAlign w:val="center"/>
                </w:tcPr>
                <w:p w14:paraId="411E9E61">
                  <w:pPr>
                    <w:jc w:val="center"/>
                    <w:rPr>
                      <w:color w:val="auto"/>
                      <w:sz w:val="22"/>
                      <w:szCs w:val="22"/>
                      <w:highlight w:val="none"/>
                    </w:rPr>
                  </w:pPr>
                  <w:r>
                    <w:rPr>
                      <w:rFonts w:hint="eastAsia" w:eastAsia="Times New Roman"/>
                      <w:color w:val="auto"/>
                      <w:sz w:val="22"/>
                      <w:highlight w:val="none"/>
                    </w:rPr>
                    <w:t>50</w:t>
                  </w:r>
                </w:p>
              </w:tc>
              <w:tc>
                <w:tcPr>
                  <w:tcW w:w="900" w:type="dxa"/>
                  <w:vAlign w:val="bottom"/>
                </w:tcPr>
                <w:p w14:paraId="296C657E">
                  <w:pPr>
                    <w:keepNext w:val="0"/>
                    <w:keepLines w:val="0"/>
                    <w:widowControl/>
                    <w:suppressLineNumbers w:val="0"/>
                    <w:jc w:val="center"/>
                    <w:textAlignment w:val="bottom"/>
                    <w:rPr>
                      <w:color w:val="auto"/>
                      <w:kern w:val="0"/>
                      <w:sz w:val="22"/>
                      <w:szCs w:val="22"/>
                      <w:highlight w:val="none"/>
                      <w:lang w:bidi="ar"/>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0.017 </w:t>
                  </w:r>
                </w:p>
              </w:tc>
              <w:tc>
                <w:tcPr>
                  <w:tcW w:w="964" w:type="dxa"/>
                  <w:vAlign w:val="bottom"/>
                </w:tcPr>
                <w:p w14:paraId="3DF00C52">
                  <w:pPr>
                    <w:keepNext w:val="0"/>
                    <w:keepLines w:val="0"/>
                    <w:widowControl/>
                    <w:suppressLineNumbers w:val="0"/>
                    <w:jc w:val="center"/>
                    <w:textAlignment w:val="bottom"/>
                    <w:rPr>
                      <w:color w:val="auto"/>
                      <w:kern w:val="0"/>
                      <w:sz w:val="22"/>
                      <w:szCs w:val="22"/>
                      <w:highlight w:val="none"/>
                      <w:lang w:bidi="ar"/>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0.004 </w:t>
                  </w:r>
                </w:p>
              </w:tc>
              <w:tc>
                <w:tcPr>
                  <w:tcW w:w="418" w:type="dxa"/>
                  <w:vMerge w:val="continue"/>
                  <w:vAlign w:val="center"/>
                </w:tcPr>
                <w:p w14:paraId="49E90F64">
                  <w:pPr>
                    <w:jc w:val="center"/>
                    <w:rPr>
                      <w:color w:val="auto"/>
                      <w:sz w:val="22"/>
                      <w:szCs w:val="22"/>
                      <w:highlight w:val="none"/>
                    </w:rPr>
                  </w:pPr>
                </w:p>
              </w:tc>
            </w:tr>
            <w:tr w14:paraId="2310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76" w:type="dxa"/>
                  <w:vMerge w:val="continue"/>
                  <w:vAlign w:val="center"/>
                </w:tcPr>
                <w:p w14:paraId="273F1634">
                  <w:pPr>
                    <w:jc w:val="center"/>
                    <w:rPr>
                      <w:color w:val="auto"/>
                      <w:sz w:val="22"/>
                      <w:szCs w:val="22"/>
                      <w:highlight w:val="none"/>
                    </w:rPr>
                  </w:pPr>
                </w:p>
              </w:tc>
              <w:tc>
                <w:tcPr>
                  <w:tcW w:w="472" w:type="dxa"/>
                  <w:vMerge w:val="continue"/>
                  <w:vAlign w:val="center"/>
                </w:tcPr>
                <w:p w14:paraId="75367A85">
                  <w:pPr>
                    <w:jc w:val="center"/>
                    <w:rPr>
                      <w:color w:val="auto"/>
                      <w:sz w:val="22"/>
                      <w:szCs w:val="22"/>
                      <w:highlight w:val="none"/>
                    </w:rPr>
                  </w:pPr>
                </w:p>
              </w:tc>
              <w:tc>
                <w:tcPr>
                  <w:tcW w:w="1020" w:type="dxa"/>
                  <w:vAlign w:val="center"/>
                </w:tcPr>
                <w:p w14:paraId="168F2AF4">
                  <w:pPr>
                    <w:widowControl/>
                    <w:jc w:val="center"/>
                    <w:textAlignment w:val="bottom"/>
                    <w:rPr>
                      <w:color w:val="auto"/>
                      <w:sz w:val="22"/>
                      <w:szCs w:val="22"/>
                      <w:highlight w:val="none"/>
                    </w:rPr>
                  </w:pPr>
                  <w:r>
                    <w:rPr>
                      <w:color w:val="auto"/>
                      <w:kern w:val="0"/>
                      <w:sz w:val="22"/>
                      <w:szCs w:val="22"/>
                      <w:highlight w:val="none"/>
                      <w:lang w:bidi="ar"/>
                    </w:rPr>
                    <w:t>SS</w:t>
                  </w:r>
                </w:p>
              </w:tc>
              <w:tc>
                <w:tcPr>
                  <w:tcW w:w="728" w:type="dxa"/>
                  <w:vMerge w:val="continue"/>
                  <w:vAlign w:val="center"/>
                </w:tcPr>
                <w:p w14:paraId="30B93F86">
                  <w:pPr>
                    <w:jc w:val="center"/>
                    <w:rPr>
                      <w:color w:val="auto"/>
                      <w:sz w:val="22"/>
                      <w:szCs w:val="22"/>
                      <w:highlight w:val="none"/>
                    </w:rPr>
                  </w:pPr>
                </w:p>
              </w:tc>
              <w:tc>
                <w:tcPr>
                  <w:tcW w:w="718" w:type="dxa"/>
                  <w:vAlign w:val="center"/>
                </w:tcPr>
                <w:p w14:paraId="3257E13C">
                  <w:pPr>
                    <w:jc w:val="center"/>
                    <w:rPr>
                      <w:color w:val="auto"/>
                      <w:kern w:val="0"/>
                      <w:sz w:val="22"/>
                      <w:szCs w:val="22"/>
                      <w:highlight w:val="none"/>
                      <w:lang w:bidi="ar"/>
                    </w:rPr>
                  </w:pPr>
                  <w:r>
                    <w:rPr>
                      <w:rFonts w:hint="eastAsia" w:eastAsia="Times New Roman"/>
                      <w:color w:val="auto"/>
                      <w:sz w:val="22"/>
                      <w:highlight w:val="none"/>
                    </w:rPr>
                    <w:t>100</w:t>
                  </w:r>
                </w:p>
              </w:tc>
              <w:tc>
                <w:tcPr>
                  <w:tcW w:w="921" w:type="dxa"/>
                  <w:vAlign w:val="bottom"/>
                </w:tcPr>
                <w:p w14:paraId="793B09D5">
                  <w:pPr>
                    <w:keepNext w:val="0"/>
                    <w:keepLines w:val="0"/>
                    <w:widowControl/>
                    <w:suppressLineNumbers w:val="0"/>
                    <w:jc w:val="center"/>
                    <w:textAlignment w:val="bottom"/>
                    <w:rPr>
                      <w:color w:val="auto"/>
                      <w:kern w:val="0"/>
                      <w:sz w:val="22"/>
                      <w:szCs w:val="22"/>
                      <w:highlight w:val="none"/>
                      <w:lang w:bidi="ar"/>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0.008 </w:t>
                  </w:r>
                </w:p>
              </w:tc>
              <w:tc>
                <w:tcPr>
                  <w:tcW w:w="686" w:type="dxa"/>
                  <w:vMerge w:val="continue"/>
                  <w:vAlign w:val="center"/>
                </w:tcPr>
                <w:p w14:paraId="2FFDCC9F">
                  <w:pPr>
                    <w:jc w:val="center"/>
                    <w:rPr>
                      <w:color w:val="auto"/>
                      <w:sz w:val="22"/>
                      <w:szCs w:val="22"/>
                      <w:highlight w:val="none"/>
                    </w:rPr>
                  </w:pPr>
                </w:p>
              </w:tc>
              <w:tc>
                <w:tcPr>
                  <w:tcW w:w="444" w:type="dxa"/>
                  <w:vMerge w:val="continue"/>
                  <w:vAlign w:val="center"/>
                </w:tcPr>
                <w:p w14:paraId="582A564C">
                  <w:pPr>
                    <w:jc w:val="center"/>
                    <w:rPr>
                      <w:color w:val="auto"/>
                      <w:sz w:val="22"/>
                      <w:szCs w:val="22"/>
                      <w:highlight w:val="none"/>
                    </w:rPr>
                  </w:pPr>
                </w:p>
              </w:tc>
              <w:tc>
                <w:tcPr>
                  <w:tcW w:w="797" w:type="dxa"/>
                  <w:vAlign w:val="center"/>
                </w:tcPr>
                <w:p w14:paraId="36C97738">
                  <w:pPr>
                    <w:jc w:val="center"/>
                    <w:rPr>
                      <w:color w:val="auto"/>
                      <w:kern w:val="0"/>
                      <w:sz w:val="22"/>
                      <w:szCs w:val="22"/>
                      <w:highlight w:val="none"/>
                      <w:lang w:bidi="ar"/>
                    </w:rPr>
                  </w:pPr>
                  <w:r>
                    <w:rPr>
                      <w:rFonts w:hint="eastAsia" w:eastAsia="Times New Roman"/>
                      <w:color w:val="auto"/>
                      <w:sz w:val="22"/>
                      <w:highlight w:val="none"/>
                    </w:rPr>
                    <w:t>/</w:t>
                  </w:r>
                </w:p>
              </w:tc>
              <w:tc>
                <w:tcPr>
                  <w:tcW w:w="739" w:type="dxa"/>
                  <w:vMerge w:val="continue"/>
                  <w:vAlign w:val="center"/>
                </w:tcPr>
                <w:p w14:paraId="01478345">
                  <w:pPr>
                    <w:jc w:val="center"/>
                    <w:rPr>
                      <w:color w:val="auto"/>
                      <w:sz w:val="22"/>
                      <w:szCs w:val="22"/>
                      <w:highlight w:val="none"/>
                    </w:rPr>
                  </w:pPr>
                </w:p>
              </w:tc>
              <w:tc>
                <w:tcPr>
                  <w:tcW w:w="697" w:type="dxa"/>
                  <w:vMerge w:val="continue"/>
                  <w:vAlign w:val="center"/>
                </w:tcPr>
                <w:p w14:paraId="50737088">
                  <w:pPr>
                    <w:jc w:val="center"/>
                    <w:rPr>
                      <w:color w:val="auto"/>
                      <w:sz w:val="22"/>
                      <w:szCs w:val="22"/>
                      <w:highlight w:val="none"/>
                    </w:rPr>
                  </w:pPr>
                </w:p>
              </w:tc>
              <w:tc>
                <w:tcPr>
                  <w:tcW w:w="910" w:type="dxa"/>
                  <w:vAlign w:val="center"/>
                </w:tcPr>
                <w:p w14:paraId="08C64579">
                  <w:pPr>
                    <w:jc w:val="center"/>
                    <w:rPr>
                      <w:color w:val="auto"/>
                      <w:kern w:val="0"/>
                      <w:sz w:val="22"/>
                      <w:szCs w:val="22"/>
                      <w:highlight w:val="none"/>
                      <w:lang w:bidi="ar"/>
                    </w:rPr>
                  </w:pPr>
                  <w:r>
                    <w:rPr>
                      <w:rFonts w:hint="eastAsia" w:eastAsia="Times New Roman"/>
                      <w:color w:val="auto"/>
                      <w:sz w:val="22"/>
                      <w:highlight w:val="none"/>
                    </w:rPr>
                    <w:t>100</w:t>
                  </w:r>
                </w:p>
              </w:tc>
              <w:tc>
                <w:tcPr>
                  <w:tcW w:w="933" w:type="dxa"/>
                  <w:vAlign w:val="center"/>
                </w:tcPr>
                <w:p w14:paraId="2B9DB09F">
                  <w:pPr>
                    <w:jc w:val="center"/>
                    <w:rPr>
                      <w:color w:val="auto"/>
                      <w:kern w:val="0"/>
                      <w:sz w:val="22"/>
                      <w:szCs w:val="22"/>
                      <w:highlight w:val="none"/>
                      <w:lang w:bidi="ar"/>
                    </w:rPr>
                  </w:pPr>
                  <w:r>
                    <w:rPr>
                      <w:rFonts w:hint="eastAsia" w:eastAsia="Times New Roman"/>
                      <w:color w:val="auto"/>
                      <w:sz w:val="22"/>
                      <w:highlight w:val="none"/>
                    </w:rPr>
                    <w:t>10</w:t>
                  </w:r>
                </w:p>
              </w:tc>
              <w:tc>
                <w:tcPr>
                  <w:tcW w:w="900" w:type="dxa"/>
                  <w:vAlign w:val="bottom"/>
                </w:tcPr>
                <w:p w14:paraId="0419BD73">
                  <w:pPr>
                    <w:keepNext w:val="0"/>
                    <w:keepLines w:val="0"/>
                    <w:widowControl/>
                    <w:suppressLineNumbers w:val="0"/>
                    <w:jc w:val="center"/>
                    <w:textAlignment w:val="bottom"/>
                    <w:rPr>
                      <w:color w:val="auto"/>
                      <w:kern w:val="0"/>
                      <w:sz w:val="22"/>
                      <w:szCs w:val="22"/>
                      <w:highlight w:val="none"/>
                      <w:lang w:bidi="ar"/>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0.008 </w:t>
                  </w:r>
                </w:p>
              </w:tc>
              <w:tc>
                <w:tcPr>
                  <w:tcW w:w="964" w:type="dxa"/>
                  <w:vAlign w:val="bottom"/>
                </w:tcPr>
                <w:p w14:paraId="0CB3E265">
                  <w:pPr>
                    <w:keepNext w:val="0"/>
                    <w:keepLines w:val="0"/>
                    <w:widowControl/>
                    <w:suppressLineNumbers w:val="0"/>
                    <w:jc w:val="center"/>
                    <w:textAlignment w:val="bottom"/>
                    <w:rPr>
                      <w:color w:val="auto"/>
                      <w:kern w:val="0"/>
                      <w:sz w:val="22"/>
                      <w:szCs w:val="22"/>
                      <w:highlight w:val="none"/>
                      <w:lang w:bidi="ar"/>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0.0008 </w:t>
                  </w:r>
                </w:p>
              </w:tc>
              <w:tc>
                <w:tcPr>
                  <w:tcW w:w="418" w:type="dxa"/>
                  <w:vMerge w:val="continue"/>
                  <w:vAlign w:val="center"/>
                </w:tcPr>
                <w:p w14:paraId="466A3112">
                  <w:pPr>
                    <w:jc w:val="center"/>
                    <w:rPr>
                      <w:color w:val="auto"/>
                      <w:sz w:val="22"/>
                      <w:szCs w:val="22"/>
                      <w:highlight w:val="none"/>
                    </w:rPr>
                  </w:pPr>
                </w:p>
              </w:tc>
            </w:tr>
            <w:tr w14:paraId="1DDE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76" w:type="dxa"/>
                  <w:vMerge w:val="continue"/>
                  <w:vAlign w:val="center"/>
                </w:tcPr>
                <w:p w14:paraId="3D338060">
                  <w:pPr>
                    <w:jc w:val="center"/>
                    <w:rPr>
                      <w:color w:val="auto"/>
                      <w:sz w:val="22"/>
                      <w:szCs w:val="22"/>
                      <w:highlight w:val="none"/>
                    </w:rPr>
                  </w:pPr>
                </w:p>
              </w:tc>
              <w:tc>
                <w:tcPr>
                  <w:tcW w:w="472" w:type="dxa"/>
                  <w:vMerge w:val="continue"/>
                  <w:vAlign w:val="center"/>
                </w:tcPr>
                <w:p w14:paraId="1729DBD9">
                  <w:pPr>
                    <w:jc w:val="center"/>
                    <w:rPr>
                      <w:color w:val="auto"/>
                      <w:sz w:val="22"/>
                      <w:szCs w:val="22"/>
                      <w:highlight w:val="none"/>
                    </w:rPr>
                  </w:pPr>
                </w:p>
              </w:tc>
              <w:tc>
                <w:tcPr>
                  <w:tcW w:w="1020" w:type="dxa"/>
                  <w:vAlign w:val="center"/>
                </w:tcPr>
                <w:p w14:paraId="7E350F8E">
                  <w:pPr>
                    <w:widowControl/>
                    <w:jc w:val="center"/>
                    <w:textAlignment w:val="bottom"/>
                    <w:rPr>
                      <w:rFonts w:hint="eastAsia" w:eastAsia="宋体"/>
                      <w:color w:val="auto"/>
                      <w:kern w:val="0"/>
                      <w:sz w:val="22"/>
                      <w:szCs w:val="22"/>
                      <w:highlight w:val="none"/>
                      <w:lang w:eastAsia="zh-CN" w:bidi="ar"/>
                    </w:rPr>
                  </w:pPr>
                  <w:r>
                    <w:rPr>
                      <w:rFonts w:hint="eastAsia"/>
                      <w:color w:val="auto"/>
                      <w:kern w:val="0"/>
                      <w:sz w:val="22"/>
                      <w:szCs w:val="22"/>
                      <w:highlight w:val="none"/>
                      <w:lang w:eastAsia="zh-CN" w:bidi="ar"/>
                    </w:rPr>
                    <w:t>石油类</w:t>
                  </w:r>
                </w:p>
              </w:tc>
              <w:tc>
                <w:tcPr>
                  <w:tcW w:w="728" w:type="dxa"/>
                  <w:vMerge w:val="continue"/>
                  <w:vAlign w:val="center"/>
                </w:tcPr>
                <w:p w14:paraId="3FC722F8">
                  <w:pPr>
                    <w:jc w:val="center"/>
                    <w:rPr>
                      <w:color w:val="auto"/>
                      <w:sz w:val="22"/>
                      <w:szCs w:val="22"/>
                      <w:highlight w:val="none"/>
                    </w:rPr>
                  </w:pPr>
                </w:p>
              </w:tc>
              <w:tc>
                <w:tcPr>
                  <w:tcW w:w="718" w:type="dxa"/>
                  <w:vAlign w:val="center"/>
                </w:tcPr>
                <w:p w14:paraId="2E2A00A1">
                  <w:pPr>
                    <w:jc w:val="center"/>
                    <w:rPr>
                      <w:rFonts w:hint="default" w:eastAsia="宋体"/>
                      <w:color w:val="auto"/>
                      <w:sz w:val="22"/>
                      <w:highlight w:val="none"/>
                      <w:lang w:val="en-US" w:eastAsia="zh-CN"/>
                    </w:rPr>
                  </w:pPr>
                  <w:r>
                    <w:rPr>
                      <w:rFonts w:hint="eastAsia" w:eastAsia="宋体"/>
                      <w:color w:val="auto"/>
                      <w:sz w:val="22"/>
                      <w:highlight w:val="none"/>
                      <w:lang w:val="en-US" w:eastAsia="zh-CN"/>
                    </w:rPr>
                    <w:t>50</w:t>
                  </w:r>
                </w:p>
              </w:tc>
              <w:tc>
                <w:tcPr>
                  <w:tcW w:w="921" w:type="dxa"/>
                  <w:vAlign w:val="bottom"/>
                </w:tcPr>
                <w:p w14:paraId="2F5876F2">
                  <w:pPr>
                    <w:keepNext w:val="0"/>
                    <w:keepLines w:val="0"/>
                    <w:widowControl/>
                    <w:suppressLineNumbers w:val="0"/>
                    <w:jc w:val="center"/>
                    <w:textAlignment w:val="bottom"/>
                    <w:rPr>
                      <w:rFonts w:hint="default" w:eastAsia="宋体"/>
                      <w:color w:val="auto"/>
                      <w:sz w:val="22"/>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0.004 </w:t>
                  </w:r>
                </w:p>
              </w:tc>
              <w:tc>
                <w:tcPr>
                  <w:tcW w:w="686" w:type="dxa"/>
                  <w:vMerge w:val="continue"/>
                  <w:vAlign w:val="center"/>
                </w:tcPr>
                <w:p w14:paraId="44FF359E">
                  <w:pPr>
                    <w:jc w:val="center"/>
                    <w:rPr>
                      <w:color w:val="auto"/>
                      <w:sz w:val="22"/>
                      <w:szCs w:val="22"/>
                      <w:highlight w:val="none"/>
                    </w:rPr>
                  </w:pPr>
                </w:p>
              </w:tc>
              <w:tc>
                <w:tcPr>
                  <w:tcW w:w="444" w:type="dxa"/>
                  <w:vMerge w:val="continue"/>
                  <w:vAlign w:val="center"/>
                </w:tcPr>
                <w:p w14:paraId="1B8C75D4">
                  <w:pPr>
                    <w:jc w:val="center"/>
                    <w:rPr>
                      <w:color w:val="auto"/>
                      <w:sz w:val="22"/>
                      <w:szCs w:val="22"/>
                      <w:highlight w:val="none"/>
                    </w:rPr>
                  </w:pPr>
                </w:p>
              </w:tc>
              <w:tc>
                <w:tcPr>
                  <w:tcW w:w="797" w:type="dxa"/>
                  <w:vAlign w:val="center"/>
                </w:tcPr>
                <w:p w14:paraId="6DCD589E">
                  <w:pPr>
                    <w:jc w:val="center"/>
                    <w:rPr>
                      <w:rFonts w:hint="default" w:eastAsia="宋体"/>
                      <w:color w:val="auto"/>
                      <w:sz w:val="22"/>
                      <w:highlight w:val="none"/>
                      <w:lang w:val="en-US" w:eastAsia="zh-CN"/>
                    </w:rPr>
                  </w:pPr>
                  <w:r>
                    <w:rPr>
                      <w:rFonts w:hint="default" w:eastAsia="宋体"/>
                      <w:color w:val="auto"/>
                      <w:sz w:val="22"/>
                      <w:highlight w:val="none"/>
                      <w:lang w:val="en-US" w:eastAsia="zh-CN"/>
                    </w:rPr>
                    <w:t>/</w:t>
                  </w:r>
                </w:p>
              </w:tc>
              <w:tc>
                <w:tcPr>
                  <w:tcW w:w="739" w:type="dxa"/>
                  <w:vMerge w:val="continue"/>
                  <w:vAlign w:val="center"/>
                </w:tcPr>
                <w:p w14:paraId="191A6E7A">
                  <w:pPr>
                    <w:jc w:val="center"/>
                    <w:rPr>
                      <w:color w:val="auto"/>
                      <w:sz w:val="22"/>
                      <w:szCs w:val="22"/>
                      <w:highlight w:val="none"/>
                    </w:rPr>
                  </w:pPr>
                </w:p>
              </w:tc>
              <w:tc>
                <w:tcPr>
                  <w:tcW w:w="697" w:type="dxa"/>
                  <w:vMerge w:val="continue"/>
                  <w:vAlign w:val="center"/>
                </w:tcPr>
                <w:p w14:paraId="02DCF889">
                  <w:pPr>
                    <w:jc w:val="center"/>
                    <w:rPr>
                      <w:color w:val="auto"/>
                      <w:sz w:val="22"/>
                      <w:szCs w:val="22"/>
                      <w:highlight w:val="none"/>
                    </w:rPr>
                  </w:pPr>
                </w:p>
              </w:tc>
              <w:tc>
                <w:tcPr>
                  <w:tcW w:w="910" w:type="dxa"/>
                  <w:vAlign w:val="center"/>
                </w:tcPr>
                <w:p w14:paraId="29D78C16">
                  <w:pPr>
                    <w:keepNext w:val="0"/>
                    <w:keepLines w:val="0"/>
                    <w:widowControl/>
                    <w:suppressLineNumbers w:val="0"/>
                    <w:jc w:val="center"/>
                    <w:textAlignment w:val="bottom"/>
                    <w:rPr>
                      <w:rFonts w:hint="eastAsia"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30</w:t>
                  </w:r>
                </w:p>
              </w:tc>
              <w:tc>
                <w:tcPr>
                  <w:tcW w:w="933" w:type="dxa"/>
                  <w:vAlign w:val="center"/>
                </w:tcPr>
                <w:p w14:paraId="70FDA1C9">
                  <w:pPr>
                    <w:keepNext w:val="0"/>
                    <w:keepLines w:val="0"/>
                    <w:widowControl/>
                    <w:suppressLineNumbers w:val="0"/>
                    <w:jc w:val="center"/>
                    <w:textAlignment w:val="bottom"/>
                    <w:rPr>
                      <w:rFonts w:hint="eastAsia"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900" w:type="dxa"/>
                  <w:vAlign w:val="bottom"/>
                </w:tcPr>
                <w:p w14:paraId="6380948A">
                  <w:pPr>
                    <w:keepNext w:val="0"/>
                    <w:keepLines w:val="0"/>
                    <w:widowControl/>
                    <w:suppressLineNumbers w:val="0"/>
                    <w:jc w:val="center"/>
                    <w:textAlignment w:val="bottom"/>
                    <w:rPr>
                      <w:rFonts w:hint="eastAsia"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0.003 </w:t>
                  </w:r>
                </w:p>
              </w:tc>
              <w:tc>
                <w:tcPr>
                  <w:tcW w:w="964" w:type="dxa"/>
                  <w:vAlign w:val="bottom"/>
                </w:tcPr>
                <w:p w14:paraId="29AFAC6C">
                  <w:pPr>
                    <w:keepNext w:val="0"/>
                    <w:keepLines w:val="0"/>
                    <w:widowControl/>
                    <w:suppressLineNumbers w:val="0"/>
                    <w:jc w:val="center"/>
                    <w:textAlignment w:val="bottom"/>
                    <w:rPr>
                      <w:rFonts w:hint="eastAsia"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0.00008 </w:t>
                  </w:r>
                </w:p>
              </w:tc>
              <w:tc>
                <w:tcPr>
                  <w:tcW w:w="418" w:type="dxa"/>
                  <w:vMerge w:val="continue"/>
                  <w:vAlign w:val="center"/>
                </w:tcPr>
                <w:p w14:paraId="3B0058C1">
                  <w:pPr>
                    <w:jc w:val="center"/>
                    <w:rPr>
                      <w:color w:val="auto"/>
                      <w:sz w:val="22"/>
                      <w:szCs w:val="22"/>
                      <w:highlight w:val="none"/>
                    </w:rPr>
                  </w:pPr>
                </w:p>
              </w:tc>
            </w:tr>
            <w:tr w14:paraId="5515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76" w:type="dxa"/>
                  <w:vMerge w:val="restart"/>
                  <w:vAlign w:val="center"/>
                </w:tcPr>
                <w:p w14:paraId="0D7005CD">
                  <w:pPr>
                    <w:jc w:val="center"/>
                    <w:rPr>
                      <w:color w:val="auto"/>
                      <w:sz w:val="22"/>
                      <w:szCs w:val="22"/>
                      <w:highlight w:val="none"/>
                    </w:rPr>
                  </w:pPr>
                  <w:r>
                    <w:rPr>
                      <w:color w:val="auto"/>
                      <w:sz w:val="22"/>
                      <w:szCs w:val="22"/>
                      <w:highlight w:val="none"/>
                    </w:rPr>
                    <w:t>地面拖洗废水</w:t>
                  </w:r>
                </w:p>
              </w:tc>
              <w:tc>
                <w:tcPr>
                  <w:tcW w:w="472" w:type="dxa"/>
                  <w:vMerge w:val="continue"/>
                  <w:vAlign w:val="center"/>
                </w:tcPr>
                <w:p w14:paraId="3478EEA7">
                  <w:pPr>
                    <w:jc w:val="center"/>
                    <w:rPr>
                      <w:color w:val="auto"/>
                      <w:sz w:val="22"/>
                      <w:szCs w:val="22"/>
                      <w:highlight w:val="none"/>
                    </w:rPr>
                  </w:pPr>
                </w:p>
              </w:tc>
              <w:tc>
                <w:tcPr>
                  <w:tcW w:w="1020" w:type="dxa"/>
                  <w:vAlign w:val="center"/>
                </w:tcPr>
                <w:p w14:paraId="2271DDB2">
                  <w:pPr>
                    <w:widowControl/>
                    <w:jc w:val="center"/>
                    <w:textAlignment w:val="bottom"/>
                    <w:rPr>
                      <w:color w:val="auto"/>
                      <w:kern w:val="0"/>
                      <w:sz w:val="22"/>
                      <w:szCs w:val="22"/>
                      <w:highlight w:val="none"/>
                      <w:lang w:bidi="ar"/>
                    </w:rPr>
                  </w:pPr>
                  <w:r>
                    <w:rPr>
                      <w:rFonts w:hint="eastAsia"/>
                      <w:color w:val="auto"/>
                      <w:kern w:val="0"/>
                      <w:sz w:val="22"/>
                      <w:szCs w:val="22"/>
                      <w:highlight w:val="none"/>
                      <w:lang w:bidi="ar"/>
                    </w:rPr>
                    <w:t>pH</w:t>
                  </w:r>
                </w:p>
              </w:tc>
              <w:tc>
                <w:tcPr>
                  <w:tcW w:w="728" w:type="dxa"/>
                  <w:vMerge w:val="restart"/>
                  <w:vAlign w:val="center"/>
                </w:tcPr>
                <w:p w14:paraId="6A1F740D">
                  <w:pPr>
                    <w:jc w:val="center"/>
                    <w:rPr>
                      <w:color w:val="auto"/>
                      <w:sz w:val="22"/>
                      <w:szCs w:val="22"/>
                      <w:highlight w:val="none"/>
                    </w:rPr>
                  </w:pPr>
                  <w:r>
                    <w:rPr>
                      <w:rFonts w:hint="eastAsia"/>
                      <w:color w:val="auto"/>
                      <w:sz w:val="22"/>
                      <w:szCs w:val="22"/>
                      <w:highlight w:val="none"/>
                    </w:rPr>
                    <w:t>19.33</w:t>
                  </w:r>
                </w:p>
              </w:tc>
              <w:tc>
                <w:tcPr>
                  <w:tcW w:w="718" w:type="dxa"/>
                  <w:vAlign w:val="center"/>
                </w:tcPr>
                <w:p w14:paraId="6BD6F660">
                  <w:pPr>
                    <w:jc w:val="center"/>
                    <w:rPr>
                      <w:color w:val="auto"/>
                      <w:kern w:val="0"/>
                      <w:sz w:val="22"/>
                      <w:szCs w:val="22"/>
                      <w:highlight w:val="none"/>
                      <w:lang w:bidi="ar"/>
                    </w:rPr>
                  </w:pPr>
                  <w:r>
                    <w:rPr>
                      <w:rFonts w:hint="eastAsia" w:eastAsia="Times New Roman"/>
                      <w:color w:val="auto"/>
                      <w:sz w:val="22"/>
                      <w:highlight w:val="none"/>
                    </w:rPr>
                    <w:t>/</w:t>
                  </w:r>
                </w:p>
              </w:tc>
              <w:tc>
                <w:tcPr>
                  <w:tcW w:w="921" w:type="dxa"/>
                  <w:vAlign w:val="center"/>
                </w:tcPr>
                <w:p w14:paraId="78594248">
                  <w:pPr>
                    <w:jc w:val="center"/>
                    <w:rPr>
                      <w:color w:val="auto"/>
                      <w:kern w:val="0"/>
                      <w:sz w:val="22"/>
                      <w:szCs w:val="22"/>
                      <w:highlight w:val="none"/>
                      <w:lang w:bidi="ar"/>
                    </w:rPr>
                  </w:pPr>
                  <w:r>
                    <w:rPr>
                      <w:rFonts w:hint="eastAsia" w:eastAsia="Times New Roman"/>
                      <w:color w:val="auto"/>
                      <w:sz w:val="22"/>
                      <w:highlight w:val="none"/>
                    </w:rPr>
                    <w:t>/</w:t>
                  </w:r>
                </w:p>
              </w:tc>
              <w:tc>
                <w:tcPr>
                  <w:tcW w:w="686" w:type="dxa"/>
                  <w:vMerge w:val="continue"/>
                  <w:vAlign w:val="center"/>
                </w:tcPr>
                <w:p w14:paraId="1E6EFA71">
                  <w:pPr>
                    <w:jc w:val="center"/>
                    <w:rPr>
                      <w:color w:val="auto"/>
                      <w:sz w:val="22"/>
                      <w:szCs w:val="22"/>
                      <w:highlight w:val="none"/>
                    </w:rPr>
                  </w:pPr>
                </w:p>
              </w:tc>
              <w:tc>
                <w:tcPr>
                  <w:tcW w:w="444" w:type="dxa"/>
                  <w:vMerge w:val="continue"/>
                  <w:vAlign w:val="center"/>
                </w:tcPr>
                <w:p w14:paraId="6D1EC7CC">
                  <w:pPr>
                    <w:jc w:val="center"/>
                    <w:rPr>
                      <w:color w:val="auto"/>
                      <w:sz w:val="22"/>
                      <w:szCs w:val="22"/>
                      <w:highlight w:val="none"/>
                    </w:rPr>
                  </w:pPr>
                </w:p>
              </w:tc>
              <w:tc>
                <w:tcPr>
                  <w:tcW w:w="797" w:type="dxa"/>
                  <w:vAlign w:val="center"/>
                </w:tcPr>
                <w:p w14:paraId="26A451E0">
                  <w:pPr>
                    <w:jc w:val="center"/>
                    <w:rPr>
                      <w:color w:val="auto"/>
                      <w:kern w:val="0"/>
                      <w:sz w:val="22"/>
                      <w:szCs w:val="22"/>
                      <w:highlight w:val="none"/>
                      <w:lang w:bidi="ar"/>
                    </w:rPr>
                  </w:pPr>
                  <w:r>
                    <w:rPr>
                      <w:rFonts w:hint="eastAsia" w:eastAsia="Times New Roman"/>
                      <w:color w:val="auto"/>
                      <w:sz w:val="22"/>
                      <w:highlight w:val="none"/>
                    </w:rPr>
                    <w:t>/</w:t>
                  </w:r>
                </w:p>
              </w:tc>
              <w:tc>
                <w:tcPr>
                  <w:tcW w:w="739" w:type="dxa"/>
                  <w:vMerge w:val="continue"/>
                  <w:vAlign w:val="center"/>
                </w:tcPr>
                <w:p w14:paraId="2C31C074">
                  <w:pPr>
                    <w:jc w:val="center"/>
                    <w:rPr>
                      <w:color w:val="auto"/>
                      <w:sz w:val="22"/>
                      <w:szCs w:val="22"/>
                      <w:highlight w:val="none"/>
                    </w:rPr>
                  </w:pPr>
                </w:p>
              </w:tc>
              <w:tc>
                <w:tcPr>
                  <w:tcW w:w="697" w:type="dxa"/>
                  <w:vMerge w:val="restart"/>
                  <w:vAlign w:val="center"/>
                </w:tcPr>
                <w:p w14:paraId="7D2B1D17">
                  <w:pPr>
                    <w:jc w:val="center"/>
                    <w:rPr>
                      <w:color w:val="auto"/>
                      <w:sz w:val="22"/>
                      <w:szCs w:val="22"/>
                      <w:highlight w:val="none"/>
                    </w:rPr>
                  </w:pPr>
                  <w:r>
                    <w:rPr>
                      <w:rFonts w:hint="eastAsia"/>
                      <w:color w:val="auto"/>
                      <w:sz w:val="22"/>
                      <w:szCs w:val="22"/>
                      <w:highlight w:val="none"/>
                    </w:rPr>
                    <w:t>19.33</w:t>
                  </w:r>
                </w:p>
              </w:tc>
              <w:tc>
                <w:tcPr>
                  <w:tcW w:w="910" w:type="dxa"/>
                  <w:vAlign w:val="center"/>
                </w:tcPr>
                <w:p w14:paraId="4A86EFAC">
                  <w:pPr>
                    <w:jc w:val="center"/>
                    <w:rPr>
                      <w:rFonts w:hint="eastAsia" w:eastAsia="Times New Roman"/>
                      <w:color w:val="auto"/>
                      <w:kern w:val="0"/>
                      <w:sz w:val="22"/>
                      <w:szCs w:val="22"/>
                      <w:highlight w:val="none"/>
                      <w:lang w:bidi="ar"/>
                    </w:rPr>
                  </w:pPr>
                  <w:r>
                    <w:rPr>
                      <w:rFonts w:hint="eastAsia" w:eastAsia="Times New Roman"/>
                      <w:color w:val="auto"/>
                      <w:sz w:val="22"/>
                      <w:highlight w:val="none"/>
                    </w:rPr>
                    <w:t>6~9</w:t>
                  </w:r>
                </w:p>
              </w:tc>
              <w:tc>
                <w:tcPr>
                  <w:tcW w:w="933" w:type="dxa"/>
                  <w:vAlign w:val="center"/>
                </w:tcPr>
                <w:p w14:paraId="72212A4C">
                  <w:pPr>
                    <w:jc w:val="center"/>
                    <w:rPr>
                      <w:rFonts w:hint="eastAsia" w:eastAsia="Times New Roman"/>
                      <w:color w:val="auto"/>
                      <w:kern w:val="0"/>
                      <w:sz w:val="22"/>
                      <w:szCs w:val="22"/>
                      <w:highlight w:val="none"/>
                      <w:lang w:bidi="ar"/>
                    </w:rPr>
                  </w:pPr>
                  <w:r>
                    <w:rPr>
                      <w:rFonts w:hint="eastAsia" w:eastAsia="Times New Roman"/>
                      <w:color w:val="auto"/>
                      <w:sz w:val="22"/>
                      <w:highlight w:val="none"/>
                    </w:rPr>
                    <w:t>6~9</w:t>
                  </w:r>
                </w:p>
              </w:tc>
              <w:tc>
                <w:tcPr>
                  <w:tcW w:w="900" w:type="dxa"/>
                  <w:vAlign w:val="center"/>
                </w:tcPr>
                <w:p w14:paraId="2ED5A773">
                  <w:pPr>
                    <w:jc w:val="center"/>
                    <w:rPr>
                      <w:rFonts w:hint="eastAsia" w:eastAsia="Times New Roman"/>
                      <w:color w:val="auto"/>
                      <w:kern w:val="0"/>
                      <w:sz w:val="22"/>
                      <w:szCs w:val="22"/>
                      <w:highlight w:val="none"/>
                      <w:lang w:bidi="ar"/>
                    </w:rPr>
                  </w:pPr>
                  <w:r>
                    <w:rPr>
                      <w:rFonts w:hint="eastAsia" w:eastAsia="Times New Roman"/>
                      <w:color w:val="auto"/>
                      <w:sz w:val="22"/>
                      <w:highlight w:val="none"/>
                    </w:rPr>
                    <w:t>/</w:t>
                  </w:r>
                </w:p>
              </w:tc>
              <w:tc>
                <w:tcPr>
                  <w:tcW w:w="964" w:type="dxa"/>
                  <w:vAlign w:val="center"/>
                </w:tcPr>
                <w:p w14:paraId="259530DC">
                  <w:pPr>
                    <w:jc w:val="center"/>
                    <w:rPr>
                      <w:rFonts w:hint="eastAsia" w:eastAsia="Times New Roman"/>
                      <w:color w:val="auto"/>
                      <w:kern w:val="0"/>
                      <w:sz w:val="22"/>
                      <w:szCs w:val="22"/>
                      <w:highlight w:val="none"/>
                      <w:lang w:bidi="ar"/>
                    </w:rPr>
                  </w:pPr>
                  <w:r>
                    <w:rPr>
                      <w:rFonts w:hint="eastAsia" w:eastAsia="Times New Roman"/>
                      <w:color w:val="auto"/>
                      <w:sz w:val="22"/>
                      <w:highlight w:val="none"/>
                    </w:rPr>
                    <w:t>/</w:t>
                  </w:r>
                </w:p>
              </w:tc>
              <w:tc>
                <w:tcPr>
                  <w:tcW w:w="418" w:type="dxa"/>
                  <w:vMerge w:val="continue"/>
                  <w:vAlign w:val="center"/>
                </w:tcPr>
                <w:p w14:paraId="17CA7FEC">
                  <w:pPr>
                    <w:jc w:val="center"/>
                    <w:rPr>
                      <w:rFonts w:hint="eastAsia" w:eastAsia="Times New Roman"/>
                      <w:color w:val="auto"/>
                      <w:sz w:val="22"/>
                      <w:szCs w:val="22"/>
                      <w:highlight w:val="none"/>
                    </w:rPr>
                  </w:pPr>
                </w:p>
              </w:tc>
            </w:tr>
            <w:tr w14:paraId="5311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76" w:type="dxa"/>
                  <w:vMerge w:val="continue"/>
                  <w:vAlign w:val="center"/>
                </w:tcPr>
                <w:p w14:paraId="3A9C9023">
                  <w:pPr>
                    <w:jc w:val="center"/>
                    <w:rPr>
                      <w:rFonts w:hint="eastAsia" w:eastAsia="Times New Roman"/>
                      <w:color w:val="auto"/>
                      <w:sz w:val="22"/>
                      <w:szCs w:val="22"/>
                      <w:highlight w:val="none"/>
                    </w:rPr>
                  </w:pPr>
                </w:p>
              </w:tc>
              <w:tc>
                <w:tcPr>
                  <w:tcW w:w="472" w:type="dxa"/>
                  <w:vMerge w:val="continue"/>
                  <w:vAlign w:val="center"/>
                </w:tcPr>
                <w:p w14:paraId="6F99E86B">
                  <w:pPr>
                    <w:jc w:val="center"/>
                    <w:rPr>
                      <w:rFonts w:hint="eastAsia" w:eastAsia="Times New Roman"/>
                      <w:color w:val="auto"/>
                      <w:sz w:val="22"/>
                      <w:szCs w:val="22"/>
                      <w:highlight w:val="none"/>
                    </w:rPr>
                  </w:pPr>
                </w:p>
              </w:tc>
              <w:tc>
                <w:tcPr>
                  <w:tcW w:w="1020" w:type="dxa"/>
                  <w:vAlign w:val="center"/>
                </w:tcPr>
                <w:p w14:paraId="10F7FC67">
                  <w:pPr>
                    <w:widowControl/>
                    <w:jc w:val="center"/>
                    <w:textAlignment w:val="bottom"/>
                    <w:rPr>
                      <w:rFonts w:hint="eastAsia" w:eastAsia="Times New Roman"/>
                      <w:color w:val="auto"/>
                      <w:kern w:val="0"/>
                      <w:sz w:val="22"/>
                      <w:szCs w:val="22"/>
                      <w:highlight w:val="none"/>
                      <w:lang w:bidi="ar"/>
                    </w:rPr>
                  </w:pPr>
                  <w:r>
                    <w:rPr>
                      <w:rFonts w:hint="eastAsia" w:eastAsia="Times New Roman"/>
                      <w:color w:val="auto"/>
                      <w:kern w:val="0"/>
                      <w:sz w:val="22"/>
                      <w:szCs w:val="22"/>
                      <w:highlight w:val="none"/>
                      <w:lang w:bidi="ar"/>
                    </w:rPr>
                    <w:t>COD</w:t>
                  </w:r>
                </w:p>
              </w:tc>
              <w:tc>
                <w:tcPr>
                  <w:tcW w:w="728" w:type="dxa"/>
                  <w:vMerge w:val="continue"/>
                  <w:vAlign w:val="center"/>
                </w:tcPr>
                <w:p w14:paraId="0B882E2D">
                  <w:pPr>
                    <w:jc w:val="center"/>
                    <w:rPr>
                      <w:rFonts w:hint="eastAsia" w:eastAsia="Times New Roman"/>
                      <w:color w:val="auto"/>
                      <w:sz w:val="22"/>
                      <w:szCs w:val="22"/>
                      <w:highlight w:val="none"/>
                    </w:rPr>
                  </w:pPr>
                </w:p>
              </w:tc>
              <w:tc>
                <w:tcPr>
                  <w:tcW w:w="718" w:type="dxa"/>
                  <w:vAlign w:val="center"/>
                </w:tcPr>
                <w:p w14:paraId="79A41B71">
                  <w:pPr>
                    <w:jc w:val="center"/>
                    <w:rPr>
                      <w:rFonts w:hint="eastAsia" w:eastAsia="Times New Roman"/>
                      <w:color w:val="auto"/>
                      <w:kern w:val="0"/>
                      <w:sz w:val="22"/>
                      <w:szCs w:val="22"/>
                      <w:highlight w:val="none"/>
                      <w:lang w:bidi="ar"/>
                    </w:rPr>
                  </w:pPr>
                  <w:r>
                    <w:rPr>
                      <w:rFonts w:hint="eastAsia" w:eastAsia="Times New Roman"/>
                      <w:color w:val="auto"/>
                      <w:sz w:val="22"/>
                      <w:highlight w:val="none"/>
                    </w:rPr>
                    <w:t>500</w:t>
                  </w:r>
                </w:p>
              </w:tc>
              <w:tc>
                <w:tcPr>
                  <w:tcW w:w="921" w:type="dxa"/>
                  <w:vAlign w:val="center"/>
                </w:tcPr>
                <w:p w14:paraId="1AEB1848">
                  <w:pPr>
                    <w:jc w:val="center"/>
                    <w:rPr>
                      <w:rFonts w:hint="eastAsia" w:eastAsia="Times New Roman"/>
                      <w:color w:val="auto"/>
                      <w:kern w:val="0"/>
                      <w:sz w:val="22"/>
                      <w:szCs w:val="22"/>
                      <w:highlight w:val="none"/>
                      <w:lang w:bidi="ar"/>
                    </w:rPr>
                  </w:pPr>
                  <w:r>
                    <w:rPr>
                      <w:rFonts w:hint="eastAsia" w:eastAsia="Times New Roman"/>
                      <w:color w:val="auto"/>
                      <w:sz w:val="22"/>
                      <w:highlight w:val="none"/>
                    </w:rPr>
                    <w:t>0.010</w:t>
                  </w:r>
                </w:p>
              </w:tc>
              <w:tc>
                <w:tcPr>
                  <w:tcW w:w="686" w:type="dxa"/>
                  <w:vMerge w:val="continue"/>
                  <w:vAlign w:val="center"/>
                </w:tcPr>
                <w:p w14:paraId="38FDA7B3">
                  <w:pPr>
                    <w:jc w:val="center"/>
                    <w:rPr>
                      <w:rFonts w:hint="eastAsia" w:eastAsia="Times New Roman"/>
                      <w:color w:val="auto"/>
                      <w:sz w:val="22"/>
                      <w:szCs w:val="22"/>
                      <w:highlight w:val="none"/>
                    </w:rPr>
                  </w:pPr>
                </w:p>
              </w:tc>
              <w:tc>
                <w:tcPr>
                  <w:tcW w:w="444" w:type="dxa"/>
                  <w:vMerge w:val="continue"/>
                  <w:vAlign w:val="center"/>
                </w:tcPr>
                <w:p w14:paraId="1C896B4E">
                  <w:pPr>
                    <w:jc w:val="center"/>
                    <w:rPr>
                      <w:rFonts w:hint="eastAsia" w:eastAsia="Times New Roman"/>
                      <w:color w:val="auto"/>
                      <w:sz w:val="22"/>
                      <w:szCs w:val="22"/>
                      <w:highlight w:val="none"/>
                    </w:rPr>
                  </w:pPr>
                </w:p>
              </w:tc>
              <w:tc>
                <w:tcPr>
                  <w:tcW w:w="797" w:type="dxa"/>
                  <w:vAlign w:val="center"/>
                </w:tcPr>
                <w:p w14:paraId="0FB6E6E5">
                  <w:pPr>
                    <w:jc w:val="center"/>
                    <w:rPr>
                      <w:rFonts w:hint="eastAsia" w:eastAsia="Times New Roman"/>
                      <w:color w:val="auto"/>
                      <w:kern w:val="0"/>
                      <w:sz w:val="22"/>
                      <w:szCs w:val="22"/>
                      <w:highlight w:val="none"/>
                      <w:lang w:bidi="ar"/>
                    </w:rPr>
                  </w:pPr>
                  <w:r>
                    <w:rPr>
                      <w:rFonts w:hint="eastAsia" w:eastAsia="Times New Roman"/>
                      <w:color w:val="auto"/>
                      <w:sz w:val="22"/>
                      <w:highlight w:val="none"/>
                    </w:rPr>
                    <w:t>/</w:t>
                  </w:r>
                </w:p>
              </w:tc>
              <w:tc>
                <w:tcPr>
                  <w:tcW w:w="739" w:type="dxa"/>
                  <w:vMerge w:val="continue"/>
                  <w:vAlign w:val="center"/>
                </w:tcPr>
                <w:p w14:paraId="4E9250C4">
                  <w:pPr>
                    <w:jc w:val="center"/>
                    <w:rPr>
                      <w:rFonts w:hint="eastAsia" w:eastAsia="Times New Roman"/>
                      <w:color w:val="auto"/>
                      <w:sz w:val="22"/>
                      <w:szCs w:val="22"/>
                      <w:highlight w:val="none"/>
                    </w:rPr>
                  </w:pPr>
                </w:p>
              </w:tc>
              <w:tc>
                <w:tcPr>
                  <w:tcW w:w="697" w:type="dxa"/>
                  <w:vMerge w:val="continue"/>
                  <w:vAlign w:val="center"/>
                </w:tcPr>
                <w:p w14:paraId="49A2FBB9">
                  <w:pPr>
                    <w:jc w:val="center"/>
                    <w:rPr>
                      <w:rFonts w:hint="eastAsia" w:eastAsia="Times New Roman"/>
                      <w:color w:val="auto"/>
                      <w:sz w:val="22"/>
                      <w:szCs w:val="22"/>
                      <w:highlight w:val="none"/>
                    </w:rPr>
                  </w:pPr>
                </w:p>
              </w:tc>
              <w:tc>
                <w:tcPr>
                  <w:tcW w:w="910" w:type="dxa"/>
                  <w:vAlign w:val="center"/>
                </w:tcPr>
                <w:p w14:paraId="0F1B1F62">
                  <w:pPr>
                    <w:jc w:val="center"/>
                    <w:rPr>
                      <w:rFonts w:hint="eastAsia" w:eastAsia="Times New Roman"/>
                      <w:color w:val="auto"/>
                      <w:kern w:val="0"/>
                      <w:sz w:val="22"/>
                      <w:szCs w:val="22"/>
                      <w:highlight w:val="none"/>
                      <w:lang w:bidi="ar"/>
                    </w:rPr>
                  </w:pPr>
                  <w:r>
                    <w:rPr>
                      <w:rFonts w:hint="eastAsia" w:eastAsia="Times New Roman"/>
                      <w:color w:val="auto"/>
                      <w:sz w:val="22"/>
                      <w:highlight w:val="none"/>
                    </w:rPr>
                    <w:t>500</w:t>
                  </w:r>
                </w:p>
              </w:tc>
              <w:tc>
                <w:tcPr>
                  <w:tcW w:w="933" w:type="dxa"/>
                  <w:vAlign w:val="center"/>
                </w:tcPr>
                <w:p w14:paraId="302CFE6A">
                  <w:pPr>
                    <w:jc w:val="center"/>
                    <w:rPr>
                      <w:rFonts w:hint="eastAsia" w:eastAsia="Times New Roman"/>
                      <w:color w:val="auto"/>
                      <w:kern w:val="0"/>
                      <w:sz w:val="22"/>
                      <w:szCs w:val="22"/>
                      <w:highlight w:val="none"/>
                      <w:lang w:bidi="ar"/>
                    </w:rPr>
                  </w:pPr>
                  <w:r>
                    <w:rPr>
                      <w:rFonts w:hint="eastAsia" w:eastAsia="Times New Roman"/>
                      <w:color w:val="auto"/>
                      <w:sz w:val="22"/>
                      <w:highlight w:val="none"/>
                    </w:rPr>
                    <w:t>50</w:t>
                  </w:r>
                </w:p>
              </w:tc>
              <w:tc>
                <w:tcPr>
                  <w:tcW w:w="900" w:type="dxa"/>
                  <w:vAlign w:val="center"/>
                </w:tcPr>
                <w:p w14:paraId="042C8510">
                  <w:pPr>
                    <w:jc w:val="center"/>
                    <w:rPr>
                      <w:rFonts w:hint="eastAsia" w:eastAsia="Times New Roman"/>
                      <w:color w:val="auto"/>
                      <w:kern w:val="0"/>
                      <w:sz w:val="22"/>
                      <w:szCs w:val="22"/>
                      <w:highlight w:val="none"/>
                      <w:lang w:bidi="ar"/>
                    </w:rPr>
                  </w:pPr>
                  <w:r>
                    <w:rPr>
                      <w:rFonts w:hint="eastAsia" w:eastAsia="Times New Roman"/>
                      <w:color w:val="auto"/>
                      <w:sz w:val="22"/>
                      <w:highlight w:val="none"/>
                    </w:rPr>
                    <w:t>0.010</w:t>
                  </w:r>
                </w:p>
              </w:tc>
              <w:tc>
                <w:tcPr>
                  <w:tcW w:w="964" w:type="dxa"/>
                  <w:vAlign w:val="center"/>
                </w:tcPr>
                <w:p w14:paraId="7D5E5028">
                  <w:pPr>
                    <w:jc w:val="center"/>
                    <w:rPr>
                      <w:rFonts w:hint="eastAsia" w:eastAsia="Times New Roman"/>
                      <w:color w:val="auto"/>
                      <w:kern w:val="0"/>
                      <w:sz w:val="22"/>
                      <w:szCs w:val="22"/>
                      <w:highlight w:val="none"/>
                      <w:lang w:bidi="ar"/>
                    </w:rPr>
                  </w:pPr>
                  <w:r>
                    <w:rPr>
                      <w:rFonts w:hint="eastAsia" w:eastAsia="Times New Roman"/>
                      <w:color w:val="auto"/>
                      <w:sz w:val="22"/>
                      <w:highlight w:val="none"/>
                    </w:rPr>
                    <w:t>0.0010</w:t>
                  </w:r>
                </w:p>
              </w:tc>
              <w:tc>
                <w:tcPr>
                  <w:tcW w:w="418" w:type="dxa"/>
                  <w:vMerge w:val="continue"/>
                  <w:vAlign w:val="center"/>
                </w:tcPr>
                <w:p w14:paraId="450F3369">
                  <w:pPr>
                    <w:jc w:val="center"/>
                    <w:rPr>
                      <w:rFonts w:hint="eastAsia" w:eastAsia="Times New Roman"/>
                      <w:color w:val="auto"/>
                      <w:sz w:val="22"/>
                      <w:szCs w:val="22"/>
                      <w:highlight w:val="none"/>
                    </w:rPr>
                  </w:pPr>
                </w:p>
              </w:tc>
            </w:tr>
            <w:tr w14:paraId="5DC7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76" w:type="dxa"/>
                  <w:vMerge w:val="continue"/>
                  <w:vAlign w:val="center"/>
                </w:tcPr>
                <w:p w14:paraId="05F64F2A">
                  <w:pPr>
                    <w:jc w:val="center"/>
                    <w:rPr>
                      <w:rFonts w:hint="eastAsia" w:eastAsia="Times New Roman"/>
                      <w:color w:val="auto"/>
                      <w:sz w:val="22"/>
                      <w:szCs w:val="22"/>
                      <w:highlight w:val="none"/>
                    </w:rPr>
                  </w:pPr>
                </w:p>
              </w:tc>
              <w:tc>
                <w:tcPr>
                  <w:tcW w:w="472" w:type="dxa"/>
                  <w:vMerge w:val="continue"/>
                  <w:vAlign w:val="center"/>
                </w:tcPr>
                <w:p w14:paraId="1FFED922">
                  <w:pPr>
                    <w:jc w:val="center"/>
                    <w:rPr>
                      <w:rFonts w:hint="eastAsia" w:eastAsia="Times New Roman"/>
                      <w:color w:val="auto"/>
                      <w:sz w:val="22"/>
                      <w:szCs w:val="22"/>
                      <w:highlight w:val="none"/>
                    </w:rPr>
                  </w:pPr>
                </w:p>
              </w:tc>
              <w:tc>
                <w:tcPr>
                  <w:tcW w:w="1020" w:type="dxa"/>
                  <w:vAlign w:val="center"/>
                </w:tcPr>
                <w:p w14:paraId="24E7638D">
                  <w:pPr>
                    <w:widowControl/>
                    <w:jc w:val="center"/>
                    <w:textAlignment w:val="bottom"/>
                    <w:rPr>
                      <w:rFonts w:hint="eastAsia" w:eastAsia="Times New Roman"/>
                      <w:color w:val="auto"/>
                      <w:kern w:val="0"/>
                      <w:sz w:val="22"/>
                      <w:szCs w:val="22"/>
                      <w:highlight w:val="none"/>
                      <w:lang w:bidi="ar"/>
                    </w:rPr>
                  </w:pPr>
                  <w:r>
                    <w:rPr>
                      <w:rFonts w:hint="eastAsia" w:eastAsia="Times New Roman"/>
                      <w:color w:val="auto"/>
                      <w:kern w:val="0"/>
                      <w:sz w:val="22"/>
                      <w:szCs w:val="22"/>
                      <w:highlight w:val="none"/>
                      <w:lang w:bidi="ar"/>
                    </w:rPr>
                    <w:t>SS</w:t>
                  </w:r>
                </w:p>
              </w:tc>
              <w:tc>
                <w:tcPr>
                  <w:tcW w:w="728" w:type="dxa"/>
                  <w:vMerge w:val="continue"/>
                  <w:vAlign w:val="center"/>
                </w:tcPr>
                <w:p w14:paraId="25E24D5D">
                  <w:pPr>
                    <w:jc w:val="center"/>
                    <w:rPr>
                      <w:rFonts w:hint="eastAsia" w:eastAsia="Times New Roman"/>
                      <w:color w:val="auto"/>
                      <w:sz w:val="22"/>
                      <w:szCs w:val="22"/>
                      <w:highlight w:val="none"/>
                    </w:rPr>
                  </w:pPr>
                </w:p>
              </w:tc>
              <w:tc>
                <w:tcPr>
                  <w:tcW w:w="718" w:type="dxa"/>
                  <w:vAlign w:val="center"/>
                </w:tcPr>
                <w:p w14:paraId="7DEB4799">
                  <w:pPr>
                    <w:jc w:val="center"/>
                    <w:rPr>
                      <w:rFonts w:hint="eastAsia" w:eastAsia="Times New Roman"/>
                      <w:color w:val="auto"/>
                      <w:kern w:val="0"/>
                      <w:sz w:val="22"/>
                      <w:szCs w:val="22"/>
                      <w:highlight w:val="none"/>
                      <w:lang w:bidi="ar"/>
                    </w:rPr>
                  </w:pPr>
                  <w:r>
                    <w:rPr>
                      <w:rFonts w:hint="eastAsia" w:eastAsia="Times New Roman"/>
                      <w:color w:val="auto"/>
                      <w:sz w:val="22"/>
                      <w:highlight w:val="none"/>
                    </w:rPr>
                    <w:t>800</w:t>
                  </w:r>
                </w:p>
              </w:tc>
              <w:tc>
                <w:tcPr>
                  <w:tcW w:w="921" w:type="dxa"/>
                  <w:vAlign w:val="center"/>
                </w:tcPr>
                <w:p w14:paraId="199797BB">
                  <w:pPr>
                    <w:jc w:val="center"/>
                    <w:rPr>
                      <w:rFonts w:hint="eastAsia" w:eastAsia="Times New Roman"/>
                      <w:color w:val="auto"/>
                      <w:kern w:val="0"/>
                      <w:sz w:val="22"/>
                      <w:szCs w:val="22"/>
                      <w:highlight w:val="none"/>
                      <w:lang w:bidi="ar"/>
                    </w:rPr>
                  </w:pPr>
                  <w:r>
                    <w:rPr>
                      <w:rFonts w:hint="eastAsia" w:eastAsia="Times New Roman"/>
                      <w:color w:val="auto"/>
                      <w:sz w:val="22"/>
                      <w:highlight w:val="none"/>
                    </w:rPr>
                    <w:t>0.015</w:t>
                  </w:r>
                </w:p>
              </w:tc>
              <w:tc>
                <w:tcPr>
                  <w:tcW w:w="686" w:type="dxa"/>
                  <w:vMerge w:val="continue"/>
                  <w:vAlign w:val="center"/>
                </w:tcPr>
                <w:p w14:paraId="74660F48">
                  <w:pPr>
                    <w:jc w:val="center"/>
                    <w:rPr>
                      <w:rFonts w:hint="eastAsia" w:eastAsia="Times New Roman"/>
                      <w:color w:val="auto"/>
                      <w:sz w:val="22"/>
                      <w:szCs w:val="22"/>
                      <w:highlight w:val="none"/>
                    </w:rPr>
                  </w:pPr>
                </w:p>
              </w:tc>
              <w:tc>
                <w:tcPr>
                  <w:tcW w:w="444" w:type="dxa"/>
                  <w:vMerge w:val="continue"/>
                  <w:vAlign w:val="center"/>
                </w:tcPr>
                <w:p w14:paraId="690259F8">
                  <w:pPr>
                    <w:jc w:val="center"/>
                    <w:rPr>
                      <w:rFonts w:hint="eastAsia" w:eastAsia="Times New Roman"/>
                      <w:color w:val="auto"/>
                      <w:sz w:val="22"/>
                      <w:szCs w:val="22"/>
                      <w:highlight w:val="none"/>
                    </w:rPr>
                  </w:pPr>
                </w:p>
              </w:tc>
              <w:tc>
                <w:tcPr>
                  <w:tcW w:w="797" w:type="dxa"/>
                  <w:vAlign w:val="center"/>
                </w:tcPr>
                <w:p w14:paraId="3102E9F1">
                  <w:pPr>
                    <w:jc w:val="center"/>
                    <w:rPr>
                      <w:rFonts w:hint="eastAsia" w:eastAsia="Times New Roman"/>
                      <w:color w:val="auto"/>
                      <w:kern w:val="0"/>
                      <w:sz w:val="22"/>
                      <w:szCs w:val="22"/>
                      <w:highlight w:val="none"/>
                      <w:lang w:bidi="ar"/>
                    </w:rPr>
                  </w:pPr>
                  <w:r>
                    <w:rPr>
                      <w:rFonts w:hint="eastAsia" w:eastAsia="Times New Roman"/>
                      <w:color w:val="auto"/>
                      <w:sz w:val="22"/>
                      <w:highlight w:val="none"/>
                    </w:rPr>
                    <w:t>/</w:t>
                  </w:r>
                </w:p>
              </w:tc>
              <w:tc>
                <w:tcPr>
                  <w:tcW w:w="739" w:type="dxa"/>
                  <w:vMerge w:val="continue"/>
                  <w:vAlign w:val="center"/>
                </w:tcPr>
                <w:p w14:paraId="75658F37">
                  <w:pPr>
                    <w:jc w:val="center"/>
                    <w:rPr>
                      <w:rFonts w:hint="eastAsia" w:eastAsia="Times New Roman"/>
                      <w:color w:val="auto"/>
                      <w:sz w:val="22"/>
                      <w:szCs w:val="22"/>
                      <w:highlight w:val="none"/>
                    </w:rPr>
                  </w:pPr>
                </w:p>
              </w:tc>
              <w:tc>
                <w:tcPr>
                  <w:tcW w:w="697" w:type="dxa"/>
                  <w:vMerge w:val="continue"/>
                  <w:vAlign w:val="center"/>
                </w:tcPr>
                <w:p w14:paraId="699F4F20">
                  <w:pPr>
                    <w:jc w:val="center"/>
                    <w:rPr>
                      <w:rFonts w:hint="eastAsia" w:eastAsia="Times New Roman"/>
                      <w:color w:val="auto"/>
                      <w:sz w:val="22"/>
                      <w:szCs w:val="22"/>
                      <w:highlight w:val="none"/>
                    </w:rPr>
                  </w:pPr>
                </w:p>
              </w:tc>
              <w:tc>
                <w:tcPr>
                  <w:tcW w:w="910" w:type="dxa"/>
                  <w:vAlign w:val="center"/>
                </w:tcPr>
                <w:p w14:paraId="71A9C8CF">
                  <w:pPr>
                    <w:jc w:val="center"/>
                    <w:rPr>
                      <w:rFonts w:hint="eastAsia" w:eastAsia="Times New Roman"/>
                      <w:color w:val="auto"/>
                      <w:kern w:val="0"/>
                      <w:sz w:val="22"/>
                      <w:szCs w:val="22"/>
                      <w:highlight w:val="none"/>
                      <w:lang w:bidi="ar"/>
                    </w:rPr>
                  </w:pPr>
                  <w:r>
                    <w:rPr>
                      <w:rFonts w:hint="eastAsia" w:eastAsia="Times New Roman"/>
                      <w:color w:val="auto"/>
                      <w:sz w:val="22"/>
                      <w:highlight w:val="none"/>
                    </w:rPr>
                    <w:t>400</w:t>
                  </w:r>
                </w:p>
              </w:tc>
              <w:tc>
                <w:tcPr>
                  <w:tcW w:w="933" w:type="dxa"/>
                  <w:vAlign w:val="center"/>
                </w:tcPr>
                <w:p w14:paraId="61123016">
                  <w:pPr>
                    <w:jc w:val="center"/>
                    <w:rPr>
                      <w:rFonts w:hint="eastAsia" w:eastAsia="Times New Roman"/>
                      <w:color w:val="auto"/>
                      <w:kern w:val="0"/>
                      <w:sz w:val="22"/>
                      <w:szCs w:val="22"/>
                      <w:highlight w:val="none"/>
                      <w:lang w:bidi="ar"/>
                    </w:rPr>
                  </w:pPr>
                  <w:r>
                    <w:rPr>
                      <w:rFonts w:hint="eastAsia" w:eastAsia="Times New Roman"/>
                      <w:color w:val="auto"/>
                      <w:sz w:val="22"/>
                      <w:highlight w:val="none"/>
                    </w:rPr>
                    <w:t>10</w:t>
                  </w:r>
                </w:p>
              </w:tc>
              <w:tc>
                <w:tcPr>
                  <w:tcW w:w="900" w:type="dxa"/>
                  <w:vAlign w:val="center"/>
                </w:tcPr>
                <w:p w14:paraId="2A46F4C7">
                  <w:pPr>
                    <w:jc w:val="center"/>
                    <w:rPr>
                      <w:rFonts w:hint="eastAsia" w:eastAsia="Times New Roman"/>
                      <w:color w:val="auto"/>
                      <w:kern w:val="0"/>
                      <w:sz w:val="22"/>
                      <w:szCs w:val="22"/>
                      <w:highlight w:val="none"/>
                      <w:lang w:bidi="ar"/>
                    </w:rPr>
                  </w:pPr>
                  <w:r>
                    <w:rPr>
                      <w:rFonts w:hint="eastAsia" w:eastAsia="Times New Roman"/>
                      <w:color w:val="auto"/>
                      <w:sz w:val="22"/>
                      <w:highlight w:val="none"/>
                    </w:rPr>
                    <w:t>0.008</w:t>
                  </w:r>
                </w:p>
              </w:tc>
              <w:tc>
                <w:tcPr>
                  <w:tcW w:w="964" w:type="dxa"/>
                  <w:vAlign w:val="center"/>
                </w:tcPr>
                <w:p w14:paraId="470CDE34">
                  <w:pPr>
                    <w:jc w:val="center"/>
                    <w:rPr>
                      <w:rFonts w:hint="eastAsia" w:eastAsia="Times New Roman"/>
                      <w:color w:val="auto"/>
                      <w:kern w:val="0"/>
                      <w:sz w:val="22"/>
                      <w:szCs w:val="22"/>
                      <w:highlight w:val="none"/>
                      <w:lang w:bidi="ar"/>
                    </w:rPr>
                  </w:pPr>
                  <w:r>
                    <w:rPr>
                      <w:rFonts w:hint="eastAsia" w:eastAsia="Times New Roman"/>
                      <w:color w:val="auto"/>
                      <w:sz w:val="22"/>
                      <w:highlight w:val="none"/>
                    </w:rPr>
                    <w:t>0.0002</w:t>
                  </w:r>
                </w:p>
              </w:tc>
              <w:tc>
                <w:tcPr>
                  <w:tcW w:w="418" w:type="dxa"/>
                  <w:vMerge w:val="continue"/>
                  <w:vAlign w:val="center"/>
                </w:tcPr>
                <w:p w14:paraId="19C60328">
                  <w:pPr>
                    <w:jc w:val="center"/>
                    <w:rPr>
                      <w:rFonts w:hint="eastAsia" w:eastAsia="Times New Roman"/>
                      <w:color w:val="auto"/>
                      <w:sz w:val="22"/>
                      <w:szCs w:val="22"/>
                      <w:highlight w:val="none"/>
                    </w:rPr>
                  </w:pPr>
                </w:p>
              </w:tc>
            </w:tr>
            <w:tr w14:paraId="5D62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76" w:type="dxa"/>
                  <w:vMerge w:val="continue"/>
                  <w:vAlign w:val="center"/>
                </w:tcPr>
                <w:p w14:paraId="48AA0F41">
                  <w:pPr>
                    <w:jc w:val="center"/>
                    <w:rPr>
                      <w:rFonts w:hint="eastAsia" w:eastAsia="Times New Roman"/>
                      <w:color w:val="auto"/>
                      <w:sz w:val="22"/>
                      <w:szCs w:val="22"/>
                      <w:highlight w:val="none"/>
                    </w:rPr>
                  </w:pPr>
                </w:p>
              </w:tc>
              <w:tc>
                <w:tcPr>
                  <w:tcW w:w="472" w:type="dxa"/>
                  <w:vMerge w:val="continue"/>
                  <w:vAlign w:val="center"/>
                </w:tcPr>
                <w:p w14:paraId="445042E4">
                  <w:pPr>
                    <w:jc w:val="center"/>
                    <w:rPr>
                      <w:rFonts w:hint="eastAsia" w:eastAsia="Times New Roman"/>
                      <w:color w:val="auto"/>
                      <w:sz w:val="22"/>
                      <w:szCs w:val="22"/>
                      <w:highlight w:val="none"/>
                    </w:rPr>
                  </w:pPr>
                </w:p>
              </w:tc>
              <w:tc>
                <w:tcPr>
                  <w:tcW w:w="1020" w:type="dxa"/>
                  <w:vAlign w:val="center"/>
                </w:tcPr>
                <w:p w14:paraId="7A96BFF5">
                  <w:pPr>
                    <w:widowControl/>
                    <w:jc w:val="center"/>
                    <w:textAlignment w:val="bottom"/>
                    <w:rPr>
                      <w:rFonts w:hint="eastAsia" w:eastAsia="Times New Roman"/>
                      <w:color w:val="auto"/>
                      <w:kern w:val="0"/>
                      <w:sz w:val="22"/>
                      <w:szCs w:val="22"/>
                      <w:highlight w:val="none"/>
                      <w:lang w:bidi="ar"/>
                    </w:rPr>
                  </w:pPr>
                  <w:r>
                    <w:rPr>
                      <w:rFonts w:hint="eastAsia" w:eastAsia="Times New Roman"/>
                      <w:color w:val="auto"/>
                      <w:kern w:val="0"/>
                      <w:sz w:val="22"/>
                      <w:szCs w:val="22"/>
                      <w:highlight w:val="none"/>
                      <w:lang w:bidi="ar"/>
                    </w:rPr>
                    <w:t>石油类</w:t>
                  </w:r>
                </w:p>
              </w:tc>
              <w:tc>
                <w:tcPr>
                  <w:tcW w:w="728" w:type="dxa"/>
                  <w:vMerge w:val="continue"/>
                  <w:vAlign w:val="center"/>
                </w:tcPr>
                <w:p w14:paraId="2914FC17">
                  <w:pPr>
                    <w:jc w:val="center"/>
                    <w:rPr>
                      <w:rFonts w:hint="eastAsia" w:eastAsia="Times New Roman"/>
                      <w:color w:val="auto"/>
                      <w:sz w:val="22"/>
                      <w:szCs w:val="22"/>
                      <w:highlight w:val="none"/>
                    </w:rPr>
                  </w:pPr>
                </w:p>
              </w:tc>
              <w:tc>
                <w:tcPr>
                  <w:tcW w:w="718" w:type="dxa"/>
                  <w:vAlign w:val="center"/>
                </w:tcPr>
                <w:p w14:paraId="26631CA8">
                  <w:pPr>
                    <w:jc w:val="center"/>
                    <w:rPr>
                      <w:rFonts w:hint="eastAsia" w:eastAsia="Times New Roman"/>
                      <w:color w:val="auto"/>
                      <w:kern w:val="0"/>
                      <w:sz w:val="22"/>
                      <w:szCs w:val="22"/>
                      <w:highlight w:val="none"/>
                      <w:lang w:bidi="ar"/>
                    </w:rPr>
                  </w:pPr>
                  <w:r>
                    <w:rPr>
                      <w:rFonts w:hint="eastAsia" w:eastAsia="Times New Roman"/>
                      <w:color w:val="auto"/>
                      <w:sz w:val="22"/>
                      <w:highlight w:val="none"/>
                    </w:rPr>
                    <w:t>50</w:t>
                  </w:r>
                </w:p>
              </w:tc>
              <w:tc>
                <w:tcPr>
                  <w:tcW w:w="921" w:type="dxa"/>
                  <w:vAlign w:val="center"/>
                </w:tcPr>
                <w:p w14:paraId="61B01CC6">
                  <w:pPr>
                    <w:jc w:val="center"/>
                    <w:rPr>
                      <w:rFonts w:hint="eastAsia" w:eastAsia="Times New Roman"/>
                      <w:color w:val="auto"/>
                      <w:kern w:val="0"/>
                      <w:sz w:val="22"/>
                      <w:szCs w:val="22"/>
                      <w:highlight w:val="none"/>
                      <w:lang w:bidi="ar"/>
                    </w:rPr>
                  </w:pPr>
                  <w:r>
                    <w:rPr>
                      <w:rFonts w:hint="eastAsia" w:eastAsia="Times New Roman"/>
                      <w:color w:val="auto"/>
                      <w:sz w:val="22"/>
                      <w:highlight w:val="none"/>
                    </w:rPr>
                    <w:t>0.001</w:t>
                  </w:r>
                </w:p>
              </w:tc>
              <w:tc>
                <w:tcPr>
                  <w:tcW w:w="686" w:type="dxa"/>
                  <w:vMerge w:val="continue"/>
                  <w:vAlign w:val="center"/>
                </w:tcPr>
                <w:p w14:paraId="3207AD3E">
                  <w:pPr>
                    <w:jc w:val="center"/>
                    <w:rPr>
                      <w:rFonts w:hint="eastAsia" w:eastAsia="Times New Roman"/>
                      <w:color w:val="auto"/>
                      <w:sz w:val="22"/>
                      <w:szCs w:val="22"/>
                      <w:highlight w:val="none"/>
                    </w:rPr>
                  </w:pPr>
                </w:p>
              </w:tc>
              <w:tc>
                <w:tcPr>
                  <w:tcW w:w="444" w:type="dxa"/>
                  <w:vMerge w:val="continue"/>
                  <w:vAlign w:val="center"/>
                </w:tcPr>
                <w:p w14:paraId="5CC1BC4A">
                  <w:pPr>
                    <w:jc w:val="center"/>
                    <w:rPr>
                      <w:rFonts w:hint="eastAsia" w:eastAsia="Times New Roman"/>
                      <w:color w:val="auto"/>
                      <w:sz w:val="22"/>
                      <w:szCs w:val="22"/>
                      <w:highlight w:val="none"/>
                    </w:rPr>
                  </w:pPr>
                </w:p>
              </w:tc>
              <w:tc>
                <w:tcPr>
                  <w:tcW w:w="797" w:type="dxa"/>
                  <w:vAlign w:val="center"/>
                </w:tcPr>
                <w:p w14:paraId="2B6AFA47">
                  <w:pPr>
                    <w:jc w:val="center"/>
                    <w:rPr>
                      <w:rFonts w:hint="eastAsia" w:eastAsia="Times New Roman"/>
                      <w:color w:val="auto"/>
                      <w:kern w:val="0"/>
                      <w:sz w:val="22"/>
                      <w:szCs w:val="22"/>
                      <w:highlight w:val="none"/>
                      <w:lang w:bidi="ar"/>
                    </w:rPr>
                  </w:pPr>
                  <w:r>
                    <w:rPr>
                      <w:rFonts w:hint="eastAsia" w:eastAsia="Times New Roman"/>
                      <w:color w:val="auto"/>
                      <w:sz w:val="22"/>
                      <w:highlight w:val="none"/>
                    </w:rPr>
                    <w:t>/</w:t>
                  </w:r>
                </w:p>
              </w:tc>
              <w:tc>
                <w:tcPr>
                  <w:tcW w:w="739" w:type="dxa"/>
                  <w:vMerge w:val="continue"/>
                  <w:vAlign w:val="center"/>
                </w:tcPr>
                <w:p w14:paraId="67E29778">
                  <w:pPr>
                    <w:jc w:val="center"/>
                    <w:rPr>
                      <w:rFonts w:hint="eastAsia" w:eastAsia="Times New Roman"/>
                      <w:color w:val="auto"/>
                      <w:sz w:val="22"/>
                      <w:szCs w:val="22"/>
                      <w:highlight w:val="none"/>
                    </w:rPr>
                  </w:pPr>
                </w:p>
              </w:tc>
              <w:tc>
                <w:tcPr>
                  <w:tcW w:w="697" w:type="dxa"/>
                  <w:vMerge w:val="continue"/>
                  <w:vAlign w:val="center"/>
                </w:tcPr>
                <w:p w14:paraId="57F56359">
                  <w:pPr>
                    <w:jc w:val="center"/>
                    <w:rPr>
                      <w:rFonts w:hint="eastAsia" w:eastAsia="Times New Roman"/>
                      <w:color w:val="auto"/>
                      <w:sz w:val="22"/>
                      <w:szCs w:val="22"/>
                      <w:highlight w:val="none"/>
                    </w:rPr>
                  </w:pPr>
                </w:p>
              </w:tc>
              <w:tc>
                <w:tcPr>
                  <w:tcW w:w="910" w:type="dxa"/>
                  <w:vAlign w:val="center"/>
                </w:tcPr>
                <w:p w14:paraId="7C007D0B">
                  <w:pPr>
                    <w:jc w:val="center"/>
                    <w:rPr>
                      <w:rFonts w:hint="eastAsia" w:eastAsia="Times New Roman"/>
                      <w:color w:val="auto"/>
                      <w:kern w:val="0"/>
                      <w:sz w:val="22"/>
                      <w:szCs w:val="22"/>
                      <w:highlight w:val="none"/>
                      <w:lang w:bidi="ar"/>
                    </w:rPr>
                  </w:pPr>
                  <w:r>
                    <w:rPr>
                      <w:rFonts w:hint="eastAsia" w:eastAsia="Times New Roman"/>
                      <w:color w:val="auto"/>
                      <w:sz w:val="22"/>
                      <w:highlight w:val="none"/>
                    </w:rPr>
                    <w:t>30</w:t>
                  </w:r>
                </w:p>
              </w:tc>
              <w:tc>
                <w:tcPr>
                  <w:tcW w:w="933" w:type="dxa"/>
                  <w:vAlign w:val="center"/>
                </w:tcPr>
                <w:p w14:paraId="0CF5D637">
                  <w:pPr>
                    <w:jc w:val="center"/>
                    <w:rPr>
                      <w:rFonts w:hint="eastAsia" w:eastAsia="Times New Roman"/>
                      <w:color w:val="auto"/>
                      <w:kern w:val="0"/>
                      <w:sz w:val="22"/>
                      <w:szCs w:val="22"/>
                      <w:highlight w:val="none"/>
                      <w:lang w:bidi="ar"/>
                    </w:rPr>
                  </w:pPr>
                  <w:r>
                    <w:rPr>
                      <w:rFonts w:hint="eastAsia" w:eastAsia="Times New Roman"/>
                      <w:color w:val="auto"/>
                      <w:sz w:val="22"/>
                      <w:highlight w:val="none"/>
                    </w:rPr>
                    <w:t>1</w:t>
                  </w:r>
                </w:p>
              </w:tc>
              <w:tc>
                <w:tcPr>
                  <w:tcW w:w="900" w:type="dxa"/>
                  <w:vAlign w:val="center"/>
                </w:tcPr>
                <w:p w14:paraId="7A7A4D5A">
                  <w:pPr>
                    <w:jc w:val="center"/>
                    <w:rPr>
                      <w:rFonts w:hint="eastAsia" w:eastAsia="Times New Roman"/>
                      <w:color w:val="auto"/>
                      <w:kern w:val="0"/>
                      <w:sz w:val="22"/>
                      <w:szCs w:val="22"/>
                      <w:highlight w:val="none"/>
                      <w:lang w:bidi="ar"/>
                    </w:rPr>
                  </w:pPr>
                  <w:r>
                    <w:rPr>
                      <w:rFonts w:hint="eastAsia" w:eastAsia="Times New Roman"/>
                      <w:color w:val="auto"/>
                      <w:sz w:val="22"/>
                      <w:highlight w:val="none"/>
                    </w:rPr>
                    <w:t>0.0006</w:t>
                  </w:r>
                </w:p>
              </w:tc>
              <w:tc>
                <w:tcPr>
                  <w:tcW w:w="964" w:type="dxa"/>
                  <w:vAlign w:val="center"/>
                </w:tcPr>
                <w:p w14:paraId="34489FA7">
                  <w:pPr>
                    <w:jc w:val="center"/>
                    <w:rPr>
                      <w:rFonts w:hint="eastAsia" w:eastAsia="Times New Roman"/>
                      <w:color w:val="auto"/>
                      <w:kern w:val="0"/>
                      <w:sz w:val="22"/>
                      <w:szCs w:val="22"/>
                      <w:highlight w:val="none"/>
                      <w:lang w:bidi="ar"/>
                    </w:rPr>
                  </w:pPr>
                  <w:r>
                    <w:rPr>
                      <w:rFonts w:hint="eastAsia" w:eastAsia="Times New Roman"/>
                      <w:color w:val="auto"/>
                      <w:sz w:val="22"/>
                      <w:highlight w:val="none"/>
                    </w:rPr>
                    <w:t>0.00002</w:t>
                  </w:r>
                </w:p>
              </w:tc>
              <w:tc>
                <w:tcPr>
                  <w:tcW w:w="418" w:type="dxa"/>
                  <w:vMerge w:val="continue"/>
                  <w:vAlign w:val="center"/>
                </w:tcPr>
                <w:p w14:paraId="11575BB0">
                  <w:pPr>
                    <w:jc w:val="center"/>
                    <w:rPr>
                      <w:rFonts w:hint="eastAsia" w:eastAsia="Times New Roman"/>
                      <w:color w:val="auto"/>
                      <w:sz w:val="22"/>
                      <w:szCs w:val="22"/>
                      <w:highlight w:val="none"/>
                    </w:rPr>
                  </w:pPr>
                </w:p>
              </w:tc>
            </w:tr>
            <w:tr w14:paraId="1BCF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76" w:type="dxa"/>
                  <w:vMerge w:val="restart"/>
                  <w:vAlign w:val="center"/>
                </w:tcPr>
                <w:p w14:paraId="225BAE37">
                  <w:pPr>
                    <w:widowControl/>
                    <w:jc w:val="center"/>
                    <w:textAlignment w:val="bottom"/>
                    <w:rPr>
                      <w:color w:val="auto"/>
                      <w:sz w:val="22"/>
                      <w:szCs w:val="22"/>
                      <w:highlight w:val="none"/>
                    </w:rPr>
                  </w:pPr>
                  <w:r>
                    <w:rPr>
                      <w:color w:val="auto"/>
                      <w:kern w:val="0"/>
                      <w:sz w:val="22"/>
                      <w:szCs w:val="22"/>
                      <w:highlight w:val="none"/>
                      <w:lang w:bidi="ar"/>
                    </w:rPr>
                    <w:t>工作人员办公、生活</w:t>
                  </w:r>
                </w:p>
              </w:tc>
              <w:tc>
                <w:tcPr>
                  <w:tcW w:w="472" w:type="dxa"/>
                  <w:vMerge w:val="restart"/>
                  <w:vAlign w:val="center"/>
                </w:tcPr>
                <w:p w14:paraId="12A32516">
                  <w:pPr>
                    <w:widowControl/>
                    <w:jc w:val="center"/>
                    <w:textAlignment w:val="bottom"/>
                    <w:rPr>
                      <w:color w:val="auto"/>
                      <w:sz w:val="22"/>
                      <w:szCs w:val="22"/>
                      <w:highlight w:val="none"/>
                    </w:rPr>
                  </w:pPr>
                  <w:r>
                    <w:rPr>
                      <w:color w:val="auto"/>
                      <w:kern w:val="0"/>
                      <w:sz w:val="22"/>
                      <w:szCs w:val="22"/>
                      <w:highlight w:val="none"/>
                      <w:lang w:bidi="ar"/>
                    </w:rPr>
                    <w:t>生活污水</w:t>
                  </w:r>
                </w:p>
              </w:tc>
              <w:tc>
                <w:tcPr>
                  <w:tcW w:w="1020" w:type="dxa"/>
                  <w:vAlign w:val="center"/>
                </w:tcPr>
                <w:p w14:paraId="59DAA0E5">
                  <w:pPr>
                    <w:widowControl/>
                    <w:jc w:val="center"/>
                    <w:textAlignment w:val="bottom"/>
                    <w:rPr>
                      <w:color w:val="auto"/>
                      <w:kern w:val="0"/>
                      <w:sz w:val="22"/>
                      <w:szCs w:val="22"/>
                      <w:highlight w:val="none"/>
                      <w:lang w:bidi="ar"/>
                    </w:rPr>
                  </w:pPr>
                  <w:r>
                    <w:rPr>
                      <w:color w:val="auto"/>
                      <w:kern w:val="0"/>
                      <w:sz w:val="22"/>
                      <w:szCs w:val="22"/>
                      <w:highlight w:val="none"/>
                      <w:lang w:bidi="ar"/>
                    </w:rPr>
                    <w:t>pH</w:t>
                  </w:r>
                </w:p>
              </w:tc>
              <w:tc>
                <w:tcPr>
                  <w:tcW w:w="728" w:type="dxa"/>
                  <w:vMerge w:val="restart"/>
                  <w:vAlign w:val="center"/>
                </w:tcPr>
                <w:p w14:paraId="6A9D794E">
                  <w:pPr>
                    <w:widowControl/>
                    <w:jc w:val="center"/>
                    <w:textAlignment w:val="bottom"/>
                    <w:rPr>
                      <w:color w:val="auto"/>
                      <w:sz w:val="22"/>
                      <w:szCs w:val="22"/>
                      <w:highlight w:val="none"/>
                    </w:rPr>
                  </w:pPr>
                  <w:r>
                    <w:rPr>
                      <w:rFonts w:hint="eastAsia"/>
                      <w:color w:val="auto"/>
                      <w:sz w:val="22"/>
                      <w:szCs w:val="22"/>
                      <w:highlight w:val="none"/>
                    </w:rPr>
                    <w:t>1620</w:t>
                  </w:r>
                </w:p>
              </w:tc>
              <w:tc>
                <w:tcPr>
                  <w:tcW w:w="718" w:type="dxa"/>
                  <w:vAlign w:val="center"/>
                </w:tcPr>
                <w:p w14:paraId="08CAFF29">
                  <w:pPr>
                    <w:jc w:val="center"/>
                    <w:rPr>
                      <w:color w:val="auto"/>
                      <w:kern w:val="0"/>
                      <w:sz w:val="22"/>
                      <w:szCs w:val="22"/>
                      <w:highlight w:val="none"/>
                      <w:lang w:bidi="ar"/>
                    </w:rPr>
                  </w:pPr>
                  <w:r>
                    <w:rPr>
                      <w:rFonts w:hint="eastAsia" w:eastAsia="Times New Roman"/>
                      <w:color w:val="auto"/>
                      <w:sz w:val="22"/>
                      <w:highlight w:val="none"/>
                    </w:rPr>
                    <w:t>/</w:t>
                  </w:r>
                </w:p>
              </w:tc>
              <w:tc>
                <w:tcPr>
                  <w:tcW w:w="921" w:type="dxa"/>
                  <w:vAlign w:val="center"/>
                </w:tcPr>
                <w:p w14:paraId="0F99417B">
                  <w:pPr>
                    <w:jc w:val="center"/>
                    <w:rPr>
                      <w:color w:val="auto"/>
                      <w:kern w:val="0"/>
                      <w:sz w:val="22"/>
                      <w:szCs w:val="22"/>
                      <w:highlight w:val="none"/>
                      <w:lang w:bidi="ar"/>
                    </w:rPr>
                  </w:pPr>
                  <w:r>
                    <w:rPr>
                      <w:rFonts w:hint="eastAsia" w:eastAsia="Times New Roman"/>
                      <w:color w:val="auto"/>
                      <w:sz w:val="22"/>
                      <w:highlight w:val="none"/>
                    </w:rPr>
                    <w:t>/</w:t>
                  </w:r>
                </w:p>
              </w:tc>
              <w:tc>
                <w:tcPr>
                  <w:tcW w:w="686" w:type="dxa"/>
                  <w:vMerge w:val="continue"/>
                  <w:vAlign w:val="center"/>
                </w:tcPr>
                <w:p w14:paraId="249CC9BA">
                  <w:pPr>
                    <w:jc w:val="center"/>
                    <w:rPr>
                      <w:color w:val="auto"/>
                      <w:sz w:val="22"/>
                      <w:szCs w:val="22"/>
                      <w:highlight w:val="none"/>
                    </w:rPr>
                  </w:pPr>
                </w:p>
              </w:tc>
              <w:tc>
                <w:tcPr>
                  <w:tcW w:w="444" w:type="dxa"/>
                  <w:vMerge w:val="continue"/>
                  <w:vAlign w:val="center"/>
                </w:tcPr>
                <w:p w14:paraId="033B0895">
                  <w:pPr>
                    <w:jc w:val="center"/>
                    <w:rPr>
                      <w:color w:val="auto"/>
                      <w:sz w:val="22"/>
                      <w:szCs w:val="22"/>
                      <w:highlight w:val="none"/>
                    </w:rPr>
                  </w:pPr>
                </w:p>
              </w:tc>
              <w:tc>
                <w:tcPr>
                  <w:tcW w:w="797" w:type="dxa"/>
                  <w:vAlign w:val="center"/>
                </w:tcPr>
                <w:p w14:paraId="1F0CBA77">
                  <w:pPr>
                    <w:jc w:val="center"/>
                    <w:rPr>
                      <w:color w:val="auto"/>
                      <w:kern w:val="0"/>
                      <w:sz w:val="22"/>
                      <w:szCs w:val="22"/>
                      <w:highlight w:val="none"/>
                      <w:lang w:bidi="ar"/>
                    </w:rPr>
                  </w:pPr>
                  <w:r>
                    <w:rPr>
                      <w:rFonts w:hint="eastAsia" w:eastAsia="Times New Roman"/>
                      <w:color w:val="auto"/>
                      <w:sz w:val="22"/>
                      <w:highlight w:val="none"/>
                    </w:rPr>
                    <w:t>/</w:t>
                  </w:r>
                </w:p>
              </w:tc>
              <w:tc>
                <w:tcPr>
                  <w:tcW w:w="739" w:type="dxa"/>
                  <w:vMerge w:val="continue"/>
                  <w:vAlign w:val="center"/>
                </w:tcPr>
                <w:p w14:paraId="3EEA6BAA">
                  <w:pPr>
                    <w:widowControl/>
                    <w:jc w:val="center"/>
                    <w:textAlignment w:val="bottom"/>
                    <w:rPr>
                      <w:color w:val="auto"/>
                      <w:sz w:val="22"/>
                      <w:szCs w:val="22"/>
                      <w:highlight w:val="none"/>
                    </w:rPr>
                  </w:pPr>
                </w:p>
              </w:tc>
              <w:tc>
                <w:tcPr>
                  <w:tcW w:w="697" w:type="dxa"/>
                  <w:vMerge w:val="restart"/>
                  <w:vAlign w:val="center"/>
                </w:tcPr>
                <w:p w14:paraId="61352058">
                  <w:pPr>
                    <w:widowControl/>
                    <w:jc w:val="center"/>
                    <w:textAlignment w:val="bottom"/>
                    <w:rPr>
                      <w:rFonts w:hint="default" w:eastAsia="宋体"/>
                      <w:color w:val="auto"/>
                      <w:sz w:val="22"/>
                      <w:szCs w:val="22"/>
                      <w:highlight w:val="none"/>
                      <w:lang w:val="en-US" w:eastAsia="zh-CN"/>
                    </w:rPr>
                  </w:pPr>
                  <w:r>
                    <w:rPr>
                      <w:rFonts w:hint="eastAsia"/>
                      <w:color w:val="auto"/>
                      <w:sz w:val="22"/>
                      <w:szCs w:val="22"/>
                      <w:highlight w:val="none"/>
                      <w:lang w:val="en-US" w:eastAsia="zh-CN"/>
                    </w:rPr>
                    <w:t>1620</w:t>
                  </w:r>
                </w:p>
              </w:tc>
              <w:tc>
                <w:tcPr>
                  <w:tcW w:w="910" w:type="dxa"/>
                  <w:vAlign w:val="center"/>
                </w:tcPr>
                <w:p w14:paraId="4E9F0C7B">
                  <w:pPr>
                    <w:jc w:val="center"/>
                    <w:rPr>
                      <w:color w:val="auto"/>
                      <w:kern w:val="0"/>
                      <w:sz w:val="22"/>
                      <w:szCs w:val="22"/>
                      <w:highlight w:val="none"/>
                      <w:lang w:bidi="ar"/>
                    </w:rPr>
                  </w:pPr>
                  <w:r>
                    <w:rPr>
                      <w:rFonts w:hint="eastAsia" w:eastAsia="Times New Roman"/>
                      <w:color w:val="auto"/>
                      <w:sz w:val="22"/>
                      <w:highlight w:val="none"/>
                    </w:rPr>
                    <w:t>6~9</w:t>
                  </w:r>
                </w:p>
              </w:tc>
              <w:tc>
                <w:tcPr>
                  <w:tcW w:w="933" w:type="dxa"/>
                  <w:vAlign w:val="center"/>
                </w:tcPr>
                <w:p w14:paraId="257513BD">
                  <w:pPr>
                    <w:jc w:val="center"/>
                    <w:rPr>
                      <w:color w:val="auto"/>
                      <w:kern w:val="0"/>
                      <w:sz w:val="22"/>
                      <w:szCs w:val="22"/>
                      <w:highlight w:val="none"/>
                      <w:lang w:bidi="ar"/>
                    </w:rPr>
                  </w:pPr>
                  <w:r>
                    <w:rPr>
                      <w:rFonts w:hint="eastAsia" w:eastAsia="Times New Roman"/>
                      <w:color w:val="auto"/>
                      <w:sz w:val="22"/>
                      <w:highlight w:val="none"/>
                    </w:rPr>
                    <w:t>6~9</w:t>
                  </w:r>
                </w:p>
              </w:tc>
              <w:tc>
                <w:tcPr>
                  <w:tcW w:w="900" w:type="dxa"/>
                  <w:vAlign w:val="center"/>
                </w:tcPr>
                <w:p w14:paraId="186F2AFC">
                  <w:pPr>
                    <w:jc w:val="center"/>
                    <w:rPr>
                      <w:color w:val="auto"/>
                      <w:kern w:val="0"/>
                      <w:sz w:val="22"/>
                      <w:szCs w:val="22"/>
                      <w:highlight w:val="none"/>
                      <w:lang w:bidi="ar"/>
                    </w:rPr>
                  </w:pPr>
                  <w:r>
                    <w:rPr>
                      <w:rFonts w:hint="eastAsia" w:eastAsia="Times New Roman"/>
                      <w:color w:val="auto"/>
                      <w:sz w:val="22"/>
                      <w:highlight w:val="none"/>
                    </w:rPr>
                    <w:t>/</w:t>
                  </w:r>
                </w:p>
              </w:tc>
              <w:tc>
                <w:tcPr>
                  <w:tcW w:w="964" w:type="dxa"/>
                  <w:vAlign w:val="center"/>
                </w:tcPr>
                <w:p w14:paraId="456EB562">
                  <w:pPr>
                    <w:jc w:val="center"/>
                    <w:rPr>
                      <w:color w:val="auto"/>
                      <w:kern w:val="0"/>
                      <w:sz w:val="22"/>
                      <w:szCs w:val="22"/>
                      <w:highlight w:val="none"/>
                      <w:lang w:bidi="ar"/>
                    </w:rPr>
                  </w:pPr>
                  <w:r>
                    <w:rPr>
                      <w:rFonts w:hint="eastAsia" w:eastAsia="Times New Roman"/>
                      <w:color w:val="auto"/>
                      <w:sz w:val="22"/>
                      <w:highlight w:val="none"/>
                    </w:rPr>
                    <w:t>/</w:t>
                  </w:r>
                </w:p>
              </w:tc>
              <w:tc>
                <w:tcPr>
                  <w:tcW w:w="418" w:type="dxa"/>
                  <w:vMerge w:val="continue"/>
                  <w:vAlign w:val="center"/>
                </w:tcPr>
                <w:p w14:paraId="516A3A0B">
                  <w:pPr>
                    <w:jc w:val="center"/>
                    <w:rPr>
                      <w:color w:val="auto"/>
                      <w:sz w:val="22"/>
                      <w:szCs w:val="22"/>
                      <w:highlight w:val="none"/>
                    </w:rPr>
                  </w:pPr>
                </w:p>
              </w:tc>
            </w:tr>
            <w:tr w14:paraId="552FD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76" w:type="dxa"/>
                  <w:vMerge w:val="continue"/>
                  <w:vAlign w:val="center"/>
                </w:tcPr>
                <w:p w14:paraId="22D3C99D">
                  <w:pPr>
                    <w:widowControl/>
                    <w:jc w:val="center"/>
                    <w:textAlignment w:val="bottom"/>
                    <w:rPr>
                      <w:color w:val="auto"/>
                      <w:sz w:val="22"/>
                      <w:szCs w:val="22"/>
                      <w:highlight w:val="none"/>
                    </w:rPr>
                  </w:pPr>
                </w:p>
              </w:tc>
              <w:tc>
                <w:tcPr>
                  <w:tcW w:w="472" w:type="dxa"/>
                  <w:vMerge w:val="continue"/>
                  <w:vAlign w:val="center"/>
                </w:tcPr>
                <w:p w14:paraId="32D006A5">
                  <w:pPr>
                    <w:widowControl/>
                    <w:jc w:val="center"/>
                    <w:textAlignment w:val="bottom"/>
                    <w:rPr>
                      <w:color w:val="auto"/>
                      <w:sz w:val="22"/>
                      <w:szCs w:val="22"/>
                      <w:highlight w:val="none"/>
                    </w:rPr>
                  </w:pPr>
                </w:p>
              </w:tc>
              <w:tc>
                <w:tcPr>
                  <w:tcW w:w="1020" w:type="dxa"/>
                  <w:vAlign w:val="center"/>
                </w:tcPr>
                <w:p w14:paraId="20D9CADE">
                  <w:pPr>
                    <w:widowControl/>
                    <w:jc w:val="center"/>
                    <w:textAlignment w:val="bottom"/>
                    <w:rPr>
                      <w:color w:val="auto"/>
                      <w:sz w:val="22"/>
                      <w:szCs w:val="22"/>
                      <w:highlight w:val="none"/>
                    </w:rPr>
                  </w:pPr>
                  <w:r>
                    <w:rPr>
                      <w:color w:val="auto"/>
                      <w:kern w:val="0"/>
                      <w:sz w:val="22"/>
                      <w:szCs w:val="22"/>
                      <w:highlight w:val="none"/>
                      <w:lang w:bidi="ar"/>
                    </w:rPr>
                    <w:t>COD</w:t>
                  </w:r>
                </w:p>
              </w:tc>
              <w:tc>
                <w:tcPr>
                  <w:tcW w:w="728" w:type="dxa"/>
                  <w:vMerge w:val="continue"/>
                  <w:vAlign w:val="center"/>
                </w:tcPr>
                <w:p w14:paraId="2896EEB2">
                  <w:pPr>
                    <w:widowControl/>
                    <w:jc w:val="center"/>
                    <w:textAlignment w:val="bottom"/>
                    <w:rPr>
                      <w:color w:val="auto"/>
                      <w:sz w:val="22"/>
                      <w:szCs w:val="22"/>
                      <w:highlight w:val="none"/>
                    </w:rPr>
                  </w:pPr>
                </w:p>
              </w:tc>
              <w:tc>
                <w:tcPr>
                  <w:tcW w:w="718" w:type="dxa"/>
                  <w:vAlign w:val="center"/>
                </w:tcPr>
                <w:p w14:paraId="621CA874">
                  <w:pPr>
                    <w:jc w:val="center"/>
                    <w:rPr>
                      <w:color w:val="auto"/>
                      <w:sz w:val="22"/>
                      <w:szCs w:val="22"/>
                      <w:highlight w:val="none"/>
                    </w:rPr>
                  </w:pPr>
                  <w:r>
                    <w:rPr>
                      <w:rFonts w:hint="eastAsia" w:eastAsia="Times New Roman"/>
                      <w:color w:val="auto"/>
                      <w:sz w:val="22"/>
                      <w:highlight w:val="none"/>
                    </w:rPr>
                    <w:t>550</w:t>
                  </w:r>
                </w:p>
              </w:tc>
              <w:tc>
                <w:tcPr>
                  <w:tcW w:w="921" w:type="dxa"/>
                  <w:vAlign w:val="center"/>
                </w:tcPr>
                <w:p w14:paraId="0B06663A">
                  <w:pPr>
                    <w:jc w:val="center"/>
                    <w:rPr>
                      <w:color w:val="auto"/>
                      <w:kern w:val="0"/>
                      <w:sz w:val="22"/>
                      <w:szCs w:val="22"/>
                      <w:highlight w:val="none"/>
                      <w:lang w:bidi="ar"/>
                    </w:rPr>
                  </w:pPr>
                  <w:r>
                    <w:rPr>
                      <w:rFonts w:hint="eastAsia" w:eastAsia="Times New Roman"/>
                      <w:color w:val="auto"/>
                      <w:sz w:val="22"/>
                      <w:highlight w:val="none"/>
                    </w:rPr>
                    <w:t>0.891</w:t>
                  </w:r>
                </w:p>
              </w:tc>
              <w:tc>
                <w:tcPr>
                  <w:tcW w:w="686" w:type="dxa"/>
                  <w:vMerge w:val="continue"/>
                  <w:vAlign w:val="center"/>
                </w:tcPr>
                <w:p w14:paraId="121339B1">
                  <w:pPr>
                    <w:jc w:val="center"/>
                    <w:rPr>
                      <w:color w:val="auto"/>
                      <w:sz w:val="22"/>
                      <w:szCs w:val="22"/>
                      <w:highlight w:val="none"/>
                    </w:rPr>
                  </w:pPr>
                </w:p>
              </w:tc>
              <w:tc>
                <w:tcPr>
                  <w:tcW w:w="444" w:type="dxa"/>
                  <w:vMerge w:val="continue"/>
                  <w:vAlign w:val="center"/>
                </w:tcPr>
                <w:p w14:paraId="7797AB36">
                  <w:pPr>
                    <w:jc w:val="center"/>
                    <w:rPr>
                      <w:color w:val="auto"/>
                      <w:sz w:val="22"/>
                      <w:szCs w:val="22"/>
                      <w:highlight w:val="none"/>
                    </w:rPr>
                  </w:pPr>
                </w:p>
              </w:tc>
              <w:tc>
                <w:tcPr>
                  <w:tcW w:w="797" w:type="dxa"/>
                  <w:vAlign w:val="center"/>
                </w:tcPr>
                <w:p w14:paraId="50E2DBA6">
                  <w:pPr>
                    <w:jc w:val="center"/>
                    <w:rPr>
                      <w:color w:val="auto"/>
                      <w:sz w:val="22"/>
                      <w:szCs w:val="22"/>
                      <w:highlight w:val="none"/>
                    </w:rPr>
                  </w:pPr>
                  <w:r>
                    <w:rPr>
                      <w:rFonts w:hint="eastAsia" w:eastAsia="Times New Roman"/>
                      <w:color w:val="auto"/>
                      <w:sz w:val="22"/>
                      <w:highlight w:val="none"/>
                    </w:rPr>
                    <w:t>/</w:t>
                  </w:r>
                </w:p>
              </w:tc>
              <w:tc>
                <w:tcPr>
                  <w:tcW w:w="739" w:type="dxa"/>
                  <w:vMerge w:val="continue"/>
                  <w:vAlign w:val="center"/>
                </w:tcPr>
                <w:p w14:paraId="53D69500">
                  <w:pPr>
                    <w:widowControl/>
                    <w:jc w:val="center"/>
                    <w:textAlignment w:val="bottom"/>
                    <w:rPr>
                      <w:color w:val="auto"/>
                      <w:sz w:val="22"/>
                      <w:szCs w:val="22"/>
                      <w:highlight w:val="none"/>
                    </w:rPr>
                  </w:pPr>
                </w:p>
              </w:tc>
              <w:tc>
                <w:tcPr>
                  <w:tcW w:w="697" w:type="dxa"/>
                  <w:vMerge w:val="continue"/>
                  <w:vAlign w:val="center"/>
                </w:tcPr>
                <w:p w14:paraId="2B8F445E">
                  <w:pPr>
                    <w:widowControl/>
                    <w:jc w:val="center"/>
                    <w:textAlignment w:val="bottom"/>
                    <w:rPr>
                      <w:color w:val="auto"/>
                      <w:sz w:val="22"/>
                      <w:szCs w:val="22"/>
                      <w:highlight w:val="none"/>
                    </w:rPr>
                  </w:pPr>
                </w:p>
              </w:tc>
              <w:tc>
                <w:tcPr>
                  <w:tcW w:w="910" w:type="dxa"/>
                  <w:vAlign w:val="center"/>
                </w:tcPr>
                <w:p w14:paraId="7EBB30EC">
                  <w:pPr>
                    <w:jc w:val="center"/>
                    <w:rPr>
                      <w:color w:val="auto"/>
                      <w:sz w:val="22"/>
                      <w:szCs w:val="22"/>
                      <w:highlight w:val="none"/>
                    </w:rPr>
                  </w:pPr>
                  <w:r>
                    <w:rPr>
                      <w:rFonts w:hint="eastAsia" w:eastAsia="Times New Roman"/>
                      <w:color w:val="auto"/>
                      <w:sz w:val="22"/>
                      <w:highlight w:val="none"/>
                    </w:rPr>
                    <w:t>500</w:t>
                  </w:r>
                </w:p>
              </w:tc>
              <w:tc>
                <w:tcPr>
                  <w:tcW w:w="933" w:type="dxa"/>
                  <w:vAlign w:val="center"/>
                </w:tcPr>
                <w:p w14:paraId="0C14F365">
                  <w:pPr>
                    <w:jc w:val="center"/>
                    <w:rPr>
                      <w:color w:val="auto"/>
                      <w:sz w:val="22"/>
                      <w:szCs w:val="22"/>
                      <w:highlight w:val="none"/>
                    </w:rPr>
                  </w:pPr>
                  <w:r>
                    <w:rPr>
                      <w:rFonts w:hint="eastAsia" w:eastAsia="Times New Roman"/>
                      <w:color w:val="auto"/>
                      <w:sz w:val="22"/>
                      <w:highlight w:val="none"/>
                    </w:rPr>
                    <w:t>50</w:t>
                  </w:r>
                </w:p>
              </w:tc>
              <w:tc>
                <w:tcPr>
                  <w:tcW w:w="900" w:type="dxa"/>
                  <w:vAlign w:val="center"/>
                </w:tcPr>
                <w:p w14:paraId="31033072">
                  <w:pPr>
                    <w:jc w:val="center"/>
                    <w:rPr>
                      <w:color w:val="auto"/>
                      <w:kern w:val="0"/>
                      <w:sz w:val="22"/>
                      <w:szCs w:val="22"/>
                      <w:highlight w:val="none"/>
                      <w:lang w:bidi="ar"/>
                    </w:rPr>
                  </w:pPr>
                  <w:r>
                    <w:rPr>
                      <w:rFonts w:hint="eastAsia" w:eastAsia="Times New Roman"/>
                      <w:color w:val="auto"/>
                      <w:sz w:val="22"/>
                      <w:highlight w:val="none"/>
                    </w:rPr>
                    <w:t>0.81</w:t>
                  </w:r>
                </w:p>
              </w:tc>
              <w:tc>
                <w:tcPr>
                  <w:tcW w:w="964" w:type="dxa"/>
                  <w:vAlign w:val="center"/>
                </w:tcPr>
                <w:p w14:paraId="0A7431F6">
                  <w:pPr>
                    <w:jc w:val="center"/>
                    <w:rPr>
                      <w:color w:val="auto"/>
                      <w:kern w:val="0"/>
                      <w:sz w:val="22"/>
                      <w:szCs w:val="22"/>
                      <w:highlight w:val="none"/>
                      <w:lang w:bidi="ar"/>
                    </w:rPr>
                  </w:pPr>
                  <w:r>
                    <w:rPr>
                      <w:rFonts w:hint="eastAsia" w:eastAsia="Times New Roman"/>
                      <w:color w:val="auto"/>
                      <w:sz w:val="22"/>
                      <w:highlight w:val="none"/>
                    </w:rPr>
                    <w:t>0.08</w:t>
                  </w:r>
                </w:p>
              </w:tc>
              <w:tc>
                <w:tcPr>
                  <w:tcW w:w="418" w:type="dxa"/>
                  <w:vMerge w:val="continue"/>
                  <w:vAlign w:val="center"/>
                </w:tcPr>
                <w:p w14:paraId="73FBF6B5">
                  <w:pPr>
                    <w:jc w:val="center"/>
                    <w:rPr>
                      <w:color w:val="auto"/>
                      <w:sz w:val="22"/>
                      <w:szCs w:val="22"/>
                      <w:highlight w:val="none"/>
                    </w:rPr>
                  </w:pPr>
                </w:p>
              </w:tc>
            </w:tr>
            <w:tr w14:paraId="3EF8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76" w:type="dxa"/>
                  <w:vMerge w:val="continue"/>
                  <w:vAlign w:val="center"/>
                </w:tcPr>
                <w:p w14:paraId="6B0AF208">
                  <w:pPr>
                    <w:jc w:val="center"/>
                    <w:rPr>
                      <w:color w:val="auto"/>
                      <w:sz w:val="22"/>
                      <w:szCs w:val="22"/>
                      <w:highlight w:val="none"/>
                    </w:rPr>
                  </w:pPr>
                </w:p>
              </w:tc>
              <w:tc>
                <w:tcPr>
                  <w:tcW w:w="472" w:type="dxa"/>
                  <w:vMerge w:val="continue"/>
                  <w:vAlign w:val="center"/>
                </w:tcPr>
                <w:p w14:paraId="0B594D7F">
                  <w:pPr>
                    <w:jc w:val="center"/>
                    <w:rPr>
                      <w:color w:val="auto"/>
                      <w:sz w:val="22"/>
                      <w:szCs w:val="22"/>
                      <w:highlight w:val="none"/>
                    </w:rPr>
                  </w:pPr>
                </w:p>
              </w:tc>
              <w:tc>
                <w:tcPr>
                  <w:tcW w:w="1020" w:type="dxa"/>
                  <w:noWrap/>
                  <w:vAlign w:val="center"/>
                </w:tcPr>
                <w:p w14:paraId="18D637ED">
                  <w:pPr>
                    <w:widowControl/>
                    <w:jc w:val="center"/>
                    <w:textAlignment w:val="bottom"/>
                    <w:rPr>
                      <w:color w:val="auto"/>
                      <w:sz w:val="22"/>
                      <w:szCs w:val="22"/>
                      <w:highlight w:val="none"/>
                    </w:rPr>
                  </w:pPr>
                  <w:r>
                    <w:rPr>
                      <w:color w:val="auto"/>
                      <w:kern w:val="0"/>
                      <w:sz w:val="22"/>
                      <w:szCs w:val="22"/>
                      <w:highlight w:val="none"/>
                      <w:lang w:bidi="ar"/>
                    </w:rPr>
                    <w:t>BOD</w:t>
                  </w:r>
                  <w:r>
                    <w:rPr>
                      <w:color w:val="auto"/>
                      <w:kern w:val="0"/>
                      <w:sz w:val="22"/>
                      <w:szCs w:val="22"/>
                      <w:highlight w:val="none"/>
                      <w:vertAlign w:val="subscript"/>
                      <w:lang w:bidi="ar"/>
                    </w:rPr>
                    <w:t>5</w:t>
                  </w:r>
                </w:p>
              </w:tc>
              <w:tc>
                <w:tcPr>
                  <w:tcW w:w="728" w:type="dxa"/>
                  <w:vMerge w:val="continue"/>
                  <w:vAlign w:val="center"/>
                </w:tcPr>
                <w:p w14:paraId="4C9CA80E">
                  <w:pPr>
                    <w:jc w:val="center"/>
                    <w:rPr>
                      <w:color w:val="auto"/>
                      <w:sz w:val="22"/>
                      <w:szCs w:val="22"/>
                      <w:highlight w:val="none"/>
                    </w:rPr>
                  </w:pPr>
                </w:p>
              </w:tc>
              <w:tc>
                <w:tcPr>
                  <w:tcW w:w="718" w:type="dxa"/>
                  <w:noWrap/>
                  <w:vAlign w:val="center"/>
                </w:tcPr>
                <w:p w14:paraId="6A1C3836">
                  <w:pPr>
                    <w:jc w:val="center"/>
                    <w:rPr>
                      <w:color w:val="auto"/>
                      <w:sz w:val="22"/>
                      <w:szCs w:val="22"/>
                      <w:highlight w:val="none"/>
                    </w:rPr>
                  </w:pPr>
                  <w:r>
                    <w:rPr>
                      <w:rFonts w:hint="eastAsia" w:eastAsia="Times New Roman"/>
                      <w:color w:val="auto"/>
                      <w:sz w:val="22"/>
                      <w:highlight w:val="none"/>
                    </w:rPr>
                    <w:t>350</w:t>
                  </w:r>
                </w:p>
              </w:tc>
              <w:tc>
                <w:tcPr>
                  <w:tcW w:w="921" w:type="dxa"/>
                  <w:vAlign w:val="center"/>
                </w:tcPr>
                <w:p w14:paraId="35DC4C4C">
                  <w:pPr>
                    <w:jc w:val="center"/>
                    <w:rPr>
                      <w:color w:val="auto"/>
                      <w:kern w:val="0"/>
                      <w:sz w:val="22"/>
                      <w:szCs w:val="22"/>
                      <w:highlight w:val="none"/>
                      <w:lang w:bidi="ar"/>
                    </w:rPr>
                  </w:pPr>
                  <w:r>
                    <w:rPr>
                      <w:rFonts w:hint="eastAsia" w:eastAsia="Times New Roman"/>
                      <w:color w:val="auto"/>
                      <w:sz w:val="22"/>
                      <w:highlight w:val="none"/>
                    </w:rPr>
                    <w:t>0.567</w:t>
                  </w:r>
                </w:p>
              </w:tc>
              <w:tc>
                <w:tcPr>
                  <w:tcW w:w="686" w:type="dxa"/>
                  <w:vMerge w:val="continue"/>
                  <w:vAlign w:val="center"/>
                </w:tcPr>
                <w:p w14:paraId="1A85F0CD">
                  <w:pPr>
                    <w:jc w:val="center"/>
                    <w:rPr>
                      <w:color w:val="auto"/>
                      <w:sz w:val="22"/>
                      <w:szCs w:val="22"/>
                      <w:highlight w:val="none"/>
                    </w:rPr>
                  </w:pPr>
                </w:p>
              </w:tc>
              <w:tc>
                <w:tcPr>
                  <w:tcW w:w="444" w:type="dxa"/>
                  <w:vMerge w:val="continue"/>
                  <w:vAlign w:val="center"/>
                </w:tcPr>
                <w:p w14:paraId="2976104C">
                  <w:pPr>
                    <w:jc w:val="center"/>
                    <w:rPr>
                      <w:color w:val="auto"/>
                      <w:sz w:val="22"/>
                      <w:szCs w:val="22"/>
                      <w:highlight w:val="none"/>
                    </w:rPr>
                  </w:pPr>
                </w:p>
              </w:tc>
              <w:tc>
                <w:tcPr>
                  <w:tcW w:w="797" w:type="dxa"/>
                  <w:vAlign w:val="center"/>
                </w:tcPr>
                <w:p w14:paraId="266D7696">
                  <w:pPr>
                    <w:jc w:val="center"/>
                    <w:rPr>
                      <w:color w:val="auto"/>
                      <w:sz w:val="22"/>
                      <w:szCs w:val="22"/>
                      <w:highlight w:val="none"/>
                    </w:rPr>
                  </w:pPr>
                  <w:r>
                    <w:rPr>
                      <w:rFonts w:hint="eastAsia" w:eastAsia="Times New Roman"/>
                      <w:color w:val="auto"/>
                      <w:sz w:val="22"/>
                      <w:highlight w:val="none"/>
                    </w:rPr>
                    <w:t>/</w:t>
                  </w:r>
                </w:p>
              </w:tc>
              <w:tc>
                <w:tcPr>
                  <w:tcW w:w="739" w:type="dxa"/>
                  <w:vMerge w:val="continue"/>
                  <w:vAlign w:val="center"/>
                </w:tcPr>
                <w:p w14:paraId="29FA9C4F">
                  <w:pPr>
                    <w:jc w:val="center"/>
                    <w:rPr>
                      <w:color w:val="auto"/>
                      <w:sz w:val="22"/>
                      <w:szCs w:val="22"/>
                      <w:highlight w:val="none"/>
                    </w:rPr>
                  </w:pPr>
                </w:p>
              </w:tc>
              <w:tc>
                <w:tcPr>
                  <w:tcW w:w="697" w:type="dxa"/>
                  <w:vMerge w:val="continue"/>
                  <w:vAlign w:val="center"/>
                </w:tcPr>
                <w:p w14:paraId="4B29190F">
                  <w:pPr>
                    <w:jc w:val="center"/>
                    <w:rPr>
                      <w:color w:val="auto"/>
                      <w:sz w:val="22"/>
                      <w:szCs w:val="22"/>
                      <w:highlight w:val="none"/>
                    </w:rPr>
                  </w:pPr>
                </w:p>
              </w:tc>
              <w:tc>
                <w:tcPr>
                  <w:tcW w:w="910" w:type="dxa"/>
                  <w:vAlign w:val="center"/>
                </w:tcPr>
                <w:p w14:paraId="1CBCBB5F">
                  <w:pPr>
                    <w:jc w:val="center"/>
                    <w:rPr>
                      <w:color w:val="auto"/>
                      <w:sz w:val="22"/>
                      <w:szCs w:val="22"/>
                      <w:highlight w:val="none"/>
                    </w:rPr>
                  </w:pPr>
                  <w:r>
                    <w:rPr>
                      <w:rFonts w:hint="eastAsia" w:eastAsia="Times New Roman"/>
                      <w:color w:val="auto"/>
                      <w:sz w:val="22"/>
                      <w:highlight w:val="none"/>
                    </w:rPr>
                    <w:t>300</w:t>
                  </w:r>
                </w:p>
              </w:tc>
              <w:tc>
                <w:tcPr>
                  <w:tcW w:w="933" w:type="dxa"/>
                  <w:vAlign w:val="center"/>
                </w:tcPr>
                <w:p w14:paraId="52EFE4BF">
                  <w:pPr>
                    <w:jc w:val="center"/>
                    <w:rPr>
                      <w:color w:val="auto"/>
                      <w:sz w:val="22"/>
                      <w:szCs w:val="22"/>
                      <w:highlight w:val="none"/>
                    </w:rPr>
                  </w:pPr>
                  <w:r>
                    <w:rPr>
                      <w:rFonts w:hint="eastAsia" w:eastAsia="Times New Roman"/>
                      <w:color w:val="auto"/>
                      <w:sz w:val="22"/>
                      <w:highlight w:val="none"/>
                    </w:rPr>
                    <w:t>10</w:t>
                  </w:r>
                </w:p>
              </w:tc>
              <w:tc>
                <w:tcPr>
                  <w:tcW w:w="900" w:type="dxa"/>
                  <w:vAlign w:val="center"/>
                </w:tcPr>
                <w:p w14:paraId="73B8F2B1">
                  <w:pPr>
                    <w:jc w:val="center"/>
                    <w:rPr>
                      <w:color w:val="auto"/>
                      <w:kern w:val="0"/>
                      <w:sz w:val="22"/>
                      <w:szCs w:val="22"/>
                      <w:highlight w:val="none"/>
                      <w:lang w:bidi="ar"/>
                    </w:rPr>
                  </w:pPr>
                  <w:r>
                    <w:rPr>
                      <w:rFonts w:hint="eastAsia" w:eastAsia="Times New Roman"/>
                      <w:color w:val="auto"/>
                      <w:sz w:val="22"/>
                      <w:highlight w:val="none"/>
                    </w:rPr>
                    <w:t>0.49</w:t>
                  </w:r>
                </w:p>
              </w:tc>
              <w:tc>
                <w:tcPr>
                  <w:tcW w:w="964" w:type="dxa"/>
                  <w:vAlign w:val="center"/>
                </w:tcPr>
                <w:p w14:paraId="35B79E60">
                  <w:pPr>
                    <w:jc w:val="center"/>
                    <w:rPr>
                      <w:color w:val="auto"/>
                      <w:kern w:val="0"/>
                      <w:sz w:val="22"/>
                      <w:szCs w:val="22"/>
                      <w:highlight w:val="none"/>
                      <w:lang w:bidi="ar"/>
                    </w:rPr>
                  </w:pPr>
                  <w:r>
                    <w:rPr>
                      <w:rFonts w:hint="eastAsia" w:eastAsia="Times New Roman"/>
                      <w:color w:val="auto"/>
                      <w:sz w:val="22"/>
                      <w:highlight w:val="none"/>
                    </w:rPr>
                    <w:t>0.02</w:t>
                  </w:r>
                </w:p>
              </w:tc>
              <w:tc>
                <w:tcPr>
                  <w:tcW w:w="418" w:type="dxa"/>
                  <w:vMerge w:val="continue"/>
                  <w:vAlign w:val="center"/>
                </w:tcPr>
                <w:p w14:paraId="7090670C">
                  <w:pPr>
                    <w:jc w:val="center"/>
                    <w:rPr>
                      <w:color w:val="auto"/>
                      <w:sz w:val="22"/>
                      <w:szCs w:val="22"/>
                      <w:highlight w:val="none"/>
                    </w:rPr>
                  </w:pPr>
                </w:p>
              </w:tc>
            </w:tr>
            <w:tr w14:paraId="09F6B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76" w:type="dxa"/>
                  <w:vMerge w:val="continue"/>
                  <w:vAlign w:val="center"/>
                </w:tcPr>
                <w:p w14:paraId="68895894">
                  <w:pPr>
                    <w:jc w:val="center"/>
                    <w:rPr>
                      <w:color w:val="auto"/>
                      <w:sz w:val="22"/>
                      <w:szCs w:val="22"/>
                      <w:highlight w:val="none"/>
                    </w:rPr>
                  </w:pPr>
                </w:p>
              </w:tc>
              <w:tc>
                <w:tcPr>
                  <w:tcW w:w="472" w:type="dxa"/>
                  <w:vMerge w:val="continue"/>
                  <w:vAlign w:val="center"/>
                </w:tcPr>
                <w:p w14:paraId="3DF8A3E6">
                  <w:pPr>
                    <w:jc w:val="center"/>
                    <w:rPr>
                      <w:color w:val="auto"/>
                      <w:sz w:val="22"/>
                      <w:szCs w:val="22"/>
                      <w:highlight w:val="none"/>
                    </w:rPr>
                  </w:pPr>
                </w:p>
              </w:tc>
              <w:tc>
                <w:tcPr>
                  <w:tcW w:w="1020" w:type="dxa"/>
                  <w:noWrap/>
                  <w:vAlign w:val="center"/>
                </w:tcPr>
                <w:p w14:paraId="18E6DFC1">
                  <w:pPr>
                    <w:widowControl/>
                    <w:jc w:val="center"/>
                    <w:textAlignment w:val="bottom"/>
                    <w:rPr>
                      <w:color w:val="auto"/>
                      <w:sz w:val="22"/>
                      <w:szCs w:val="22"/>
                      <w:highlight w:val="none"/>
                    </w:rPr>
                  </w:pPr>
                  <w:r>
                    <w:rPr>
                      <w:color w:val="auto"/>
                      <w:kern w:val="0"/>
                      <w:sz w:val="22"/>
                      <w:szCs w:val="22"/>
                      <w:highlight w:val="none"/>
                      <w:lang w:bidi="ar"/>
                    </w:rPr>
                    <w:t>SS</w:t>
                  </w:r>
                </w:p>
              </w:tc>
              <w:tc>
                <w:tcPr>
                  <w:tcW w:w="728" w:type="dxa"/>
                  <w:vMerge w:val="continue"/>
                  <w:vAlign w:val="center"/>
                </w:tcPr>
                <w:p w14:paraId="218157FB">
                  <w:pPr>
                    <w:jc w:val="center"/>
                    <w:rPr>
                      <w:color w:val="auto"/>
                      <w:sz w:val="22"/>
                      <w:szCs w:val="22"/>
                      <w:highlight w:val="none"/>
                    </w:rPr>
                  </w:pPr>
                </w:p>
              </w:tc>
              <w:tc>
                <w:tcPr>
                  <w:tcW w:w="718" w:type="dxa"/>
                  <w:noWrap/>
                  <w:vAlign w:val="center"/>
                </w:tcPr>
                <w:p w14:paraId="099D9A02">
                  <w:pPr>
                    <w:jc w:val="center"/>
                    <w:rPr>
                      <w:color w:val="auto"/>
                      <w:sz w:val="22"/>
                      <w:szCs w:val="22"/>
                      <w:highlight w:val="none"/>
                    </w:rPr>
                  </w:pPr>
                  <w:r>
                    <w:rPr>
                      <w:rFonts w:hint="eastAsia" w:eastAsia="Times New Roman"/>
                      <w:color w:val="auto"/>
                      <w:sz w:val="22"/>
                      <w:highlight w:val="none"/>
                    </w:rPr>
                    <w:t>450</w:t>
                  </w:r>
                </w:p>
              </w:tc>
              <w:tc>
                <w:tcPr>
                  <w:tcW w:w="921" w:type="dxa"/>
                  <w:vAlign w:val="center"/>
                </w:tcPr>
                <w:p w14:paraId="17A01EA3">
                  <w:pPr>
                    <w:jc w:val="center"/>
                    <w:rPr>
                      <w:color w:val="auto"/>
                      <w:kern w:val="0"/>
                      <w:sz w:val="22"/>
                      <w:szCs w:val="22"/>
                      <w:highlight w:val="none"/>
                      <w:lang w:bidi="ar"/>
                    </w:rPr>
                  </w:pPr>
                  <w:r>
                    <w:rPr>
                      <w:rFonts w:hint="eastAsia" w:eastAsia="Times New Roman"/>
                      <w:color w:val="auto"/>
                      <w:sz w:val="22"/>
                      <w:highlight w:val="none"/>
                    </w:rPr>
                    <w:t>0.729</w:t>
                  </w:r>
                </w:p>
              </w:tc>
              <w:tc>
                <w:tcPr>
                  <w:tcW w:w="686" w:type="dxa"/>
                  <w:vMerge w:val="continue"/>
                  <w:vAlign w:val="center"/>
                </w:tcPr>
                <w:p w14:paraId="1DD3F3DD">
                  <w:pPr>
                    <w:jc w:val="center"/>
                    <w:rPr>
                      <w:color w:val="auto"/>
                      <w:sz w:val="22"/>
                      <w:szCs w:val="22"/>
                      <w:highlight w:val="none"/>
                    </w:rPr>
                  </w:pPr>
                </w:p>
              </w:tc>
              <w:tc>
                <w:tcPr>
                  <w:tcW w:w="444" w:type="dxa"/>
                  <w:vMerge w:val="continue"/>
                  <w:vAlign w:val="center"/>
                </w:tcPr>
                <w:p w14:paraId="694933D2">
                  <w:pPr>
                    <w:jc w:val="center"/>
                    <w:rPr>
                      <w:color w:val="auto"/>
                      <w:sz w:val="22"/>
                      <w:szCs w:val="22"/>
                      <w:highlight w:val="none"/>
                    </w:rPr>
                  </w:pPr>
                </w:p>
              </w:tc>
              <w:tc>
                <w:tcPr>
                  <w:tcW w:w="797" w:type="dxa"/>
                  <w:vAlign w:val="center"/>
                </w:tcPr>
                <w:p w14:paraId="3507C4CE">
                  <w:pPr>
                    <w:jc w:val="center"/>
                    <w:rPr>
                      <w:color w:val="auto"/>
                      <w:sz w:val="22"/>
                      <w:szCs w:val="22"/>
                      <w:highlight w:val="none"/>
                    </w:rPr>
                  </w:pPr>
                  <w:r>
                    <w:rPr>
                      <w:rFonts w:hint="eastAsia" w:eastAsia="Times New Roman"/>
                      <w:color w:val="auto"/>
                      <w:sz w:val="22"/>
                      <w:highlight w:val="none"/>
                    </w:rPr>
                    <w:t>/</w:t>
                  </w:r>
                </w:p>
              </w:tc>
              <w:tc>
                <w:tcPr>
                  <w:tcW w:w="739" w:type="dxa"/>
                  <w:vMerge w:val="continue"/>
                  <w:vAlign w:val="center"/>
                </w:tcPr>
                <w:p w14:paraId="7A0E2284">
                  <w:pPr>
                    <w:jc w:val="center"/>
                    <w:rPr>
                      <w:color w:val="auto"/>
                      <w:sz w:val="22"/>
                      <w:szCs w:val="22"/>
                      <w:highlight w:val="none"/>
                    </w:rPr>
                  </w:pPr>
                </w:p>
              </w:tc>
              <w:tc>
                <w:tcPr>
                  <w:tcW w:w="697" w:type="dxa"/>
                  <w:vMerge w:val="continue"/>
                  <w:vAlign w:val="center"/>
                </w:tcPr>
                <w:p w14:paraId="502FBD52">
                  <w:pPr>
                    <w:jc w:val="center"/>
                    <w:rPr>
                      <w:color w:val="auto"/>
                      <w:sz w:val="22"/>
                      <w:szCs w:val="22"/>
                      <w:highlight w:val="none"/>
                    </w:rPr>
                  </w:pPr>
                </w:p>
              </w:tc>
              <w:tc>
                <w:tcPr>
                  <w:tcW w:w="910" w:type="dxa"/>
                  <w:vAlign w:val="center"/>
                </w:tcPr>
                <w:p w14:paraId="75F267EC">
                  <w:pPr>
                    <w:jc w:val="center"/>
                    <w:rPr>
                      <w:color w:val="auto"/>
                      <w:sz w:val="22"/>
                      <w:szCs w:val="22"/>
                      <w:highlight w:val="none"/>
                    </w:rPr>
                  </w:pPr>
                  <w:r>
                    <w:rPr>
                      <w:rFonts w:hint="eastAsia" w:eastAsia="Times New Roman"/>
                      <w:color w:val="auto"/>
                      <w:sz w:val="22"/>
                      <w:highlight w:val="none"/>
                    </w:rPr>
                    <w:t>400</w:t>
                  </w:r>
                </w:p>
              </w:tc>
              <w:tc>
                <w:tcPr>
                  <w:tcW w:w="933" w:type="dxa"/>
                  <w:vAlign w:val="center"/>
                </w:tcPr>
                <w:p w14:paraId="44E5117A">
                  <w:pPr>
                    <w:jc w:val="center"/>
                    <w:rPr>
                      <w:color w:val="auto"/>
                      <w:sz w:val="22"/>
                      <w:szCs w:val="22"/>
                      <w:highlight w:val="none"/>
                    </w:rPr>
                  </w:pPr>
                  <w:r>
                    <w:rPr>
                      <w:rFonts w:hint="eastAsia" w:eastAsia="Times New Roman"/>
                      <w:color w:val="auto"/>
                      <w:sz w:val="22"/>
                      <w:highlight w:val="none"/>
                    </w:rPr>
                    <w:t>10</w:t>
                  </w:r>
                </w:p>
              </w:tc>
              <w:tc>
                <w:tcPr>
                  <w:tcW w:w="900" w:type="dxa"/>
                  <w:vAlign w:val="center"/>
                </w:tcPr>
                <w:p w14:paraId="4AE03E61">
                  <w:pPr>
                    <w:jc w:val="center"/>
                    <w:rPr>
                      <w:color w:val="auto"/>
                      <w:kern w:val="0"/>
                      <w:sz w:val="22"/>
                      <w:szCs w:val="22"/>
                      <w:highlight w:val="none"/>
                      <w:lang w:bidi="ar"/>
                    </w:rPr>
                  </w:pPr>
                  <w:r>
                    <w:rPr>
                      <w:rFonts w:hint="eastAsia" w:eastAsia="Times New Roman"/>
                      <w:color w:val="auto"/>
                      <w:sz w:val="22"/>
                      <w:highlight w:val="none"/>
                    </w:rPr>
                    <w:t>0.65</w:t>
                  </w:r>
                </w:p>
              </w:tc>
              <w:tc>
                <w:tcPr>
                  <w:tcW w:w="964" w:type="dxa"/>
                  <w:vAlign w:val="center"/>
                </w:tcPr>
                <w:p w14:paraId="52F2808C">
                  <w:pPr>
                    <w:jc w:val="center"/>
                    <w:rPr>
                      <w:color w:val="auto"/>
                      <w:kern w:val="0"/>
                      <w:sz w:val="22"/>
                      <w:szCs w:val="22"/>
                      <w:highlight w:val="none"/>
                      <w:lang w:bidi="ar"/>
                    </w:rPr>
                  </w:pPr>
                  <w:r>
                    <w:rPr>
                      <w:rFonts w:hint="eastAsia" w:eastAsia="Times New Roman"/>
                      <w:color w:val="auto"/>
                      <w:sz w:val="22"/>
                      <w:highlight w:val="none"/>
                    </w:rPr>
                    <w:t>0.02</w:t>
                  </w:r>
                </w:p>
              </w:tc>
              <w:tc>
                <w:tcPr>
                  <w:tcW w:w="418" w:type="dxa"/>
                  <w:vMerge w:val="continue"/>
                  <w:vAlign w:val="center"/>
                </w:tcPr>
                <w:p w14:paraId="1A7FBD15">
                  <w:pPr>
                    <w:jc w:val="center"/>
                    <w:rPr>
                      <w:color w:val="auto"/>
                      <w:sz w:val="22"/>
                      <w:szCs w:val="22"/>
                      <w:highlight w:val="none"/>
                    </w:rPr>
                  </w:pPr>
                </w:p>
              </w:tc>
            </w:tr>
            <w:tr w14:paraId="00F0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76" w:type="dxa"/>
                  <w:vMerge w:val="continue"/>
                  <w:vAlign w:val="center"/>
                </w:tcPr>
                <w:p w14:paraId="7F84A199">
                  <w:pPr>
                    <w:jc w:val="center"/>
                    <w:rPr>
                      <w:color w:val="auto"/>
                      <w:sz w:val="22"/>
                      <w:szCs w:val="22"/>
                      <w:highlight w:val="none"/>
                    </w:rPr>
                  </w:pPr>
                </w:p>
              </w:tc>
              <w:tc>
                <w:tcPr>
                  <w:tcW w:w="472" w:type="dxa"/>
                  <w:vMerge w:val="continue"/>
                  <w:vAlign w:val="center"/>
                </w:tcPr>
                <w:p w14:paraId="65F02066">
                  <w:pPr>
                    <w:jc w:val="center"/>
                    <w:rPr>
                      <w:color w:val="auto"/>
                      <w:sz w:val="22"/>
                      <w:szCs w:val="22"/>
                      <w:highlight w:val="none"/>
                    </w:rPr>
                  </w:pPr>
                </w:p>
              </w:tc>
              <w:tc>
                <w:tcPr>
                  <w:tcW w:w="1020" w:type="dxa"/>
                  <w:noWrap/>
                  <w:vAlign w:val="center"/>
                </w:tcPr>
                <w:p w14:paraId="68F3375A">
                  <w:pPr>
                    <w:widowControl/>
                    <w:jc w:val="center"/>
                    <w:textAlignment w:val="bottom"/>
                    <w:rPr>
                      <w:color w:val="auto"/>
                      <w:sz w:val="22"/>
                      <w:szCs w:val="22"/>
                      <w:highlight w:val="none"/>
                    </w:rPr>
                  </w:pPr>
                  <w:r>
                    <w:rPr>
                      <w:color w:val="auto"/>
                      <w:kern w:val="0"/>
                      <w:sz w:val="22"/>
                      <w:szCs w:val="22"/>
                      <w:highlight w:val="none"/>
                      <w:lang w:bidi="ar"/>
                    </w:rPr>
                    <w:t>氨氮</w:t>
                  </w:r>
                </w:p>
              </w:tc>
              <w:tc>
                <w:tcPr>
                  <w:tcW w:w="728" w:type="dxa"/>
                  <w:vMerge w:val="continue"/>
                  <w:vAlign w:val="center"/>
                </w:tcPr>
                <w:p w14:paraId="728681D3">
                  <w:pPr>
                    <w:jc w:val="center"/>
                    <w:rPr>
                      <w:color w:val="auto"/>
                      <w:sz w:val="22"/>
                      <w:szCs w:val="22"/>
                      <w:highlight w:val="none"/>
                    </w:rPr>
                  </w:pPr>
                </w:p>
              </w:tc>
              <w:tc>
                <w:tcPr>
                  <w:tcW w:w="718" w:type="dxa"/>
                  <w:noWrap/>
                  <w:vAlign w:val="center"/>
                </w:tcPr>
                <w:p w14:paraId="5625AE5B">
                  <w:pPr>
                    <w:jc w:val="center"/>
                    <w:rPr>
                      <w:color w:val="auto"/>
                      <w:sz w:val="22"/>
                      <w:szCs w:val="22"/>
                      <w:highlight w:val="none"/>
                    </w:rPr>
                  </w:pPr>
                  <w:r>
                    <w:rPr>
                      <w:rFonts w:hint="eastAsia" w:eastAsia="Times New Roman"/>
                      <w:color w:val="auto"/>
                      <w:sz w:val="22"/>
                      <w:highlight w:val="none"/>
                    </w:rPr>
                    <w:t>50</w:t>
                  </w:r>
                </w:p>
              </w:tc>
              <w:tc>
                <w:tcPr>
                  <w:tcW w:w="921" w:type="dxa"/>
                  <w:vAlign w:val="center"/>
                </w:tcPr>
                <w:p w14:paraId="3EC22B50">
                  <w:pPr>
                    <w:jc w:val="center"/>
                    <w:rPr>
                      <w:color w:val="auto"/>
                      <w:kern w:val="0"/>
                      <w:sz w:val="22"/>
                      <w:szCs w:val="22"/>
                      <w:highlight w:val="none"/>
                      <w:lang w:bidi="ar"/>
                    </w:rPr>
                  </w:pPr>
                  <w:r>
                    <w:rPr>
                      <w:rFonts w:hint="eastAsia" w:eastAsia="Times New Roman"/>
                      <w:color w:val="auto"/>
                      <w:sz w:val="22"/>
                      <w:highlight w:val="none"/>
                    </w:rPr>
                    <w:t>0.081</w:t>
                  </w:r>
                </w:p>
              </w:tc>
              <w:tc>
                <w:tcPr>
                  <w:tcW w:w="686" w:type="dxa"/>
                  <w:vMerge w:val="continue"/>
                  <w:vAlign w:val="center"/>
                </w:tcPr>
                <w:p w14:paraId="064AD276">
                  <w:pPr>
                    <w:jc w:val="center"/>
                    <w:rPr>
                      <w:color w:val="auto"/>
                      <w:sz w:val="22"/>
                      <w:szCs w:val="22"/>
                      <w:highlight w:val="none"/>
                    </w:rPr>
                  </w:pPr>
                </w:p>
              </w:tc>
              <w:tc>
                <w:tcPr>
                  <w:tcW w:w="444" w:type="dxa"/>
                  <w:vMerge w:val="continue"/>
                  <w:vAlign w:val="center"/>
                </w:tcPr>
                <w:p w14:paraId="683DD5DC">
                  <w:pPr>
                    <w:jc w:val="center"/>
                    <w:rPr>
                      <w:color w:val="auto"/>
                      <w:sz w:val="22"/>
                      <w:szCs w:val="22"/>
                      <w:highlight w:val="none"/>
                    </w:rPr>
                  </w:pPr>
                </w:p>
              </w:tc>
              <w:tc>
                <w:tcPr>
                  <w:tcW w:w="797" w:type="dxa"/>
                  <w:vAlign w:val="center"/>
                </w:tcPr>
                <w:p w14:paraId="227EC852">
                  <w:pPr>
                    <w:jc w:val="center"/>
                    <w:rPr>
                      <w:color w:val="auto"/>
                      <w:sz w:val="22"/>
                      <w:szCs w:val="22"/>
                      <w:highlight w:val="none"/>
                    </w:rPr>
                  </w:pPr>
                  <w:r>
                    <w:rPr>
                      <w:rFonts w:hint="eastAsia" w:eastAsia="Times New Roman"/>
                      <w:color w:val="auto"/>
                      <w:sz w:val="22"/>
                      <w:highlight w:val="none"/>
                    </w:rPr>
                    <w:t>/</w:t>
                  </w:r>
                </w:p>
              </w:tc>
              <w:tc>
                <w:tcPr>
                  <w:tcW w:w="739" w:type="dxa"/>
                  <w:vMerge w:val="continue"/>
                  <w:vAlign w:val="center"/>
                </w:tcPr>
                <w:p w14:paraId="0427D39B">
                  <w:pPr>
                    <w:jc w:val="center"/>
                    <w:rPr>
                      <w:color w:val="auto"/>
                      <w:sz w:val="22"/>
                      <w:szCs w:val="22"/>
                      <w:highlight w:val="none"/>
                    </w:rPr>
                  </w:pPr>
                </w:p>
              </w:tc>
              <w:tc>
                <w:tcPr>
                  <w:tcW w:w="697" w:type="dxa"/>
                  <w:vMerge w:val="continue"/>
                  <w:vAlign w:val="center"/>
                </w:tcPr>
                <w:p w14:paraId="2C5A9141">
                  <w:pPr>
                    <w:jc w:val="center"/>
                    <w:rPr>
                      <w:color w:val="auto"/>
                      <w:sz w:val="22"/>
                      <w:szCs w:val="22"/>
                      <w:highlight w:val="none"/>
                    </w:rPr>
                  </w:pPr>
                </w:p>
              </w:tc>
              <w:tc>
                <w:tcPr>
                  <w:tcW w:w="910" w:type="dxa"/>
                  <w:vAlign w:val="center"/>
                </w:tcPr>
                <w:p w14:paraId="26F83C61">
                  <w:pPr>
                    <w:jc w:val="center"/>
                    <w:rPr>
                      <w:color w:val="auto"/>
                      <w:sz w:val="22"/>
                      <w:szCs w:val="22"/>
                      <w:highlight w:val="none"/>
                    </w:rPr>
                  </w:pPr>
                  <w:r>
                    <w:rPr>
                      <w:rFonts w:hint="eastAsia" w:eastAsia="Times New Roman"/>
                      <w:color w:val="auto"/>
                      <w:sz w:val="22"/>
                      <w:highlight w:val="none"/>
                    </w:rPr>
                    <w:t>45</w:t>
                  </w:r>
                </w:p>
              </w:tc>
              <w:tc>
                <w:tcPr>
                  <w:tcW w:w="933" w:type="dxa"/>
                  <w:vAlign w:val="center"/>
                </w:tcPr>
                <w:p w14:paraId="014CC7C7">
                  <w:pPr>
                    <w:jc w:val="center"/>
                    <w:rPr>
                      <w:color w:val="auto"/>
                      <w:sz w:val="22"/>
                      <w:szCs w:val="22"/>
                      <w:highlight w:val="none"/>
                    </w:rPr>
                  </w:pPr>
                  <w:r>
                    <w:rPr>
                      <w:rFonts w:hint="eastAsia" w:eastAsia="Times New Roman"/>
                      <w:color w:val="auto"/>
                      <w:sz w:val="22"/>
                      <w:highlight w:val="none"/>
                    </w:rPr>
                    <w:t>5</w:t>
                  </w:r>
                </w:p>
              </w:tc>
              <w:tc>
                <w:tcPr>
                  <w:tcW w:w="900" w:type="dxa"/>
                  <w:vAlign w:val="center"/>
                </w:tcPr>
                <w:p w14:paraId="608C7737">
                  <w:pPr>
                    <w:jc w:val="center"/>
                    <w:rPr>
                      <w:color w:val="auto"/>
                      <w:kern w:val="0"/>
                      <w:sz w:val="22"/>
                      <w:szCs w:val="22"/>
                      <w:highlight w:val="none"/>
                      <w:lang w:bidi="ar"/>
                    </w:rPr>
                  </w:pPr>
                  <w:r>
                    <w:rPr>
                      <w:rFonts w:hint="eastAsia" w:eastAsia="Times New Roman"/>
                      <w:color w:val="auto"/>
                      <w:sz w:val="22"/>
                      <w:highlight w:val="none"/>
                    </w:rPr>
                    <w:t>0.07</w:t>
                  </w:r>
                </w:p>
              </w:tc>
              <w:tc>
                <w:tcPr>
                  <w:tcW w:w="964" w:type="dxa"/>
                  <w:vAlign w:val="center"/>
                </w:tcPr>
                <w:p w14:paraId="4653FEE0">
                  <w:pPr>
                    <w:jc w:val="center"/>
                    <w:rPr>
                      <w:color w:val="auto"/>
                      <w:kern w:val="0"/>
                      <w:sz w:val="22"/>
                      <w:szCs w:val="22"/>
                      <w:highlight w:val="none"/>
                      <w:lang w:bidi="ar"/>
                    </w:rPr>
                  </w:pPr>
                  <w:r>
                    <w:rPr>
                      <w:rFonts w:hint="eastAsia" w:eastAsia="Times New Roman"/>
                      <w:color w:val="auto"/>
                      <w:sz w:val="22"/>
                      <w:highlight w:val="none"/>
                    </w:rPr>
                    <w:t>0.01</w:t>
                  </w:r>
                </w:p>
              </w:tc>
              <w:tc>
                <w:tcPr>
                  <w:tcW w:w="418" w:type="dxa"/>
                  <w:vMerge w:val="continue"/>
                  <w:vAlign w:val="center"/>
                </w:tcPr>
                <w:p w14:paraId="405D4347">
                  <w:pPr>
                    <w:jc w:val="center"/>
                    <w:rPr>
                      <w:color w:val="auto"/>
                      <w:sz w:val="22"/>
                      <w:szCs w:val="22"/>
                      <w:highlight w:val="none"/>
                    </w:rPr>
                  </w:pPr>
                </w:p>
              </w:tc>
            </w:tr>
            <w:tr w14:paraId="1F30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76" w:type="dxa"/>
                  <w:vMerge w:val="continue"/>
                  <w:vAlign w:val="center"/>
                </w:tcPr>
                <w:p w14:paraId="413EE95C">
                  <w:pPr>
                    <w:jc w:val="center"/>
                    <w:rPr>
                      <w:color w:val="auto"/>
                      <w:sz w:val="22"/>
                      <w:szCs w:val="22"/>
                      <w:highlight w:val="none"/>
                    </w:rPr>
                  </w:pPr>
                </w:p>
              </w:tc>
              <w:tc>
                <w:tcPr>
                  <w:tcW w:w="472" w:type="dxa"/>
                  <w:vMerge w:val="continue"/>
                  <w:vAlign w:val="center"/>
                </w:tcPr>
                <w:p w14:paraId="4C05653B">
                  <w:pPr>
                    <w:jc w:val="center"/>
                    <w:rPr>
                      <w:color w:val="auto"/>
                      <w:sz w:val="22"/>
                      <w:szCs w:val="22"/>
                      <w:highlight w:val="none"/>
                    </w:rPr>
                  </w:pPr>
                </w:p>
              </w:tc>
              <w:tc>
                <w:tcPr>
                  <w:tcW w:w="1020" w:type="dxa"/>
                  <w:noWrap/>
                  <w:vAlign w:val="center"/>
                </w:tcPr>
                <w:p w14:paraId="1463C0E5">
                  <w:pPr>
                    <w:widowControl/>
                    <w:jc w:val="center"/>
                    <w:textAlignment w:val="bottom"/>
                    <w:rPr>
                      <w:color w:val="auto"/>
                      <w:kern w:val="0"/>
                      <w:sz w:val="22"/>
                      <w:szCs w:val="22"/>
                      <w:highlight w:val="none"/>
                      <w:lang w:bidi="ar"/>
                    </w:rPr>
                  </w:pPr>
                  <w:r>
                    <w:rPr>
                      <w:rFonts w:hint="eastAsia"/>
                      <w:color w:val="auto"/>
                      <w:kern w:val="0"/>
                      <w:sz w:val="22"/>
                      <w:szCs w:val="22"/>
                      <w:highlight w:val="none"/>
                      <w:lang w:bidi="ar"/>
                    </w:rPr>
                    <w:t>TP</w:t>
                  </w:r>
                </w:p>
              </w:tc>
              <w:tc>
                <w:tcPr>
                  <w:tcW w:w="728" w:type="dxa"/>
                  <w:vMerge w:val="continue"/>
                  <w:vAlign w:val="center"/>
                </w:tcPr>
                <w:p w14:paraId="19A19E7A">
                  <w:pPr>
                    <w:jc w:val="center"/>
                    <w:rPr>
                      <w:color w:val="auto"/>
                      <w:sz w:val="22"/>
                      <w:szCs w:val="22"/>
                      <w:highlight w:val="none"/>
                    </w:rPr>
                  </w:pPr>
                </w:p>
              </w:tc>
              <w:tc>
                <w:tcPr>
                  <w:tcW w:w="718" w:type="dxa"/>
                  <w:noWrap/>
                  <w:vAlign w:val="center"/>
                </w:tcPr>
                <w:p w14:paraId="7B6B510B">
                  <w:pPr>
                    <w:jc w:val="center"/>
                    <w:rPr>
                      <w:color w:val="auto"/>
                      <w:kern w:val="0"/>
                      <w:sz w:val="22"/>
                      <w:szCs w:val="22"/>
                      <w:highlight w:val="none"/>
                      <w:lang w:bidi="ar"/>
                    </w:rPr>
                  </w:pPr>
                  <w:r>
                    <w:rPr>
                      <w:rFonts w:hint="eastAsia" w:eastAsia="Times New Roman"/>
                      <w:color w:val="auto"/>
                      <w:sz w:val="22"/>
                      <w:highlight w:val="none"/>
                    </w:rPr>
                    <w:t>10</w:t>
                  </w:r>
                </w:p>
              </w:tc>
              <w:tc>
                <w:tcPr>
                  <w:tcW w:w="921" w:type="dxa"/>
                  <w:vAlign w:val="center"/>
                </w:tcPr>
                <w:p w14:paraId="6C9DBC22">
                  <w:pPr>
                    <w:jc w:val="center"/>
                    <w:rPr>
                      <w:color w:val="auto"/>
                      <w:kern w:val="0"/>
                      <w:sz w:val="22"/>
                      <w:szCs w:val="22"/>
                      <w:highlight w:val="none"/>
                      <w:lang w:bidi="ar"/>
                    </w:rPr>
                  </w:pPr>
                  <w:r>
                    <w:rPr>
                      <w:rFonts w:hint="eastAsia" w:eastAsia="Times New Roman"/>
                      <w:color w:val="auto"/>
                      <w:sz w:val="22"/>
                      <w:highlight w:val="none"/>
                    </w:rPr>
                    <w:t>0.0162</w:t>
                  </w:r>
                </w:p>
              </w:tc>
              <w:tc>
                <w:tcPr>
                  <w:tcW w:w="686" w:type="dxa"/>
                  <w:vMerge w:val="continue"/>
                  <w:vAlign w:val="center"/>
                </w:tcPr>
                <w:p w14:paraId="1A58C7C4">
                  <w:pPr>
                    <w:jc w:val="center"/>
                    <w:rPr>
                      <w:color w:val="auto"/>
                      <w:sz w:val="22"/>
                      <w:szCs w:val="22"/>
                      <w:highlight w:val="none"/>
                    </w:rPr>
                  </w:pPr>
                </w:p>
              </w:tc>
              <w:tc>
                <w:tcPr>
                  <w:tcW w:w="444" w:type="dxa"/>
                  <w:vMerge w:val="continue"/>
                  <w:vAlign w:val="center"/>
                </w:tcPr>
                <w:p w14:paraId="7CD1BD1D">
                  <w:pPr>
                    <w:jc w:val="center"/>
                    <w:rPr>
                      <w:color w:val="auto"/>
                      <w:sz w:val="22"/>
                      <w:szCs w:val="22"/>
                      <w:highlight w:val="none"/>
                    </w:rPr>
                  </w:pPr>
                </w:p>
              </w:tc>
              <w:tc>
                <w:tcPr>
                  <w:tcW w:w="797" w:type="dxa"/>
                  <w:vAlign w:val="center"/>
                </w:tcPr>
                <w:p w14:paraId="1333BD75">
                  <w:pPr>
                    <w:jc w:val="center"/>
                    <w:rPr>
                      <w:color w:val="auto"/>
                      <w:kern w:val="0"/>
                      <w:sz w:val="22"/>
                      <w:szCs w:val="22"/>
                      <w:highlight w:val="none"/>
                      <w:lang w:bidi="ar"/>
                    </w:rPr>
                  </w:pPr>
                  <w:r>
                    <w:rPr>
                      <w:rFonts w:hint="eastAsia" w:eastAsia="Times New Roman"/>
                      <w:color w:val="auto"/>
                      <w:sz w:val="22"/>
                      <w:highlight w:val="none"/>
                    </w:rPr>
                    <w:t>/</w:t>
                  </w:r>
                </w:p>
              </w:tc>
              <w:tc>
                <w:tcPr>
                  <w:tcW w:w="739" w:type="dxa"/>
                  <w:vMerge w:val="continue"/>
                  <w:vAlign w:val="center"/>
                </w:tcPr>
                <w:p w14:paraId="26D42388">
                  <w:pPr>
                    <w:jc w:val="center"/>
                    <w:rPr>
                      <w:color w:val="auto"/>
                      <w:sz w:val="22"/>
                      <w:szCs w:val="22"/>
                      <w:highlight w:val="none"/>
                    </w:rPr>
                  </w:pPr>
                </w:p>
              </w:tc>
              <w:tc>
                <w:tcPr>
                  <w:tcW w:w="697" w:type="dxa"/>
                  <w:vMerge w:val="continue"/>
                  <w:vAlign w:val="center"/>
                </w:tcPr>
                <w:p w14:paraId="78721ECE">
                  <w:pPr>
                    <w:jc w:val="center"/>
                    <w:rPr>
                      <w:color w:val="auto"/>
                      <w:sz w:val="22"/>
                      <w:szCs w:val="22"/>
                      <w:highlight w:val="none"/>
                    </w:rPr>
                  </w:pPr>
                </w:p>
              </w:tc>
              <w:tc>
                <w:tcPr>
                  <w:tcW w:w="910" w:type="dxa"/>
                  <w:vAlign w:val="center"/>
                </w:tcPr>
                <w:p w14:paraId="26AA8E69">
                  <w:pPr>
                    <w:jc w:val="center"/>
                    <w:rPr>
                      <w:color w:val="auto"/>
                      <w:kern w:val="0"/>
                      <w:sz w:val="22"/>
                      <w:szCs w:val="22"/>
                      <w:highlight w:val="none"/>
                      <w:lang w:bidi="ar"/>
                    </w:rPr>
                  </w:pPr>
                  <w:r>
                    <w:rPr>
                      <w:rFonts w:hint="eastAsia" w:eastAsia="Times New Roman"/>
                      <w:color w:val="auto"/>
                      <w:sz w:val="22"/>
                      <w:highlight w:val="none"/>
                    </w:rPr>
                    <w:t>8</w:t>
                  </w:r>
                </w:p>
              </w:tc>
              <w:tc>
                <w:tcPr>
                  <w:tcW w:w="933" w:type="dxa"/>
                  <w:vAlign w:val="center"/>
                </w:tcPr>
                <w:p w14:paraId="49F06C5D">
                  <w:pPr>
                    <w:jc w:val="center"/>
                    <w:rPr>
                      <w:color w:val="auto"/>
                      <w:kern w:val="0"/>
                      <w:sz w:val="22"/>
                      <w:szCs w:val="22"/>
                      <w:highlight w:val="none"/>
                      <w:lang w:bidi="ar"/>
                    </w:rPr>
                  </w:pPr>
                  <w:r>
                    <w:rPr>
                      <w:rFonts w:hint="eastAsia" w:eastAsia="Times New Roman"/>
                      <w:color w:val="auto"/>
                      <w:sz w:val="22"/>
                      <w:highlight w:val="none"/>
                    </w:rPr>
                    <w:t>0.5</w:t>
                  </w:r>
                </w:p>
              </w:tc>
              <w:tc>
                <w:tcPr>
                  <w:tcW w:w="900" w:type="dxa"/>
                  <w:vAlign w:val="center"/>
                </w:tcPr>
                <w:p w14:paraId="7D234902">
                  <w:pPr>
                    <w:jc w:val="center"/>
                    <w:rPr>
                      <w:color w:val="auto"/>
                      <w:kern w:val="0"/>
                      <w:sz w:val="22"/>
                      <w:szCs w:val="22"/>
                      <w:highlight w:val="none"/>
                      <w:lang w:bidi="ar"/>
                    </w:rPr>
                  </w:pPr>
                  <w:r>
                    <w:rPr>
                      <w:rFonts w:hint="eastAsia" w:eastAsia="Times New Roman"/>
                      <w:color w:val="auto"/>
                      <w:sz w:val="22"/>
                      <w:highlight w:val="none"/>
                    </w:rPr>
                    <w:t>0.01</w:t>
                  </w:r>
                </w:p>
              </w:tc>
              <w:tc>
                <w:tcPr>
                  <w:tcW w:w="964" w:type="dxa"/>
                  <w:vAlign w:val="center"/>
                </w:tcPr>
                <w:p w14:paraId="169ADBE4">
                  <w:pPr>
                    <w:jc w:val="center"/>
                    <w:rPr>
                      <w:color w:val="auto"/>
                      <w:kern w:val="0"/>
                      <w:sz w:val="22"/>
                      <w:szCs w:val="22"/>
                      <w:highlight w:val="none"/>
                      <w:lang w:bidi="ar"/>
                    </w:rPr>
                  </w:pPr>
                  <w:r>
                    <w:rPr>
                      <w:rFonts w:hint="eastAsia" w:eastAsia="Times New Roman"/>
                      <w:color w:val="auto"/>
                      <w:sz w:val="22"/>
                      <w:highlight w:val="none"/>
                    </w:rPr>
                    <w:t>0.001</w:t>
                  </w:r>
                </w:p>
              </w:tc>
              <w:tc>
                <w:tcPr>
                  <w:tcW w:w="418" w:type="dxa"/>
                  <w:vMerge w:val="continue"/>
                  <w:vAlign w:val="center"/>
                </w:tcPr>
                <w:p w14:paraId="2FB7D1C8">
                  <w:pPr>
                    <w:jc w:val="center"/>
                    <w:rPr>
                      <w:color w:val="auto"/>
                      <w:sz w:val="22"/>
                      <w:szCs w:val="22"/>
                      <w:highlight w:val="none"/>
                    </w:rPr>
                  </w:pPr>
                </w:p>
              </w:tc>
            </w:tr>
            <w:tr w14:paraId="1754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48" w:type="dxa"/>
                  <w:gridSpan w:val="2"/>
                  <w:vMerge w:val="restart"/>
                  <w:vAlign w:val="center"/>
                </w:tcPr>
                <w:p w14:paraId="440D88D3">
                  <w:pPr>
                    <w:jc w:val="center"/>
                    <w:rPr>
                      <w:color w:val="auto"/>
                      <w:sz w:val="22"/>
                      <w:szCs w:val="22"/>
                      <w:highlight w:val="none"/>
                    </w:rPr>
                  </w:pPr>
                  <w:r>
                    <w:rPr>
                      <w:rFonts w:hint="eastAsia"/>
                      <w:color w:val="auto"/>
                      <w:sz w:val="22"/>
                      <w:szCs w:val="22"/>
                      <w:highlight w:val="none"/>
                    </w:rPr>
                    <w:t>综合废水</w:t>
                  </w:r>
                </w:p>
              </w:tc>
              <w:tc>
                <w:tcPr>
                  <w:tcW w:w="1020" w:type="dxa"/>
                  <w:noWrap/>
                  <w:vAlign w:val="center"/>
                </w:tcPr>
                <w:p w14:paraId="6B2E60C2">
                  <w:pPr>
                    <w:jc w:val="center"/>
                    <w:rPr>
                      <w:color w:val="auto"/>
                      <w:kern w:val="0"/>
                      <w:sz w:val="22"/>
                      <w:szCs w:val="22"/>
                      <w:highlight w:val="none"/>
                      <w:lang w:bidi="ar"/>
                    </w:rPr>
                  </w:pPr>
                  <w:r>
                    <w:rPr>
                      <w:rFonts w:hint="eastAsia" w:eastAsia="Times New Roman"/>
                      <w:color w:val="auto"/>
                      <w:sz w:val="22"/>
                      <w:highlight w:val="none"/>
                    </w:rPr>
                    <w:t>pH</w:t>
                  </w:r>
                </w:p>
              </w:tc>
              <w:tc>
                <w:tcPr>
                  <w:tcW w:w="728" w:type="dxa"/>
                  <w:vMerge w:val="restart"/>
                  <w:vAlign w:val="center"/>
                </w:tcPr>
                <w:p w14:paraId="7B0F8744">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1723</w:t>
                  </w:r>
                </w:p>
              </w:tc>
              <w:tc>
                <w:tcPr>
                  <w:tcW w:w="718" w:type="dxa"/>
                  <w:noWrap/>
                  <w:vAlign w:val="bottom"/>
                </w:tcPr>
                <w:p w14:paraId="258A4E28">
                  <w:pPr>
                    <w:keepNext w:val="0"/>
                    <w:keepLines w:val="0"/>
                    <w:widowControl/>
                    <w:suppressLineNumbers w:val="0"/>
                    <w:jc w:val="center"/>
                    <w:textAlignment w:val="bottom"/>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921" w:type="dxa"/>
                  <w:vAlign w:val="bottom"/>
                </w:tcPr>
                <w:p w14:paraId="3729C763">
                  <w:pPr>
                    <w:keepNext w:val="0"/>
                    <w:keepLines w:val="0"/>
                    <w:widowControl/>
                    <w:suppressLineNumbers w:val="0"/>
                    <w:jc w:val="center"/>
                    <w:textAlignment w:val="bottom"/>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686" w:type="dxa"/>
                  <w:vMerge w:val="continue"/>
                  <w:vAlign w:val="center"/>
                </w:tcPr>
                <w:p w14:paraId="0970DDD4">
                  <w:pPr>
                    <w:jc w:val="center"/>
                    <w:rPr>
                      <w:color w:val="auto"/>
                      <w:sz w:val="22"/>
                      <w:szCs w:val="22"/>
                      <w:highlight w:val="none"/>
                    </w:rPr>
                  </w:pPr>
                </w:p>
              </w:tc>
              <w:tc>
                <w:tcPr>
                  <w:tcW w:w="444" w:type="dxa"/>
                  <w:vMerge w:val="continue"/>
                  <w:vAlign w:val="center"/>
                </w:tcPr>
                <w:p w14:paraId="4DEDA008">
                  <w:pPr>
                    <w:jc w:val="center"/>
                    <w:rPr>
                      <w:color w:val="auto"/>
                      <w:sz w:val="22"/>
                      <w:szCs w:val="22"/>
                      <w:highlight w:val="none"/>
                    </w:rPr>
                  </w:pPr>
                </w:p>
              </w:tc>
              <w:tc>
                <w:tcPr>
                  <w:tcW w:w="797" w:type="dxa"/>
                  <w:vAlign w:val="bottom"/>
                </w:tcPr>
                <w:p w14:paraId="27F48137">
                  <w:pPr>
                    <w:keepNext w:val="0"/>
                    <w:keepLines w:val="0"/>
                    <w:widowControl/>
                    <w:suppressLineNumbers w:val="0"/>
                    <w:jc w:val="center"/>
                    <w:textAlignment w:val="bottom"/>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739" w:type="dxa"/>
                  <w:vMerge w:val="continue"/>
                  <w:vAlign w:val="center"/>
                </w:tcPr>
                <w:p w14:paraId="2306EE29">
                  <w:pPr>
                    <w:jc w:val="center"/>
                    <w:rPr>
                      <w:color w:val="auto"/>
                      <w:sz w:val="22"/>
                      <w:szCs w:val="22"/>
                      <w:highlight w:val="none"/>
                    </w:rPr>
                  </w:pPr>
                </w:p>
              </w:tc>
              <w:tc>
                <w:tcPr>
                  <w:tcW w:w="697" w:type="dxa"/>
                  <w:vMerge w:val="restart"/>
                  <w:vAlign w:val="center"/>
                </w:tcPr>
                <w:p w14:paraId="643AAA17">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1723</w:t>
                  </w:r>
                </w:p>
              </w:tc>
              <w:tc>
                <w:tcPr>
                  <w:tcW w:w="910" w:type="dxa"/>
                  <w:vAlign w:val="center"/>
                </w:tcPr>
                <w:p w14:paraId="76E80750">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6~9</w:t>
                  </w:r>
                </w:p>
              </w:tc>
              <w:tc>
                <w:tcPr>
                  <w:tcW w:w="933" w:type="dxa"/>
                  <w:vAlign w:val="center"/>
                </w:tcPr>
                <w:p w14:paraId="5A295100">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6~9</w:t>
                  </w:r>
                </w:p>
              </w:tc>
              <w:tc>
                <w:tcPr>
                  <w:tcW w:w="900" w:type="dxa"/>
                  <w:vAlign w:val="center"/>
                </w:tcPr>
                <w:p w14:paraId="00D698DC">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964" w:type="dxa"/>
                  <w:vAlign w:val="center"/>
                </w:tcPr>
                <w:p w14:paraId="75AFF5A3">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418" w:type="dxa"/>
                  <w:vMerge w:val="continue"/>
                  <w:vAlign w:val="center"/>
                </w:tcPr>
                <w:p w14:paraId="5FB6BF8F">
                  <w:pPr>
                    <w:jc w:val="center"/>
                    <w:rPr>
                      <w:color w:val="auto"/>
                      <w:sz w:val="22"/>
                      <w:szCs w:val="22"/>
                      <w:highlight w:val="none"/>
                    </w:rPr>
                  </w:pPr>
                </w:p>
              </w:tc>
            </w:tr>
            <w:tr w14:paraId="4CC3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48" w:type="dxa"/>
                  <w:gridSpan w:val="2"/>
                  <w:vMerge w:val="continue"/>
                  <w:vAlign w:val="center"/>
                </w:tcPr>
                <w:p w14:paraId="39F3BCEC">
                  <w:pPr>
                    <w:jc w:val="center"/>
                    <w:rPr>
                      <w:color w:val="auto"/>
                      <w:sz w:val="22"/>
                      <w:szCs w:val="22"/>
                      <w:highlight w:val="none"/>
                    </w:rPr>
                  </w:pPr>
                </w:p>
              </w:tc>
              <w:tc>
                <w:tcPr>
                  <w:tcW w:w="1020" w:type="dxa"/>
                  <w:noWrap/>
                  <w:vAlign w:val="center"/>
                </w:tcPr>
                <w:p w14:paraId="07047F9D">
                  <w:pPr>
                    <w:jc w:val="center"/>
                    <w:rPr>
                      <w:color w:val="auto"/>
                      <w:kern w:val="0"/>
                      <w:sz w:val="22"/>
                      <w:szCs w:val="22"/>
                      <w:highlight w:val="none"/>
                      <w:lang w:bidi="ar"/>
                    </w:rPr>
                  </w:pPr>
                  <w:r>
                    <w:rPr>
                      <w:rFonts w:hint="eastAsia" w:eastAsia="Times New Roman"/>
                      <w:color w:val="auto"/>
                      <w:sz w:val="22"/>
                      <w:highlight w:val="none"/>
                    </w:rPr>
                    <w:t>COD</w:t>
                  </w:r>
                </w:p>
              </w:tc>
              <w:tc>
                <w:tcPr>
                  <w:tcW w:w="728" w:type="dxa"/>
                  <w:vMerge w:val="continue"/>
                  <w:vAlign w:val="center"/>
                </w:tcPr>
                <w:p w14:paraId="1C14E08D">
                  <w:pPr>
                    <w:jc w:val="center"/>
                    <w:rPr>
                      <w:color w:val="auto"/>
                      <w:sz w:val="22"/>
                      <w:szCs w:val="22"/>
                      <w:highlight w:val="none"/>
                    </w:rPr>
                  </w:pPr>
                </w:p>
              </w:tc>
              <w:tc>
                <w:tcPr>
                  <w:tcW w:w="718" w:type="dxa"/>
                  <w:noWrap/>
                  <w:vAlign w:val="bottom"/>
                </w:tcPr>
                <w:p w14:paraId="404BE733">
                  <w:pPr>
                    <w:keepNext w:val="0"/>
                    <w:keepLines w:val="0"/>
                    <w:widowControl/>
                    <w:suppressLineNumbers w:val="0"/>
                    <w:jc w:val="center"/>
                    <w:textAlignment w:val="bottom"/>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532 </w:t>
                  </w:r>
                </w:p>
              </w:tc>
              <w:tc>
                <w:tcPr>
                  <w:tcW w:w="921" w:type="dxa"/>
                  <w:vAlign w:val="bottom"/>
                </w:tcPr>
                <w:p w14:paraId="6D52762A">
                  <w:pPr>
                    <w:keepNext w:val="0"/>
                    <w:keepLines w:val="0"/>
                    <w:widowControl/>
                    <w:suppressLineNumbers w:val="0"/>
                    <w:jc w:val="center"/>
                    <w:textAlignment w:val="bottom"/>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0.917 </w:t>
                  </w:r>
                </w:p>
              </w:tc>
              <w:tc>
                <w:tcPr>
                  <w:tcW w:w="686" w:type="dxa"/>
                  <w:vMerge w:val="continue"/>
                  <w:vAlign w:val="center"/>
                </w:tcPr>
                <w:p w14:paraId="3465850E">
                  <w:pPr>
                    <w:jc w:val="center"/>
                    <w:rPr>
                      <w:color w:val="auto"/>
                      <w:sz w:val="22"/>
                      <w:szCs w:val="22"/>
                      <w:highlight w:val="none"/>
                    </w:rPr>
                  </w:pPr>
                </w:p>
              </w:tc>
              <w:tc>
                <w:tcPr>
                  <w:tcW w:w="444" w:type="dxa"/>
                  <w:vMerge w:val="continue"/>
                  <w:vAlign w:val="center"/>
                </w:tcPr>
                <w:p w14:paraId="1A954061">
                  <w:pPr>
                    <w:jc w:val="center"/>
                    <w:rPr>
                      <w:color w:val="auto"/>
                      <w:sz w:val="22"/>
                      <w:szCs w:val="22"/>
                      <w:highlight w:val="none"/>
                    </w:rPr>
                  </w:pPr>
                </w:p>
              </w:tc>
              <w:tc>
                <w:tcPr>
                  <w:tcW w:w="797" w:type="dxa"/>
                  <w:vAlign w:val="bottom"/>
                </w:tcPr>
                <w:p w14:paraId="5F6FA89D">
                  <w:pPr>
                    <w:keepNext w:val="0"/>
                    <w:keepLines w:val="0"/>
                    <w:widowControl/>
                    <w:suppressLineNumbers w:val="0"/>
                    <w:jc w:val="center"/>
                    <w:textAlignment w:val="bottom"/>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6%</w:t>
                  </w:r>
                </w:p>
              </w:tc>
              <w:tc>
                <w:tcPr>
                  <w:tcW w:w="739" w:type="dxa"/>
                  <w:vMerge w:val="continue"/>
                  <w:vAlign w:val="center"/>
                </w:tcPr>
                <w:p w14:paraId="296EA1C9">
                  <w:pPr>
                    <w:jc w:val="center"/>
                    <w:rPr>
                      <w:color w:val="auto"/>
                      <w:sz w:val="22"/>
                      <w:szCs w:val="22"/>
                      <w:highlight w:val="none"/>
                    </w:rPr>
                  </w:pPr>
                </w:p>
              </w:tc>
              <w:tc>
                <w:tcPr>
                  <w:tcW w:w="697" w:type="dxa"/>
                  <w:vMerge w:val="continue"/>
                  <w:vAlign w:val="center"/>
                </w:tcPr>
                <w:p w14:paraId="6E1DF0A3">
                  <w:pPr>
                    <w:jc w:val="center"/>
                    <w:rPr>
                      <w:color w:val="auto"/>
                      <w:sz w:val="22"/>
                      <w:szCs w:val="22"/>
                      <w:highlight w:val="none"/>
                    </w:rPr>
                  </w:pPr>
                </w:p>
              </w:tc>
              <w:tc>
                <w:tcPr>
                  <w:tcW w:w="910" w:type="dxa"/>
                  <w:vAlign w:val="center"/>
                </w:tcPr>
                <w:p w14:paraId="06229D52">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500</w:t>
                  </w:r>
                </w:p>
              </w:tc>
              <w:tc>
                <w:tcPr>
                  <w:tcW w:w="933" w:type="dxa"/>
                  <w:vAlign w:val="center"/>
                </w:tcPr>
                <w:p w14:paraId="0336BF4F">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50</w:t>
                  </w:r>
                </w:p>
              </w:tc>
              <w:tc>
                <w:tcPr>
                  <w:tcW w:w="900" w:type="dxa"/>
                  <w:vAlign w:val="center"/>
                </w:tcPr>
                <w:p w14:paraId="2DC00A76">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0.836 </w:t>
                  </w:r>
                </w:p>
              </w:tc>
              <w:tc>
                <w:tcPr>
                  <w:tcW w:w="964" w:type="dxa"/>
                  <w:vAlign w:val="center"/>
                </w:tcPr>
                <w:p w14:paraId="4544AE62">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0.086 </w:t>
                  </w:r>
                </w:p>
              </w:tc>
              <w:tc>
                <w:tcPr>
                  <w:tcW w:w="418" w:type="dxa"/>
                  <w:vMerge w:val="continue"/>
                  <w:vAlign w:val="center"/>
                </w:tcPr>
                <w:p w14:paraId="39A7D97F">
                  <w:pPr>
                    <w:jc w:val="center"/>
                    <w:rPr>
                      <w:color w:val="auto"/>
                      <w:sz w:val="22"/>
                      <w:szCs w:val="22"/>
                      <w:highlight w:val="none"/>
                    </w:rPr>
                  </w:pPr>
                </w:p>
              </w:tc>
            </w:tr>
            <w:tr w14:paraId="21FB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48" w:type="dxa"/>
                  <w:gridSpan w:val="2"/>
                  <w:vMerge w:val="continue"/>
                  <w:vAlign w:val="center"/>
                </w:tcPr>
                <w:p w14:paraId="2D20A9FD">
                  <w:pPr>
                    <w:jc w:val="center"/>
                    <w:rPr>
                      <w:color w:val="auto"/>
                      <w:sz w:val="22"/>
                      <w:szCs w:val="22"/>
                      <w:highlight w:val="none"/>
                    </w:rPr>
                  </w:pPr>
                </w:p>
              </w:tc>
              <w:tc>
                <w:tcPr>
                  <w:tcW w:w="1020" w:type="dxa"/>
                  <w:noWrap/>
                  <w:vAlign w:val="center"/>
                </w:tcPr>
                <w:p w14:paraId="795EFC0B">
                  <w:pPr>
                    <w:jc w:val="center"/>
                    <w:rPr>
                      <w:color w:val="auto"/>
                      <w:kern w:val="0"/>
                      <w:sz w:val="22"/>
                      <w:szCs w:val="22"/>
                      <w:highlight w:val="none"/>
                      <w:lang w:bidi="ar"/>
                    </w:rPr>
                  </w:pPr>
                  <w:r>
                    <w:rPr>
                      <w:rFonts w:hint="eastAsia" w:eastAsia="Times New Roman"/>
                      <w:color w:val="auto"/>
                      <w:sz w:val="22"/>
                      <w:highlight w:val="none"/>
                    </w:rPr>
                    <w:t>BOD</w:t>
                  </w:r>
                  <w:r>
                    <w:rPr>
                      <w:rFonts w:hint="eastAsia" w:eastAsia="Times New Roman"/>
                      <w:color w:val="auto"/>
                      <w:sz w:val="22"/>
                      <w:highlight w:val="none"/>
                      <w:vertAlign w:val="subscript"/>
                    </w:rPr>
                    <w:t>5</w:t>
                  </w:r>
                </w:p>
              </w:tc>
              <w:tc>
                <w:tcPr>
                  <w:tcW w:w="728" w:type="dxa"/>
                  <w:vMerge w:val="continue"/>
                  <w:vAlign w:val="center"/>
                </w:tcPr>
                <w:p w14:paraId="70FB40DF">
                  <w:pPr>
                    <w:jc w:val="center"/>
                    <w:rPr>
                      <w:color w:val="auto"/>
                      <w:sz w:val="22"/>
                      <w:szCs w:val="22"/>
                      <w:highlight w:val="none"/>
                    </w:rPr>
                  </w:pPr>
                </w:p>
              </w:tc>
              <w:tc>
                <w:tcPr>
                  <w:tcW w:w="718" w:type="dxa"/>
                  <w:noWrap/>
                  <w:vAlign w:val="bottom"/>
                </w:tcPr>
                <w:p w14:paraId="7D003EBD">
                  <w:pPr>
                    <w:keepNext w:val="0"/>
                    <w:keepLines w:val="0"/>
                    <w:widowControl/>
                    <w:suppressLineNumbers w:val="0"/>
                    <w:jc w:val="center"/>
                    <w:textAlignment w:val="bottom"/>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329 </w:t>
                  </w:r>
                </w:p>
              </w:tc>
              <w:tc>
                <w:tcPr>
                  <w:tcW w:w="921" w:type="dxa"/>
                  <w:vAlign w:val="bottom"/>
                </w:tcPr>
                <w:p w14:paraId="421B6539">
                  <w:pPr>
                    <w:keepNext w:val="0"/>
                    <w:keepLines w:val="0"/>
                    <w:widowControl/>
                    <w:suppressLineNumbers w:val="0"/>
                    <w:jc w:val="center"/>
                    <w:textAlignment w:val="bottom"/>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0.567 </w:t>
                  </w:r>
                </w:p>
              </w:tc>
              <w:tc>
                <w:tcPr>
                  <w:tcW w:w="686" w:type="dxa"/>
                  <w:vMerge w:val="continue"/>
                  <w:vAlign w:val="center"/>
                </w:tcPr>
                <w:p w14:paraId="5730FBE2">
                  <w:pPr>
                    <w:jc w:val="center"/>
                    <w:rPr>
                      <w:color w:val="auto"/>
                      <w:sz w:val="22"/>
                      <w:szCs w:val="22"/>
                      <w:highlight w:val="none"/>
                    </w:rPr>
                  </w:pPr>
                </w:p>
              </w:tc>
              <w:tc>
                <w:tcPr>
                  <w:tcW w:w="444" w:type="dxa"/>
                  <w:vMerge w:val="continue"/>
                  <w:vAlign w:val="center"/>
                </w:tcPr>
                <w:p w14:paraId="16367964">
                  <w:pPr>
                    <w:jc w:val="center"/>
                    <w:rPr>
                      <w:color w:val="auto"/>
                      <w:sz w:val="22"/>
                      <w:szCs w:val="22"/>
                      <w:highlight w:val="none"/>
                    </w:rPr>
                  </w:pPr>
                </w:p>
              </w:tc>
              <w:tc>
                <w:tcPr>
                  <w:tcW w:w="797" w:type="dxa"/>
                  <w:vAlign w:val="bottom"/>
                </w:tcPr>
                <w:p w14:paraId="3E5CBBE3">
                  <w:pPr>
                    <w:keepNext w:val="0"/>
                    <w:keepLines w:val="0"/>
                    <w:widowControl/>
                    <w:suppressLineNumbers w:val="0"/>
                    <w:jc w:val="center"/>
                    <w:textAlignment w:val="bottom"/>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9%</w:t>
                  </w:r>
                </w:p>
              </w:tc>
              <w:tc>
                <w:tcPr>
                  <w:tcW w:w="739" w:type="dxa"/>
                  <w:vMerge w:val="continue"/>
                  <w:vAlign w:val="center"/>
                </w:tcPr>
                <w:p w14:paraId="321646DF">
                  <w:pPr>
                    <w:jc w:val="center"/>
                    <w:rPr>
                      <w:color w:val="auto"/>
                      <w:sz w:val="22"/>
                      <w:szCs w:val="22"/>
                      <w:highlight w:val="none"/>
                    </w:rPr>
                  </w:pPr>
                </w:p>
              </w:tc>
              <w:tc>
                <w:tcPr>
                  <w:tcW w:w="697" w:type="dxa"/>
                  <w:vMerge w:val="continue"/>
                  <w:vAlign w:val="center"/>
                </w:tcPr>
                <w:p w14:paraId="092B9C2E">
                  <w:pPr>
                    <w:jc w:val="center"/>
                    <w:rPr>
                      <w:color w:val="auto"/>
                      <w:sz w:val="22"/>
                      <w:szCs w:val="22"/>
                      <w:highlight w:val="none"/>
                    </w:rPr>
                  </w:pPr>
                </w:p>
              </w:tc>
              <w:tc>
                <w:tcPr>
                  <w:tcW w:w="910" w:type="dxa"/>
                  <w:vAlign w:val="center"/>
                </w:tcPr>
                <w:p w14:paraId="0B0ACCF0">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300</w:t>
                  </w:r>
                </w:p>
              </w:tc>
              <w:tc>
                <w:tcPr>
                  <w:tcW w:w="933" w:type="dxa"/>
                  <w:vAlign w:val="center"/>
                </w:tcPr>
                <w:p w14:paraId="2060F3D4">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10</w:t>
                  </w:r>
                </w:p>
              </w:tc>
              <w:tc>
                <w:tcPr>
                  <w:tcW w:w="900" w:type="dxa"/>
                  <w:vAlign w:val="center"/>
                </w:tcPr>
                <w:p w14:paraId="325F0FF3">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0.486 </w:t>
                  </w:r>
                </w:p>
              </w:tc>
              <w:tc>
                <w:tcPr>
                  <w:tcW w:w="964" w:type="dxa"/>
                  <w:vAlign w:val="center"/>
                </w:tcPr>
                <w:p w14:paraId="6FCFB348">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0.016 </w:t>
                  </w:r>
                </w:p>
              </w:tc>
              <w:tc>
                <w:tcPr>
                  <w:tcW w:w="418" w:type="dxa"/>
                  <w:vMerge w:val="continue"/>
                  <w:vAlign w:val="center"/>
                </w:tcPr>
                <w:p w14:paraId="0E26648D">
                  <w:pPr>
                    <w:jc w:val="center"/>
                    <w:rPr>
                      <w:color w:val="auto"/>
                      <w:sz w:val="22"/>
                      <w:szCs w:val="22"/>
                      <w:highlight w:val="none"/>
                    </w:rPr>
                  </w:pPr>
                </w:p>
              </w:tc>
            </w:tr>
            <w:tr w14:paraId="4911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48" w:type="dxa"/>
                  <w:gridSpan w:val="2"/>
                  <w:vMerge w:val="continue"/>
                  <w:vAlign w:val="center"/>
                </w:tcPr>
                <w:p w14:paraId="3653E767">
                  <w:pPr>
                    <w:jc w:val="center"/>
                    <w:rPr>
                      <w:color w:val="auto"/>
                      <w:sz w:val="22"/>
                      <w:szCs w:val="22"/>
                      <w:highlight w:val="none"/>
                    </w:rPr>
                  </w:pPr>
                </w:p>
              </w:tc>
              <w:tc>
                <w:tcPr>
                  <w:tcW w:w="1020" w:type="dxa"/>
                  <w:noWrap/>
                  <w:vAlign w:val="center"/>
                </w:tcPr>
                <w:p w14:paraId="4D83AEA6">
                  <w:pPr>
                    <w:jc w:val="center"/>
                    <w:rPr>
                      <w:color w:val="auto"/>
                      <w:kern w:val="0"/>
                      <w:sz w:val="22"/>
                      <w:szCs w:val="22"/>
                      <w:highlight w:val="none"/>
                      <w:lang w:bidi="ar"/>
                    </w:rPr>
                  </w:pPr>
                  <w:r>
                    <w:rPr>
                      <w:rFonts w:hint="eastAsia" w:eastAsia="Times New Roman"/>
                      <w:color w:val="auto"/>
                      <w:sz w:val="22"/>
                      <w:highlight w:val="none"/>
                    </w:rPr>
                    <w:t>SS</w:t>
                  </w:r>
                </w:p>
              </w:tc>
              <w:tc>
                <w:tcPr>
                  <w:tcW w:w="728" w:type="dxa"/>
                  <w:vMerge w:val="continue"/>
                  <w:vAlign w:val="center"/>
                </w:tcPr>
                <w:p w14:paraId="7492B174">
                  <w:pPr>
                    <w:jc w:val="center"/>
                    <w:rPr>
                      <w:color w:val="auto"/>
                      <w:sz w:val="22"/>
                      <w:szCs w:val="22"/>
                      <w:highlight w:val="none"/>
                    </w:rPr>
                  </w:pPr>
                </w:p>
              </w:tc>
              <w:tc>
                <w:tcPr>
                  <w:tcW w:w="718" w:type="dxa"/>
                  <w:noWrap/>
                  <w:vAlign w:val="bottom"/>
                </w:tcPr>
                <w:p w14:paraId="0F98AAF5">
                  <w:pPr>
                    <w:keepNext w:val="0"/>
                    <w:keepLines w:val="0"/>
                    <w:widowControl/>
                    <w:suppressLineNumbers w:val="0"/>
                    <w:jc w:val="center"/>
                    <w:textAlignment w:val="bottom"/>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437 </w:t>
                  </w:r>
                </w:p>
              </w:tc>
              <w:tc>
                <w:tcPr>
                  <w:tcW w:w="921" w:type="dxa"/>
                  <w:vAlign w:val="bottom"/>
                </w:tcPr>
                <w:p w14:paraId="4762B1A1">
                  <w:pPr>
                    <w:keepNext w:val="0"/>
                    <w:keepLines w:val="0"/>
                    <w:widowControl/>
                    <w:suppressLineNumbers w:val="0"/>
                    <w:jc w:val="center"/>
                    <w:textAlignment w:val="bottom"/>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0.753 </w:t>
                  </w:r>
                </w:p>
              </w:tc>
              <w:tc>
                <w:tcPr>
                  <w:tcW w:w="686" w:type="dxa"/>
                  <w:vMerge w:val="continue"/>
                  <w:vAlign w:val="center"/>
                </w:tcPr>
                <w:p w14:paraId="027E48DB">
                  <w:pPr>
                    <w:jc w:val="center"/>
                    <w:rPr>
                      <w:color w:val="auto"/>
                      <w:sz w:val="22"/>
                      <w:szCs w:val="22"/>
                      <w:highlight w:val="none"/>
                    </w:rPr>
                  </w:pPr>
                </w:p>
              </w:tc>
              <w:tc>
                <w:tcPr>
                  <w:tcW w:w="444" w:type="dxa"/>
                  <w:vMerge w:val="continue"/>
                  <w:vAlign w:val="center"/>
                </w:tcPr>
                <w:p w14:paraId="5F5DAF0D">
                  <w:pPr>
                    <w:jc w:val="center"/>
                    <w:rPr>
                      <w:color w:val="auto"/>
                      <w:sz w:val="22"/>
                      <w:szCs w:val="22"/>
                      <w:highlight w:val="none"/>
                    </w:rPr>
                  </w:pPr>
                </w:p>
              </w:tc>
              <w:tc>
                <w:tcPr>
                  <w:tcW w:w="797" w:type="dxa"/>
                  <w:vAlign w:val="bottom"/>
                </w:tcPr>
                <w:p w14:paraId="6DCC94F4">
                  <w:pPr>
                    <w:keepNext w:val="0"/>
                    <w:keepLines w:val="0"/>
                    <w:widowControl/>
                    <w:suppressLineNumbers w:val="0"/>
                    <w:jc w:val="center"/>
                    <w:textAlignment w:val="bottom"/>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8%</w:t>
                  </w:r>
                </w:p>
              </w:tc>
              <w:tc>
                <w:tcPr>
                  <w:tcW w:w="739" w:type="dxa"/>
                  <w:vMerge w:val="continue"/>
                  <w:vAlign w:val="center"/>
                </w:tcPr>
                <w:p w14:paraId="3E6E2419">
                  <w:pPr>
                    <w:jc w:val="center"/>
                    <w:rPr>
                      <w:color w:val="auto"/>
                      <w:sz w:val="22"/>
                      <w:szCs w:val="22"/>
                      <w:highlight w:val="none"/>
                    </w:rPr>
                  </w:pPr>
                </w:p>
              </w:tc>
              <w:tc>
                <w:tcPr>
                  <w:tcW w:w="697" w:type="dxa"/>
                  <w:vMerge w:val="continue"/>
                  <w:vAlign w:val="center"/>
                </w:tcPr>
                <w:p w14:paraId="3F140077">
                  <w:pPr>
                    <w:jc w:val="center"/>
                    <w:rPr>
                      <w:color w:val="auto"/>
                      <w:sz w:val="22"/>
                      <w:szCs w:val="22"/>
                      <w:highlight w:val="none"/>
                    </w:rPr>
                  </w:pPr>
                </w:p>
              </w:tc>
              <w:tc>
                <w:tcPr>
                  <w:tcW w:w="910" w:type="dxa"/>
                  <w:vAlign w:val="center"/>
                </w:tcPr>
                <w:p w14:paraId="490DE3A2">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400</w:t>
                  </w:r>
                </w:p>
              </w:tc>
              <w:tc>
                <w:tcPr>
                  <w:tcW w:w="933" w:type="dxa"/>
                  <w:vAlign w:val="center"/>
                </w:tcPr>
                <w:p w14:paraId="08332F7C">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10</w:t>
                  </w:r>
                </w:p>
              </w:tc>
              <w:tc>
                <w:tcPr>
                  <w:tcW w:w="900" w:type="dxa"/>
                  <w:vAlign w:val="center"/>
                </w:tcPr>
                <w:p w14:paraId="3C2BC42A">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0.664 </w:t>
                  </w:r>
                </w:p>
              </w:tc>
              <w:tc>
                <w:tcPr>
                  <w:tcW w:w="964" w:type="dxa"/>
                  <w:vAlign w:val="center"/>
                </w:tcPr>
                <w:p w14:paraId="77A97644">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0.017 </w:t>
                  </w:r>
                </w:p>
              </w:tc>
              <w:tc>
                <w:tcPr>
                  <w:tcW w:w="418" w:type="dxa"/>
                  <w:vMerge w:val="continue"/>
                  <w:vAlign w:val="center"/>
                </w:tcPr>
                <w:p w14:paraId="7DCF0F18">
                  <w:pPr>
                    <w:jc w:val="center"/>
                    <w:rPr>
                      <w:color w:val="auto"/>
                      <w:sz w:val="22"/>
                      <w:szCs w:val="22"/>
                      <w:highlight w:val="none"/>
                    </w:rPr>
                  </w:pPr>
                </w:p>
              </w:tc>
            </w:tr>
            <w:tr w14:paraId="2A71A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48" w:type="dxa"/>
                  <w:gridSpan w:val="2"/>
                  <w:vMerge w:val="continue"/>
                  <w:vAlign w:val="center"/>
                </w:tcPr>
                <w:p w14:paraId="375DF464">
                  <w:pPr>
                    <w:jc w:val="center"/>
                    <w:rPr>
                      <w:color w:val="auto"/>
                      <w:sz w:val="22"/>
                      <w:szCs w:val="22"/>
                      <w:highlight w:val="none"/>
                    </w:rPr>
                  </w:pPr>
                </w:p>
              </w:tc>
              <w:tc>
                <w:tcPr>
                  <w:tcW w:w="1020" w:type="dxa"/>
                  <w:noWrap/>
                  <w:vAlign w:val="center"/>
                </w:tcPr>
                <w:p w14:paraId="418C7ED3">
                  <w:pPr>
                    <w:jc w:val="center"/>
                    <w:rPr>
                      <w:color w:val="auto"/>
                      <w:kern w:val="0"/>
                      <w:sz w:val="22"/>
                      <w:szCs w:val="22"/>
                      <w:highlight w:val="none"/>
                      <w:lang w:bidi="ar"/>
                    </w:rPr>
                  </w:pPr>
                  <w:r>
                    <w:rPr>
                      <w:rFonts w:hint="eastAsia" w:ascii="宋体" w:hAnsi="宋体"/>
                      <w:color w:val="auto"/>
                      <w:sz w:val="22"/>
                      <w:highlight w:val="none"/>
                    </w:rPr>
                    <w:t>氨氮</w:t>
                  </w:r>
                </w:p>
              </w:tc>
              <w:tc>
                <w:tcPr>
                  <w:tcW w:w="728" w:type="dxa"/>
                  <w:vMerge w:val="continue"/>
                  <w:vAlign w:val="center"/>
                </w:tcPr>
                <w:p w14:paraId="290CC5FB">
                  <w:pPr>
                    <w:jc w:val="center"/>
                    <w:rPr>
                      <w:color w:val="auto"/>
                      <w:sz w:val="22"/>
                      <w:szCs w:val="22"/>
                      <w:highlight w:val="none"/>
                    </w:rPr>
                  </w:pPr>
                </w:p>
              </w:tc>
              <w:tc>
                <w:tcPr>
                  <w:tcW w:w="718" w:type="dxa"/>
                  <w:noWrap/>
                  <w:vAlign w:val="bottom"/>
                </w:tcPr>
                <w:p w14:paraId="4C74C60F">
                  <w:pPr>
                    <w:keepNext w:val="0"/>
                    <w:keepLines w:val="0"/>
                    <w:widowControl/>
                    <w:suppressLineNumbers w:val="0"/>
                    <w:jc w:val="center"/>
                    <w:textAlignment w:val="bottom"/>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47 </w:t>
                  </w:r>
                </w:p>
              </w:tc>
              <w:tc>
                <w:tcPr>
                  <w:tcW w:w="921" w:type="dxa"/>
                  <w:vAlign w:val="bottom"/>
                </w:tcPr>
                <w:p w14:paraId="02AA99D9">
                  <w:pPr>
                    <w:keepNext w:val="0"/>
                    <w:keepLines w:val="0"/>
                    <w:widowControl/>
                    <w:suppressLineNumbers w:val="0"/>
                    <w:jc w:val="center"/>
                    <w:textAlignment w:val="bottom"/>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0.081 </w:t>
                  </w:r>
                </w:p>
              </w:tc>
              <w:tc>
                <w:tcPr>
                  <w:tcW w:w="686" w:type="dxa"/>
                  <w:vMerge w:val="continue"/>
                  <w:vAlign w:val="center"/>
                </w:tcPr>
                <w:p w14:paraId="3070CE94">
                  <w:pPr>
                    <w:jc w:val="center"/>
                    <w:rPr>
                      <w:color w:val="auto"/>
                      <w:sz w:val="22"/>
                      <w:szCs w:val="22"/>
                      <w:highlight w:val="none"/>
                    </w:rPr>
                  </w:pPr>
                </w:p>
              </w:tc>
              <w:tc>
                <w:tcPr>
                  <w:tcW w:w="444" w:type="dxa"/>
                  <w:vMerge w:val="continue"/>
                  <w:vAlign w:val="center"/>
                </w:tcPr>
                <w:p w14:paraId="405FEAF2">
                  <w:pPr>
                    <w:jc w:val="center"/>
                    <w:rPr>
                      <w:color w:val="auto"/>
                      <w:sz w:val="22"/>
                      <w:szCs w:val="22"/>
                      <w:highlight w:val="none"/>
                    </w:rPr>
                  </w:pPr>
                </w:p>
              </w:tc>
              <w:tc>
                <w:tcPr>
                  <w:tcW w:w="797" w:type="dxa"/>
                  <w:vAlign w:val="bottom"/>
                </w:tcPr>
                <w:p w14:paraId="1E2601C5">
                  <w:pPr>
                    <w:keepNext w:val="0"/>
                    <w:keepLines w:val="0"/>
                    <w:widowControl/>
                    <w:suppressLineNumbers w:val="0"/>
                    <w:jc w:val="center"/>
                    <w:textAlignment w:val="bottom"/>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739" w:type="dxa"/>
                  <w:vMerge w:val="continue"/>
                  <w:vAlign w:val="center"/>
                </w:tcPr>
                <w:p w14:paraId="13056350">
                  <w:pPr>
                    <w:jc w:val="center"/>
                    <w:rPr>
                      <w:color w:val="auto"/>
                      <w:sz w:val="22"/>
                      <w:szCs w:val="22"/>
                      <w:highlight w:val="none"/>
                    </w:rPr>
                  </w:pPr>
                </w:p>
              </w:tc>
              <w:tc>
                <w:tcPr>
                  <w:tcW w:w="697" w:type="dxa"/>
                  <w:vMerge w:val="continue"/>
                  <w:vAlign w:val="center"/>
                </w:tcPr>
                <w:p w14:paraId="78679040">
                  <w:pPr>
                    <w:jc w:val="center"/>
                    <w:rPr>
                      <w:color w:val="auto"/>
                      <w:sz w:val="22"/>
                      <w:szCs w:val="22"/>
                      <w:highlight w:val="none"/>
                    </w:rPr>
                  </w:pPr>
                </w:p>
              </w:tc>
              <w:tc>
                <w:tcPr>
                  <w:tcW w:w="910" w:type="dxa"/>
                  <w:vAlign w:val="center"/>
                </w:tcPr>
                <w:p w14:paraId="7E144137">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45</w:t>
                  </w:r>
                </w:p>
              </w:tc>
              <w:tc>
                <w:tcPr>
                  <w:tcW w:w="933" w:type="dxa"/>
                  <w:vAlign w:val="center"/>
                </w:tcPr>
                <w:p w14:paraId="53A2B37A">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5</w:t>
                  </w:r>
                </w:p>
              </w:tc>
              <w:tc>
                <w:tcPr>
                  <w:tcW w:w="900" w:type="dxa"/>
                  <w:vAlign w:val="center"/>
                </w:tcPr>
                <w:p w14:paraId="0DC20FCA">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0.073 </w:t>
                  </w:r>
                </w:p>
              </w:tc>
              <w:tc>
                <w:tcPr>
                  <w:tcW w:w="964" w:type="dxa"/>
                  <w:vAlign w:val="center"/>
                </w:tcPr>
                <w:p w14:paraId="6DFFC049">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0.008 </w:t>
                  </w:r>
                </w:p>
              </w:tc>
              <w:tc>
                <w:tcPr>
                  <w:tcW w:w="418" w:type="dxa"/>
                  <w:vMerge w:val="continue"/>
                  <w:vAlign w:val="center"/>
                </w:tcPr>
                <w:p w14:paraId="63BB0FA2">
                  <w:pPr>
                    <w:jc w:val="center"/>
                    <w:rPr>
                      <w:color w:val="auto"/>
                      <w:sz w:val="22"/>
                      <w:szCs w:val="22"/>
                      <w:highlight w:val="none"/>
                    </w:rPr>
                  </w:pPr>
                </w:p>
              </w:tc>
            </w:tr>
            <w:tr w14:paraId="3873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48" w:type="dxa"/>
                  <w:gridSpan w:val="2"/>
                  <w:vMerge w:val="continue"/>
                  <w:vAlign w:val="center"/>
                </w:tcPr>
                <w:p w14:paraId="57F47F10">
                  <w:pPr>
                    <w:jc w:val="center"/>
                    <w:rPr>
                      <w:color w:val="auto"/>
                      <w:sz w:val="22"/>
                      <w:szCs w:val="22"/>
                      <w:highlight w:val="none"/>
                    </w:rPr>
                  </w:pPr>
                </w:p>
              </w:tc>
              <w:tc>
                <w:tcPr>
                  <w:tcW w:w="1020" w:type="dxa"/>
                  <w:noWrap/>
                  <w:vAlign w:val="center"/>
                </w:tcPr>
                <w:p w14:paraId="5656CDE7">
                  <w:pPr>
                    <w:jc w:val="center"/>
                    <w:rPr>
                      <w:color w:val="auto"/>
                      <w:kern w:val="0"/>
                      <w:sz w:val="22"/>
                      <w:szCs w:val="22"/>
                      <w:highlight w:val="none"/>
                      <w:lang w:bidi="ar"/>
                    </w:rPr>
                  </w:pPr>
                  <w:r>
                    <w:rPr>
                      <w:rFonts w:hint="eastAsia" w:eastAsia="Times New Roman"/>
                      <w:color w:val="auto"/>
                      <w:sz w:val="22"/>
                      <w:highlight w:val="none"/>
                    </w:rPr>
                    <w:t>TP</w:t>
                  </w:r>
                </w:p>
              </w:tc>
              <w:tc>
                <w:tcPr>
                  <w:tcW w:w="728" w:type="dxa"/>
                  <w:vMerge w:val="continue"/>
                  <w:vAlign w:val="center"/>
                </w:tcPr>
                <w:p w14:paraId="2E1F58E9">
                  <w:pPr>
                    <w:jc w:val="center"/>
                    <w:rPr>
                      <w:color w:val="auto"/>
                      <w:sz w:val="22"/>
                      <w:szCs w:val="22"/>
                      <w:highlight w:val="none"/>
                    </w:rPr>
                  </w:pPr>
                </w:p>
              </w:tc>
              <w:tc>
                <w:tcPr>
                  <w:tcW w:w="718" w:type="dxa"/>
                  <w:noWrap/>
                  <w:vAlign w:val="bottom"/>
                </w:tcPr>
                <w:p w14:paraId="2503322B">
                  <w:pPr>
                    <w:keepNext w:val="0"/>
                    <w:keepLines w:val="0"/>
                    <w:widowControl/>
                    <w:suppressLineNumbers w:val="0"/>
                    <w:jc w:val="center"/>
                    <w:textAlignment w:val="bottom"/>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9 </w:t>
                  </w:r>
                </w:p>
              </w:tc>
              <w:tc>
                <w:tcPr>
                  <w:tcW w:w="921" w:type="dxa"/>
                  <w:vAlign w:val="bottom"/>
                </w:tcPr>
                <w:p w14:paraId="62007B73">
                  <w:pPr>
                    <w:keepNext w:val="0"/>
                    <w:keepLines w:val="0"/>
                    <w:widowControl/>
                    <w:suppressLineNumbers w:val="0"/>
                    <w:jc w:val="center"/>
                    <w:textAlignment w:val="bottom"/>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0.016 </w:t>
                  </w:r>
                </w:p>
              </w:tc>
              <w:tc>
                <w:tcPr>
                  <w:tcW w:w="686" w:type="dxa"/>
                  <w:vMerge w:val="continue"/>
                  <w:vAlign w:val="center"/>
                </w:tcPr>
                <w:p w14:paraId="74C855A0">
                  <w:pPr>
                    <w:jc w:val="center"/>
                    <w:rPr>
                      <w:color w:val="auto"/>
                      <w:sz w:val="22"/>
                      <w:szCs w:val="22"/>
                      <w:highlight w:val="none"/>
                    </w:rPr>
                  </w:pPr>
                </w:p>
              </w:tc>
              <w:tc>
                <w:tcPr>
                  <w:tcW w:w="444" w:type="dxa"/>
                  <w:vMerge w:val="continue"/>
                  <w:vAlign w:val="center"/>
                </w:tcPr>
                <w:p w14:paraId="09547BB3">
                  <w:pPr>
                    <w:jc w:val="center"/>
                    <w:rPr>
                      <w:color w:val="auto"/>
                      <w:sz w:val="22"/>
                      <w:szCs w:val="22"/>
                      <w:highlight w:val="none"/>
                    </w:rPr>
                  </w:pPr>
                </w:p>
              </w:tc>
              <w:tc>
                <w:tcPr>
                  <w:tcW w:w="797" w:type="dxa"/>
                  <w:vAlign w:val="bottom"/>
                </w:tcPr>
                <w:p w14:paraId="2C9E83C9">
                  <w:pPr>
                    <w:keepNext w:val="0"/>
                    <w:keepLines w:val="0"/>
                    <w:widowControl/>
                    <w:suppressLineNumbers w:val="0"/>
                    <w:jc w:val="center"/>
                    <w:textAlignment w:val="bottom"/>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15%</w:t>
                  </w:r>
                </w:p>
              </w:tc>
              <w:tc>
                <w:tcPr>
                  <w:tcW w:w="739" w:type="dxa"/>
                  <w:vMerge w:val="continue"/>
                  <w:vAlign w:val="center"/>
                </w:tcPr>
                <w:p w14:paraId="02A38298">
                  <w:pPr>
                    <w:jc w:val="center"/>
                    <w:rPr>
                      <w:color w:val="auto"/>
                      <w:sz w:val="22"/>
                      <w:szCs w:val="22"/>
                      <w:highlight w:val="none"/>
                    </w:rPr>
                  </w:pPr>
                </w:p>
              </w:tc>
              <w:tc>
                <w:tcPr>
                  <w:tcW w:w="697" w:type="dxa"/>
                  <w:vMerge w:val="continue"/>
                  <w:vAlign w:val="center"/>
                </w:tcPr>
                <w:p w14:paraId="0B832717">
                  <w:pPr>
                    <w:jc w:val="center"/>
                    <w:rPr>
                      <w:color w:val="auto"/>
                      <w:sz w:val="22"/>
                      <w:szCs w:val="22"/>
                      <w:highlight w:val="none"/>
                    </w:rPr>
                  </w:pPr>
                </w:p>
              </w:tc>
              <w:tc>
                <w:tcPr>
                  <w:tcW w:w="910" w:type="dxa"/>
                  <w:vAlign w:val="center"/>
                </w:tcPr>
                <w:p w14:paraId="11883479">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8</w:t>
                  </w:r>
                </w:p>
              </w:tc>
              <w:tc>
                <w:tcPr>
                  <w:tcW w:w="933" w:type="dxa"/>
                  <w:vAlign w:val="center"/>
                </w:tcPr>
                <w:p w14:paraId="36492D0B">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0.5</w:t>
                  </w:r>
                </w:p>
              </w:tc>
              <w:tc>
                <w:tcPr>
                  <w:tcW w:w="900" w:type="dxa"/>
                  <w:vAlign w:val="center"/>
                </w:tcPr>
                <w:p w14:paraId="1CA12A22">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0.013 </w:t>
                  </w:r>
                </w:p>
              </w:tc>
              <w:tc>
                <w:tcPr>
                  <w:tcW w:w="964" w:type="dxa"/>
                  <w:vAlign w:val="center"/>
                </w:tcPr>
                <w:p w14:paraId="3AC3EF91">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0.001 </w:t>
                  </w:r>
                </w:p>
              </w:tc>
              <w:tc>
                <w:tcPr>
                  <w:tcW w:w="418" w:type="dxa"/>
                  <w:vMerge w:val="continue"/>
                  <w:vAlign w:val="center"/>
                </w:tcPr>
                <w:p w14:paraId="3C7AFEF5">
                  <w:pPr>
                    <w:jc w:val="center"/>
                    <w:rPr>
                      <w:color w:val="auto"/>
                      <w:sz w:val="22"/>
                      <w:szCs w:val="22"/>
                      <w:highlight w:val="none"/>
                    </w:rPr>
                  </w:pPr>
                </w:p>
              </w:tc>
            </w:tr>
            <w:tr w14:paraId="4CCA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48" w:type="dxa"/>
                  <w:gridSpan w:val="2"/>
                  <w:vMerge w:val="continue"/>
                  <w:vAlign w:val="center"/>
                </w:tcPr>
                <w:p w14:paraId="2146D2F5">
                  <w:pPr>
                    <w:jc w:val="center"/>
                    <w:rPr>
                      <w:color w:val="auto"/>
                      <w:sz w:val="22"/>
                      <w:szCs w:val="22"/>
                      <w:highlight w:val="none"/>
                    </w:rPr>
                  </w:pPr>
                </w:p>
              </w:tc>
              <w:tc>
                <w:tcPr>
                  <w:tcW w:w="1020" w:type="dxa"/>
                  <w:noWrap/>
                  <w:vAlign w:val="center"/>
                </w:tcPr>
                <w:p w14:paraId="370D32BF">
                  <w:pPr>
                    <w:jc w:val="center"/>
                    <w:rPr>
                      <w:color w:val="auto"/>
                      <w:kern w:val="0"/>
                      <w:sz w:val="22"/>
                      <w:szCs w:val="22"/>
                      <w:highlight w:val="none"/>
                      <w:lang w:bidi="ar"/>
                    </w:rPr>
                  </w:pPr>
                  <w:r>
                    <w:rPr>
                      <w:rFonts w:hint="eastAsia" w:ascii="宋体" w:hAnsi="宋体"/>
                      <w:color w:val="auto"/>
                      <w:sz w:val="22"/>
                      <w:highlight w:val="none"/>
                    </w:rPr>
                    <w:t>石油类</w:t>
                  </w:r>
                </w:p>
              </w:tc>
              <w:tc>
                <w:tcPr>
                  <w:tcW w:w="728" w:type="dxa"/>
                  <w:vMerge w:val="continue"/>
                  <w:vAlign w:val="center"/>
                </w:tcPr>
                <w:p w14:paraId="6CE1EA72">
                  <w:pPr>
                    <w:jc w:val="center"/>
                    <w:rPr>
                      <w:color w:val="auto"/>
                      <w:sz w:val="22"/>
                      <w:szCs w:val="22"/>
                      <w:highlight w:val="none"/>
                    </w:rPr>
                  </w:pPr>
                </w:p>
              </w:tc>
              <w:tc>
                <w:tcPr>
                  <w:tcW w:w="718" w:type="dxa"/>
                  <w:noWrap/>
                  <w:vAlign w:val="bottom"/>
                </w:tcPr>
                <w:p w14:paraId="1FC21585">
                  <w:pPr>
                    <w:keepNext w:val="0"/>
                    <w:keepLines w:val="0"/>
                    <w:widowControl/>
                    <w:suppressLineNumbers w:val="0"/>
                    <w:jc w:val="center"/>
                    <w:textAlignment w:val="bottom"/>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3 </w:t>
                  </w:r>
                </w:p>
              </w:tc>
              <w:tc>
                <w:tcPr>
                  <w:tcW w:w="921" w:type="dxa"/>
                  <w:vAlign w:val="bottom"/>
                </w:tcPr>
                <w:p w14:paraId="6D230976">
                  <w:pPr>
                    <w:keepNext w:val="0"/>
                    <w:keepLines w:val="0"/>
                    <w:widowControl/>
                    <w:suppressLineNumbers w:val="0"/>
                    <w:jc w:val="center"/>
                    <w:textAlignment w:val="bottom"/>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0.005 </w:t>
                  </w:r>
                </w:p>
              </w:tc>
              <w:tc>
                <w:tcPr>
                  <w:tcW w:w="686" w:type="dxa"/>
                  <w:vMerge w:val="continue"/>
                  <w:vAlign w:val="center"/>
                </w:tcPr>
                <w:p w14:paraId="1FAB67CB">
                  <w:pPr>
                    <w:jc w:val="center"/>
                    <w:rPr>
                      <w:color w:val="auto"/>
                      <w:sz w:val="22"/>
                      <w:szCs w:val="22"/>
                      <w:highlight w:val="none"/>
                    </w:rPr>
                  </w:pPr>
                </w:p>
              </w:tc>
              <w:tc>
                <w:tcPr>
                  <w:tcW w:w="444" w:type="dxa"/>
                  <w:vMerge w:val="continue"/>
                  <w:vAlign w:val="center"/>
                </w:tcPr>
                <w:p w14:paraId="75EE5F50">
                  <w:pPr>
                    <w:jc w:val="center"/>
                    <w:rPr>
                      <w:color w:val="auto"/>
                      <w:sz w:val="22"/>
                      <w:szCs w:val="22"/>
                      <w:highlight w:val="none"/>
                    </w:rPr>
                  </w:pPr>
                </w:p>
              </w:tc>
              <w:tc>
                <w:tcPr>
                  <w:tcW w:w="797" w:type="dxa"/>
                  <w:vAlign w:val="bottom"/>
                </w:tcPr>
                <w:p w14:paraId="09827364">
                  <w:pPr>
                    <w:keepNext w:val="0"/>
                    <w:keepLines w:val="0"/>
                    <w:widowControl/>
                    <w:suppressLineNumbers w:val="0"/>
                    <w:jc w:val="center"/>
                    <w:textAlignment w:val="bottom"/>
                    <w:rPr>
                      <w:rFonts w:eastAsia="Times New Roman"/>
                      <w:color w:val="auto"/>
                      <w:sz w:val="22"/>
                      <w:highlight w:val="none"/>
                    </w:rPr>
                  </w:pPr>
                  <w:r>
                    <w:rPr>
                      <w:rFonts w:hint="eastAsia" w:cs="Times New Roman"/>
                      <w:i w:val="0"/>
                      <w:iCs w:val="0"/>
                      <w:color w:val="auto"/>
                      <w:kern w:val="0"/>
                      <w:sz w:val="22"/>
                      <w:szCs w:val="22"/>
                      <w:highlight w:val="none"/>
                      <w:u w:val="none"/>
                      <w:lang w:val="en-US" w:eastAsia="zh-CN" w:bidi="ar"/>
                    </w:rPr>
                    <w:t>/</w:t>
                  </w:r>
                </w:p>
              </w:tc>
              <w:tc>
                <w:tcPr>
                  <w:tcW w:w="739" w:type="dxa"/>
                  <w:vMerge w:val="continue"/>
                  <w:vAlign w:val="center"/>
                </w:tcPr>
                <w:p w14:paraId="0AA780AD">
                  <w:pPr>
                    <w:jc w:val="center"/>
                    <w:rPr>
                      <w:color w:val="auto"/>
                      <w:sz w:val="22"/>
                      <w:szCs w:val="22"/>
                      <w:highlight w:val="none"/>
                    </w:rPr>
                  </w:pPr>
                </w:p>
              </w:tc>
              <w:tc>
                <w:tcPr>
                  <w:tcW w:w="697" w:type="dxa"/>
                  <w:vMerge w:val="continue"/>
                  <w:vAlign w:val="center"/>
                </w:tcPr>
                <w:p w14:paraId="1482DBF6">
                  <w:pPr>
                    <w:jc w:val="center"/>
                    <w:rPr>
                      <w:color w:val="auto"/>
                      <w:sz w:val="22"/>
                      <w:szCs w:val="22"/>
                      <w:highlight w:val="none"/>
                    </w:rPr>
                  </w:pPr>
                </w:p>
              </w:tc>
              <w:tc>
                <w:tcPr>
                  <w:tcW w:w="910" w:type="dxa"/>
                  <w:vAlign w:val="center"/>
                </w:tcPr>
                <w:p w14:paraId="0887F6CB">
                  <w:pPr>
                    <w:keepNext w:val="0"/>
                    <w:keepLines w:val="0"/>
                    <w:widowControl/>
                    <w:suppressLineNumbers w:val="0"/>
                    <w:jc w:val="center"/>
                    <w:textAlignment w:val="center"/>
                    <w:rPr>
                      <w:rFonts w:hint="default"/>
                      <w:color w:val="auto"/>
                      <w:sz w:val="22"/>
                      <w:highlight w:val="none"/>
                      <w:lang w:val="en-US"/>
                    </w:rPr>
                  </w:pPr>
                  <w:r>
                    <w:rPr>
                      <w:rFonts w:hint="eastAsia" w:cs="Times New Roman"/>
                      <w:i w:val="0"/>
                      <w:iCs w:val="0"/>
                      <w:color w:val="auto"/>
                      <w:kern w:val="0"/>
                      <w:sz w:val="22"/>
                      <w:szCs w:val="22"/>
                      <w:highlight w:val="none"/>
                      <w:u w:val="none"/>
                      <w:lang w:val="en-US" w:eastAsia="zh-CN" w:bidi="ar"/>
                    </w:rPr>
                    <w:t>30</w:t>
                  </w:r>
                </w:p>
              </w:tc>
              <w:tc>
                <w:tcPr>
                  <w:tcW w:w="933" w:type="dxa"/>
                  <w:vAlign w:val="center"/>
                </w:tcPr>
                <w:p w14:paraId="4AD69169">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900" w:type="dxa"/>
                  <w:vAlign w:val="center"/>
                </w:tcPr>
                <w:p w14:paraId="53ECF819">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0.003 </w:t>
                  </w:r>
                </w:p>
              </w:tc>
              <w:tc>
                <w:tcPr>
                  <w:tcW w:w="964" w:type="dxa"/>
                  <w:vAlign w:val="center"/>
                </w:tcPr>
                <w:p w14:paraId="21474488">
                  <w:pPr>
                    <w:keepNext w:val="0"/>
                    <w:keepLines w:val="0"/>
                    <w:widowControl/>
                    <w:suppressLineNumbers w:val="0"/>
                    <w:jc w:val="center"/>
                    <w:textAlignment w:val="center"/>
                    <w:rPr>
                      <w:rFonts w:eastAsia="Times New Roman"/>
                      <w:color w:val="auto"/>
                      <w:sz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0.0001 </w:t>
                  </w:r>
                </w:p>
              </w:tc>
              <w:tc>
                <w:tcPr>
                  <w:tcW w:w="418" w:type="dxa"/>
                  <w:vMerge w:val="continue"/>
                  <w:vAlign w:val="center"/>
                </w:tcPr>
                <w:p w14:paraId="64598A1C">
                  <w:pPr>
                    <w:jc w:val="center"/>
                    <w:rPr>
                      <w:color w:val="auto"/>
                      <w:sz w:val="22"/>
                      <w:szCs w:val="22"/>
                      <w:highlight w:val="none"/>
                    </w:rPr>
                  </w:pPr>
                </w:p>
              </w:tc>
            </w:tr>
          </w:tbl>
          <w:p w14:paraId="02675747">
            <w:pPr>
              <w:snapToGrid w:val="0"/>
              <w:ind w:firstLine="520"/>
              <w:jc w:val="center"/>
              <w:rPr>
                <w:color w:val="auto"/>
                <w:kern w:val="0"/>
                <w:sz w:val="24"/>
                <w:szCs w:val="26"/>
                <w:highlight w:val="none"/>
              </w:rPr>
            </w:pPr>
          </w:p>
          <w:p w14:paraId="60A576AA">
            <w:pPr>
              <w:snapToGrid w:val="0"/>
              <w:ind w:firstLine="520"/>
              <w:jc w:val="center"/>
              <w:rPr>
                <w:color w:val="auto"/>
                <w:kern w:val="0"/>
                <w:sz w:val="24"/>
                <w:szCs w:val="26"/>
                <w:highlight w:val="none"/>
              </w:rPr>
            </w:pPr>
          </w:p>
          <w:p w14:paraId="51600BE0">
            <w:pPr>
              <w:snapToGrid w:val="0"/>
              <w:ind w:firstLine="520"/>
              <w:jc w:val="center"/>
              <w:rPr>
                <w:bCs/>
                <w:color w:val="auto"/>
                <w:sz w:val="24"/>
                <w:szCs w:val="26"/>
                <w:highlight w:val="none"/>
              </w:rPr>
            </w:pPr>
            <w:r>
              <w:rPr>
                <w:color w:val="auto"/>
                <w:kern w:val="0"/>
                <w:sz w:val="24"/>
                <w:szCs w:val="26"/>
                <w:highlight w:val="none"/>
              </w:rPr>
              <w:t>表4.2-</w:t>
            </w:r>
            <w:r>
              <w:rPr>
                <w:rFonts w:hint="eastAsia"/>
                <w:color w:val="auto"/>
                <w:kern w:val="0"/>
                <w:sz w:val="24"/>
                <w:szCs w:val="26"/>
                <w:highlight w:val="none"/>
              </w:rPr>
              <w:t>9</w:t>
            </w:r>
            <w:r>
              <w:rPr>
                <w:color w:val="auto"/>
                <w:kern w:val="0"/>
                <w:sz w:val="24"/>
                <w:szCs w:val="26"/>
                <w:highlight w:val="none"/>
              </w:rPr>
              <w:t xml:space="preserve">  </w:t>
            </w:r>
            <w:r>
              <w:rPr>
                <w:bCs/>
                <w:color w:val="auto"/>
                <w:spacing w:val="-10"/>
                <w:sz w:val="24"/>
                <w:szCs w:val="26"/>
                <w:highlight w:val="none"/>
              </w:rPr>
              <w:t>废水类别、污染物及污染治理信息</w:t>
            </w:r>
          </w:p>
          <w:tbl>
            <w:tblPr>
              <w:tblStyle w:val="16"/>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155"/>
              <w:gridCol w:w="1641"/>
              <w:gridCol w:w="982"/>
              <w:gridCol w:w="782"/>
              <w:gridCol w:w="1148"/>
              <w:gridCol w:w="1349"/>
              <w:gridCol w:w="1190"/>
              <w:gridCol w:w="1397"/>
              <w:gridCol w:w="1587"/>
            </w:tblGrid>
            <w:tr w14:paraId="2BB9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4" w:type="dxa"/>
                  <w:vAlign w:val="center"/>
                </w:tcPr>
                <w:p w14:paraId="79054889">
                  <w:pPr>
                    <w:jc w:val="center"/>
                    <w:rPr>
                      <w:bCs/>
                      <w:color w:val="auto"/>
                      <w:szCs w:val="21"/>
                      <w:highlight w:val="none"/>
                    </w:rPr>
                  </w:pPr>
                  <w:r>
                    <w:rPr>
                      <w:bCs/>
                      <w:color w:val="auto"/>
                      <w:szCs w:val="21"/>
                      <w:highlight w:val="none"/>
                    </w:rPr>
                    <w:t>序号</w:t>
                  </w:r>
                </w:p>
              </w:tc>
              <w:tc>
                <w:tcPr>
                  <w:tcW w:w="1155" w:type="dxa"/>
                  <w:vAlign w:val="center"/>
                </w:tcPr>
                <w:p w14:paraId="1BCC39C7">
                  <w:pPr>
                    <w:jc w:val="center"/>
                    <w:rPr>
                      <w:bCs/>
                      <w:color w:val="auto"/>
                      <w:szCs w:val="21"/>
                      <w:highlight w:val="none"/>
                    </w:rPr>
                  </w:pPr>
                  <w:r>
                    <w:rPr>
                      <w:bCs/>
                      <w:color w:val="auto"/>
                      <w:szCs w:val="21"/>
                      <w:highlight w:val="none"/>
                    </w:rPr>
                    <w:t>废水类别</w:t>
                  </w:r>
                </w:p>
              </w:tc>
              <w:tc>
                <w:tcPr>
                  <w:tcW w:w="1641" w:type="dxa"/>
                  <w:vAlign w:val="center"/>
                </w:tcPr>
                <w:p w14:paraId="3AA0071F">
                  <w:pPr>
                    <w:jc w:val="center"/>
                    <w:rPr>
                      <w:bCs/>
                      <w:color w:val="auto"/>
                      <w:szCs w:val="21"/>
                      <w:highlight w:val="none"/>
                    </w:rPr>
                  </w:pPr>
                  <w:r>
                    <w:rPr>
                      <w:bCs/>
                      <w:color w:val="auto"/>
                      <w:szCs w:val="21"/>
                      <w:highlight w:val="none"/>
                    </w:rPr>
                    <w:t>污染物种类</w:t>
                  </w:r>
                </w:p>
              </w:tc>
              <w:tc>
                <w:tcPr>
                  <w:tcW w:w="982" w:type="dxa"/>
                  <w:vAlign w:val="center"/>
                </w:tcPr>
                <w:p w14:paraId="4F6AD1FE">
                  <w:pPr>
                    <w:jc w:val="center"/>
                    <w:rPr>
                      <w:bCs/>
                      <w:color w:val="auto"/>
                      <w:szCs w:val="21"/>
                      <w:highlight w:val="none"/>
                    </w:rPr>
                  </w:pPr>
                  <w:r>
                    <w:rPr>
                      <w:bCs/>
                      <w:color w:val="auto"/>
                      <w:szCs w:val="21"/>
                      <w:highlight w:val="none"/>
                    </w:rPr>
                    <w:t>排放去向</w:t>
                  </w:r>
                </w:p>
              </w:tc>
              <w:tc>
                <w:tcPr>
                  <w:tcW w:w="782" w:type="dxa"/>
                  <w:vAlign w:val="center"/>
                </w:tcPr>
                <w:p w14:paraId="3449DF9D">
                  <w:pPr>
                    <w:jc w:val="center"/>
                    <w:rPr>
                      <w:bCs/>
                      <w:color w:val="auto"/>
                      <w:szCs w:val="21"/>
                      <w:highlight w:val="none"/>
                    </w:rPr>
                  </w:pPr>
                  <w:r>
                    <w:rPr>
                      <w:bCs/>
                      <w:color w:val="auto"/>
                      <w:szCs w:val="21"/>
                      <w:highlight w:val="none"/>
                    </w:rPr>
                    <w:t>排放规律</w:t>
                  </w:r>
                </w:p>
              </w:tc>
              <w:tc>
                <w:tcPr>
                  <w:tcW w:w="1148" w:type="dxa"/>
                  <w:vAlign w:val="center"/>
                </w:tcPr>
                <w:p w14:paraId="5178D722">
                  <w:pPr>
                    <w:jc w:val="center"/>
                    <w:rPr>
                      <w:bCs/>
                      <w:color w:val="auto"/>
                      <w:szCs w:val="21"/>
                      <w:highlight w:val="none"/>
                    </w:rPr>
                  </w:pPr>
                  <w:r>
                    <w:rPr>
                      <w:bCs/>
                      <w:color w:val="auto"/>
                      <w:szCs w:val="21"/>
                      <w:highlight w:val="none"/>
                    </w:rPr>
                    <w:t>污染物治理设施编号</w:t>
                  </w:r>
                </w:p>
              </w:tc>
              <w:tc>
                <w:tcPr>
                  <w:tcW w:w="1349" w:type="dxa"/>
                  <w:vAlign w:val="center"/>
                </w:tcPr>
                <w:p w14:paraId="628F002B">
                  <w:pPr>
                    <w:jc w:val="center"/>
                    <w:rPr>
                      <w:bCs/>
                      <w:color w:val="auto"/>
                      <w:szCs w:val="21"/>
                      <w:highlight w:val="none"/>
                    </w:rPr>
                  </w:pPr>
                  <w:r>
                    <w:rPr>
                      <w:bCs/>
                      <w:color w:val="auto"/>
                      <w:szCs w:val="21"/>
                      <w:highlight w:val="none"/>
                    </w:rPr>
                    <w:t>污染物治理设施名称</w:t>
                  </w:r>
                </w:p>
              </w:tc>
              <w:tc>
                <w:tcPr>
                  <w:tcW w:w="1190" w:type="dxa"/>
                  <w:vAlign w:val="center"/>
                </w:tcPr>
                <w:p w14:paraId="5B0C0718">
                  <w:pPr>
                    <w:jc w:val="center"/>
                    <w:rPr>
                      <w:bCs/>
                      <w:color w:val="auto"/>
                      <w:szCs w:val="21"/>
                      <w:highlight w:val="none"/>
                    </w:rPr>
                  </w:pPr>
                  <w:r>
                    <w:rPr>
                      <w:bCs/>
                      <w:color w:val="auto"/>
                      <w:szCs w:val="21"/>
                      <w:highlight w:val="none"/>
                    </w:rPr>
                    <w:t>污染物治理设施工艺</w:t>
                  </w:r>
                </w:p>
              </w:tc>
              <w:tc>
                <w:tcPr>
                  <w:tcW w:w="1397" w:type="dxa"/>
                  <w:vAlign w:val="center"/>
                </w:tcPr>
                <w:p w14:paraId="40C77B19">
                  <w:pPr>
                    <w:jc w:val="center"/>
                    <w:rPr>
                      <w:bCs/>
                      <w:color w:val="auto"/>
                      <w:szCs w:val="21"/>
                      <w:highlight w:val="none"/>
                    </w:rPr>
                  </w:pPr>
                  <w:r>
                    <w:rPr>
                      <w:bCs/>
                      <w:color w:val="auto"/>
                      <w:szCs w:val="21"/>
                      <w:highlight w:val="none"/>
                    </w:rPr>
                    <w:t>排放口设置是否符合要求</w:t>
                  </w:r>
                </w:p>
              </w:tc>
              <w:tc>
                <w:tcPr>
                  <w:tcW w:w="1587" w:type="dxa"/>
                  <w:vAlign w:val="center"/>
                </w:tcPr>
                <w:p w14:paraId="20433848">
                  <w:pPr>
                    <w:jc w:val="center"/>
                    <w:rPr>
                      <w:bCs/>
                      <w:color w:val="auto"/>
                      <w:szCs w:val="21"/>
                      <w:highlight w:val="none"/>
                    </w:rPr>
                  </w:pPr>
                  <w:r>
                    <w:rPr>
                      <w:bCs/>
                      <w:color w:val="auto"/>
                      <w:szCs w:val="21"/>
                      <w:highlight w:val="none"/>
                    </w:rPr>
                    <w:t>排放口类型</w:t>
                  </w:r>
                </w:p>
              </w:tc>
            </w:tr>
            <w:tr w14:paraId="16418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4" w:type="dxa"/>
                  <w:vAlign w:val="center"/>
                </w:tcPr>
                <w:p w14:paraId="11D9ADB7">
                  <w:pPr>
                    <w:jc w:val="center"/>
                    <w:rPr>
                      <w:bCs/>
                      <w:color w:val="auto"/>
                      <w:szCs w:val="21"/>
                      <w:highlight w:val="none"/>
                    </w:rPr>
                  </w:pPr>
                  <w:r>
                    <w:rPr>
                      <w:rFonts w:hint="eastAsia"/>
                      <w:bCs/>
                      <w:color w:val="auto"/>
                      <w:szCs w:val="21"/>
                      <w:highlight w:val="none"/>
                    </w:rPr>
                    <w:t>1</w:t>
                  </w:r>
                </w:p>
              </w:tc>
              <w:tc>
                <w:tcPr>
                  <w:tcW w:w="1155" w:type="dxa"/>
                  <w:vAlign w:val="center"/>
                </w:tcPr>
                <w:p w14:paraId="18666DC7">
                  <w:pPr>
                    <w:jc w:val="center"/>
                    <w:rPr>
                      <w:color w:val="auto"/>
                      <w:szCs w:val="21"/>
                      <w:highlight w:val="none"/>
                    </w:rPr>
                  </w:pPr>
                  <w:r>
                    <w:rPr>
                      <w:rFonts w:hint="eastAsia"/>
                      <w:color w:val="auto"/>
                      <w:szCs w:val="21"/>
                      <w:highlight w:val="none"/>
                    </w:rPr>
                    <w:t>综合废水</w:t>
                  </w:r>
                </w:p>
              </w:tc>
              <w:tc>
                <w:tcPr>
                  <w:tcW w:w="1641" w:type="dxa"/>
                  <w:vAlign w:val="center"/>
                </w:tcPr>
                <w:p w14:paraId="154E2A4A">
                  <w:pPr>
                    <w:jc w:val="center"/>
                    <w:rPr>
                      <w:color w:val="auto"/>
                      <w:szCs w:val="21"/>
                      <w:highlight w:val="none"/>
                    </w:rPr>
                  </w:pPr>
                  <w:r>
                    <w:rPr>
                      <w:color w:val="auto"/>
                      <w:szCs w:val="21"/>
                      <w:highlight w:val="none"/>
                    </w:rPr>
                    <w:t>pH、COD、BOD</w:t>
                  </w:r>
                  <w:r>
                    <w:rPr>
                      <w:color w:val="auto"/>
                      <w:szCs w:val="21"/>
                      <w:highlight w:val="none"/>
                      <w:vertAlign w:val="subscript"/>
                    </w:rPr>
                    <w:t>5</w:t>
                  </w:r>
                  <w:r>
                    <w:rPr>
                      <w:color w:val="auto"/>
                      <w:szCs w:val="21"/>
                      <w:highlight w:val="none"/>
                    </w:rPr>
                    <w:t>、SS、NH</w:t>
                  </w:r>
                  <w:r>
                    <w:rPr>
                      <w:color w:val="auto"/>
                      <w:szCs w:val="21"/>
                      <w:highlight w:val="none"/>
                      <w:vertAlign w:val="subscript"/>
                    </w:rPr>
                    <w:t>3</w:t>
                  </w:r>
                  <w:r>
                    <w:rPr>
                      <w:color w:val="auto"/>
                      <w:szCs w:val="21"/>
                      <w:highlight w:val="none"/>
                    </w:rPr>
                    <w:t>-N</w:t>
                  </w:r>
                  <w:r>
                    <w:rPr>
                      <w:rFonts w:hint="eastAsia"/>
                      <w:color w:val="auto"/>
                      <w:szCs w:val="21"/>
                      <w:highlight w:val="none"/>
                    </w:rPr>
                    <w:t>、TP、石油类</w:t>
                  </w:r>
                </w:p>
              </w:tc>
              <w:tc>
                <w:tcPr>
                  <w:tcW w:w="982" w:type="dxa"/>
                  <w:vAlign w:val="center"/>
                </w:tcPr>
                <w:p w14:paraId="30637195">
                  <w:pPr>
                    <w:jc w:val="center"/>
                    <w:rPr>
                      <w:color w:val="auto"/>
                      <w:szCs w:val="21"/>
                      <w:highlight w:val="none"/>
                    </w:rPr>
                  </w:pPr>
                  <w:r>
                    <w:rPr>
                      <w:rFonts w:hint="eastAsia"/>
                      <w:color w:val="auto"/>
                      <w:szCs w:val="21"/>
                      <w:highlight w:val="none"/>
                    </w:rPr>
                    <w:t>银翔新城污水处理厂</w:t>
                  </w:r>
                </w:p>
              </w:tc>
              <w:tc>
                <w:tcPr>
                  <w:tcW w:w="782" w:type="dxa"/>
                  <w:vAlign w:val="center"/>
                </w:tcPr>
                <w:p w14:paraId="57BAA1D8">
                  <w:pPr>
                    <w:jc w:val="center"/>
                    <w:rPr>
                      <w:color w:val="auto"/>
                      <w:szCs w:val="21"/>
                      <w:highlight w:val="none"/>
                    </w:rPr>
                  </w:pPr>
                  <w:r>
                    <w:rPr>
                      <w:rFonts w:hint="eastAsia"/>
                      <w:color w:val="auto"/>
                      <w:szCs w:val="21"/>
                      <w:highlight w:val="none"/>
                    </w:rPr>
                    <w:t>连续</w:t>
                  </w:r>
                  <w:r>
                    <w:rPr>
                      <w:color w:val="auto"/>
                      <w:szCs w:val="21"/>
                      <w:highlight w:val="none"/>
                    </w:rPr>
                    <w:t>排放</w:t>
                  </w:r>
                  <w:r>
                    <w:rPr>
                      <w:rFonts w:hint="eastAsia"/>
                      <w:color w:val="auto"/>
                      <w:szCs w:val="21"/>
                      <w:highlight w:val="none"/>
                    </w:rPr>
                    <w:t>，流量不稳定，有周期规律</w:t>
                  </w:r>
                </w:p>
              </w:tc>
              <w:tc>
                <w:tcPr>
                  <w:tcW w:w="1148" w:type="dxa"/>
                  <w:vAlign w:val="center"/>
                </w:tcPr>
                <w:p w14:paraId="2D61B4F0">
                  <w:pPr>
                    <w:jc w:val="center"/>
                    <w:rPr>
                      <w:color w:val="auto"/>
                      <w:szCs w:val="21"/>
                      <w:highlight w:val="none"/>
                    </w:rPr>
                  </w:pPr>
                  <w:r>
                    <w:rPr>
                      <w:rFonts w:hint="eastAsia"/>
                      <w:color w:val="auto"/>
                      <w:szCs w:val="21"/>
                      <w:highlight w:val="none"/>
                    </w:rPr>
                    <w:t>T</w:t>
                  </w:r>
                  <w:r>
                    <w:rPr>
                      <w:color w:val="auto"/>
                      <w:szCs w:val="21"/>
                      <w:highlight w:val="none"/>
                    </w:rPr>
                    <w:t>W00</w:t>
                  </w:r>
                  <w:r>
                    <w:rPr>
                      <w:rFonts w:hint="eastAsia"/>
                      <w:color w:val="auto"/>
                      <w:szCs w:val="21"/>
                      <w:highlight w:val="none"/>
                    </w:rPr>
                    <w:t>1</w:t>
                  </w:r>
                </w:p>
              </w:tc>
              <w:tc>
                <w:tcPr>
                  <w:tcW w:w="1349" w:type="dxa"/>
                  <w:vAlign w:val="center"/>
                </w:tcPr>
                <w:p w14:paraId="36E142E0">
                  <w:pPr>
                    <w:jc w:val="center"/>
                    <w:rPr>
                      <w:bCs/>
                      <w:color w:val="auto"/>
                      <w:szCs w:val="21"/>
                      <w:highlight w:val="none"/>
                    </w:rPr>
                  </w:pPr>
                  <w:r>
                    <w:rPr>
                      <w:rFonts w:hint="eastAsia"/>
                      <w:color w:val="auto"/>
                      <w:kern w:val="0"/>
                      <w:sz w:val="22"/>
                      <w:szCs w:val="22"/>
                      <w:highlight w:val="none"/>
                    </w:rPr>
                    <w:t>利用重庆友拓汽车零部件有限公司已建综合生化池</w:t>
                  </w:r>
                </w:p>
              </w:tc>
              <w:tc>
                <w:tcPr>
                  <w:tcW w:w="1190" w:type="dxa"/>
                  <w:vAlign w:val="center"/>
                </w:tcPr>
                <w:p w14:paraId="1C37AB0A">
                  <w:pPr>
                    <w:jc w:val="center"/>
                    <w:rPr>
                      <w:color w:val="auto"/>
                      <w:kern w:val="0"/>
                      <w:sz w:val="22"/>
                      <w:szCs w:val="22"/>
                      <w:highlight w:val="none"/>
                    </w:rPr>
                  </w:pPr>
                  <w:r>
                    <w:rPr>
                      <w:rFonts w:hint="eastAsia"/>
                      <w:color w:val="auto"/>
                      <w:kern w:val="0"/>
                      <w:sz w:val="22"/>
                      <w:szCs w:val="22"/>
                      <w:highlight w:val="none"/>
                    </w:rPr>
                    <w:t>格栅+初沉+厌氧</w:t>
                  </w:r>
                </w:p>
              </w:tc>
              <w:tc>
                <w:tcPr>
                  <w:tcW w:w="1397" w:type="dxa"/>
                  <w:vAlign w:val="center"/>
                </w:tcPr>
                <w:p w14:paraId="2AFCEDDF">
                  <w:pPr>
                    <w:jc w:val="center"/>
                    <w:rPr>
                      <w:color w:val="auto"/>
                      <w:szCs w:val="21"/>
                      <w:highlight w:val="none"/>
                    </w:rPr>
                  </w:pPr>
                  <w:r>
                    <w:rPr>
                      <w:color w:val="auto"/>
                      <w:szCs w:val="21"/>
                      <w:highlight w:val="none"/>
                    </w:rPr>
                    <w:sym w:font="Wingdings 2" w:char="F052"/>
                  </w:r>
                  <w:r>
                    <w:rPr>
                      <w:color w:val="auto"/>
                      <w:szCs w:val="21"/>
                      <w:highlight w:val="none"/>
                    </w:rPr>
                    <w:t>是</w:t>
                  </w:r>
                </w:p>
                <w:p w14:paraId="032FC81D">
                  <w:pPr>
                    <w:jc w:val="center"/>
                    <w:rPr>
                      <w:color w:val="auto"/>
                      <w:szCs w:val="21"/>
                      <w:highlight w:val="none"/>
                    </w:rPr>
                  </w:pPr>
                  <w:r>
                    <w:rPr>
                      <w:color w:val="auto"/>
                      <w:szCs w:val="21"/>
                      <w:highlight w:val="none"/>
                    </w:rPr>
                    <w:t>口否</w:t>
                  </w:r>
                </w:p>
              </w:tc>
              <w:tc>
                <w:tcPr>
                  <w:tcW w:w="1587" w:type="dxa"/>
                  <w:vAlign w:val="center"/>
                </w:tcPr>
                <w:p w14:paraId="44383A69">
                  <w:pPr>
                    <w:jc w:val="center"/>
                    <w:rPr>
                      <w:color w:val="auto"/>
                      <w:szCs w:val="21"/>
                      <w:highlight w:val="none"/>
                    </w:rPr>
                  </w:pPr>
                  <w:r>
                    <w:rPr>
                      <w:color w:val="auto"/>
                      <w:szCs w:val="21"/>
                      <w:highlight w:val="none"/>
                    </w:rPr>
                    <w:sym w:font="Wingdings 2" w:char="F052"/>
                  </w:r>
                  <w:r>
                    <w:rPr>
                      <w:color w:val="auto"/>
                      <w:szCs w:val="21"/>
                      <w:highlight w:val="none"/>
                    </w:rPr>
                    <w:t>企业总</w:t>
                  </w:r>
                  <w:bookmarkStart w:id="84" w:name="hmcheck_1664913bf1c94c628d0ff90e3946734b"/>
                  <w:r>
                    <w:rPr>
                      <w:color w:val="auto"/>
                      <w:szCs w:val="21"/>
                      <w:highlight w:val="none"/>
                      <w:shd w:val="clear" w:fill="FFAFAA"/>
                    </w:rPr>
                    <w:t>排</w:t>
                  </w:r>
                  <w:bookmarkEnd w:id="84"/>
                  <w:r>
                    <w:rPr>
                      <w:color w:val="auto"/>
                      <w:szCs w:val="21"/>
                      <w:highlight w:val="none"/>
                    </w:rPr>
                    <w:t>口</w:t>
                  </w:r>
                </w:p>
                <w:p w14:paraId="03A50DDE">
                  <w:pPr>
                    <w:jc w:val="center"/>
                    <w:rPr>
                      <w:color w:val="auto"/>
                      <w:szCs w:val="21"/>
                      <w:highlight w:val="none"/>
                    </w:rPr>
                  </w:pPr>
                  <w:r>
                    <w:rPr>
                      <w:color w:val="auto"/>
                      <w:szCs w:val="21"/>
                      <w:highlight w:val="none"/>
                    </w:rPr>
                    <w:t>雨水排放口</w:t>
                  </w:r>
                </w:p>
                <w:p w14:paraId="69DA9DD7">
                  <w:pPr>
                    <w:jc w:val="center"/>
                    <w:rPr>
                      <w:color w:val="auto"/>
                      <w:szCs w:val="21"/>
                      <w:highlight w:val="none"/>
                    </w:rPr>
                  </w:pPr>
                  <w:r>
                    <w:rPr>
                      <w:color w:val="auto"/>
                      <w:szCs w:val="21"/>
                      <w:highlight w:val="none"/>
                    </w:rPr>
                    <w:t>清净下水排放口</w:t>
                  </w:r>
                </w:p>
                <w:p w14:paraId="47EDEBC4">
                  <w:pPr>
                    <w:jc w:val="center"/>
                    <w:rPr>
                      <w:color w:val="auto"/>
                      <w:szCs w:val="21"/>
                      <w:highlight w:val="none"/>
                    </w:rPr>
                  </w:pPr>
                  <w:r>
                    <w:rPr>
                      <w:color w:val="auto"/>
                      <w:szCs w:val="21"/>
                      <w:highlight w:val="none"/>
                    </w:rPr>
                    <w:t>温排水排放口</w:t>
                  </w:r>
                </w:p>
                <w:p w14:paraId="79E15EDB">
                  <w:pPr>
                    <w:jc w:val="center"/>
                    <w:rPr>
                      <w:color w:val="auto"/>
                      <w:szCs w:val="21"/>
                      <w:highlight w:val="none"/>
                    </w:rPr>
                  </w:pPr>
                  <w:r>
                    <w:rPr>
                      <w:color w:val="auto"/>
                      <w:szCs w:val="21"/>
                      <w:highlight w:val="none"/>
                    </w:rPr>
                    <w:t>车间或车间处理设施排放口</w:t>
                  </w:r>
                </w:p>
              </w:tc>
            </w:tr>
          </w:tbl>
          <w:p w14:paraId="367FC577">
            <w:pPr>
              <w:snapToGrid w:val="0"/>
              <w:ind w:firstLine="520"/>
              <w:jc w:val="center"/>
              <w:rPr>
                <w:bCs/>
                <w:color w:val="auto"/>
                <w:sz w:val="24"/>
                <w:szCs w:val="26"/>
                <w:highlight w:val="none"/>
              </w:rPr>
            </w:pPr>
          </w:p>
          <w:p w14:paraId="72FA566E">
            <w:pPr>
              <w:snapToGrid w:val="0"/>
              <w:ind w:firstLine="520"/>
              <w:jc w:val="center"/>
              <w:rPr>
                <w:bCs/>
                <w:color w:val="auto"/>
                <w:sz w:val="24"/>
                <w:szCs w:val="26"/>
                <w:highlight w:val="none"/>
              </w:rPr>
            </w:pPr>
            <w:r>
              <w:rPr>
                <w:bCs/>
                <w:color w:val="auto"/>
                <w:sz w:val="24"/>
                <w:szCs w:val="26"/>
                <w:highlight w:val="none"/>
              </w:rPr>
              <w:t>表</w:t>
            </w:r>
            <w:r>
              <w:rPr>
                <w:color w:val="auto"/>
                <w:kern w:val="0"/>
                <w:sz w:val="24"/>
                <w:szCs w:val="26"/>
                <w:highlight w:val="none"/>
              </w:rPr>
              <w:t>4.2-</w:t>
            </w:r>
            <w:r>
              <w:rPr>
                <w:rFonts w:hint="eastAsia"/>
                <w:color w:val="auto"/>
                <w:kern w:val="0"/>
                <w:sz w:val="24"/>
                <w:szCs w:val="26"/>
                <w:highlight w:val="none"/>
              </w:rPr>
              <w:t>10</w:t>
            </w:r>
            <w:r>
              <w:rPr>
                <w:bCs/>
                <w:color w:val="auto"/>
                <w:sz w:val="24"/>
                <w:szCs w:val="26"/>
                <w:highlight w:val="none"/>
              </w:rPr>
              <w:t xml:space="preserve">  废水间接排放口基本情况表</w:t>
            </w:r>
          </w:p>
          <w:tbl>
            <w:tblPr>
              <w:tblStyle w:val="16"/>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975"/>
              <w:gridCol w:w="1565"/>
              <w:gridCol w:w="1446"/>
              <w:gridCol w:w="939"/>
              <w:gridCol w:w="883"/>
              <w:gridCol w:w="942"/>
              <w:gridCol w:w="793"/>
              <w:gridCol w:w="1007"/>
              <w:gridCol w:w="1273"/>
              <w:gridCol w:w="1609"/>
            </w:tblGrid>
            <w:tr w14:paraId="3DA4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dxa"/>
                  <w:vMerge w:val="restart"/>
                  <w:vAlign w:val="center"/>
                </w:tcPr>
                <w:p w14:paraId="45904306">
                  <w:pPr>
                    <w:adjustRightInd w:val="0"/>
                    <w:snapToGrid w:val="0"/>
                    <w:jc w:val="center"/>
                    <w:rPr>
                      <w:color w:val="auto"/>
                      <w:kern w:val="0"/>
                      <w:sz w:val="22"/>
                      <w:szCs w:val="22"/>
                      <w:highlight w:val="none"/>
                    </w:rPr>
                  </w:pPr>
                  <w:r>
                    <w:rPr>
                      <w:color w:val="auto"/>
                      <w:kern w:val="0"/>
                      <w:sz w:val="22"/>
                      <w:szCs w:val="22"/>
                      <w:highlight w:val="none"/>
                    </w:rPr>
                    <w:t>序号</w:t>
                  </w:r>
                </w:p>
              </w:tc>
              <w:tc>
                <w:tcPr>
                  <w:tcW w:w="975" w:type="dxa"/>
                  <w:vMerge w:val="restart"/>
                  <w:vAlign w:val="center"/>
                </w:tcPr>
                <w:p w14:paraId="725D55F2">
                  <w:pPr>
                    <w:adjustRightInd w:val="0"/>
                    <w:snapToGrid w:val="0"/>
                    <w:jc w:val="center"/>
                    <w:rPr>
                      <w:color w:val="auto"/>
                      <w:kern w:val="0"/>
                      <w:sz w:val="22"/>
                      <w:szCs w:val="22"/>
                      <w:highlight w:val="none"/>
                    </w:rPr>
                  </w:pPr>
                  <w:r>
                    <w:rPr>
                      <w:color w:val="auto"/>
                      <w:kern w:val="0"/>
                      <w:sz w:val="22"/>
                      <w:szCs w:val="22"/>
                      <w:highlight w:val="none"/>
                    </w:rPr>
                    <w:t>排放口编号</w:t>
                  </w:r>
                </w:p>
              </w:tc>
              <w:tc>
                <w:tcPr>
                  <w:tcW w:w="3011" w:type="dxa"/>
                  <w:gridSpan w:val="2"/>
                  <w:vAlign w:val="center"/>
                </w:tcPr>
                <w:p w14:paraId="2D5A8659">
                  <w:pPr>
                    <w:adjustRightInd w:val="0"/>
                    <w:snapToGrid w:val="0"/>
                    <w:jc w:val="center"/>
                    <w:rPr>
                      <w:color w:val="auto"/>
                      <w:kern w:val="0"/>
                      <w:sz w:val="22"/>
                      <w:szCs w:val="22"/>
                      <w:highlight w:val="none"/>
                    </w:rPr>
                  </w:pPr>
                  <w:r>
                    <w:rPr>
                      <w:color w:val="auto"/>
                      <w:kern w:val="0"/>
                      <w:sz w:val="22"/>
                      <w:szCs w:val="22"/>
                      <w:highlight w:val="none"/>
                    </w:rPr>
                    <w:t>排放口地理坐标</w:t>
                  </w:r>
                </w:p>
              </w:tc>
              <w:tc>
                <w:tcPr>
                  <w:tcW w:w="939" w:type="dxa"/>
                  <w:vMerge w:val="restart"/>
                  <w:vAlign w:val="center"/>
                </w:tcPr>
                <w:p w14:paraId="7887F3F9">
                  <w:pPr>
                    <w:adjustRightInd w:val="0"/>
                    <w:snapToGrid w:val="0"/>
                    <w:jc w:val="center"/>
                    <w:rPr>
                      <w:color w:val="auto"/>
                      <w:kern w:val="0"/>
                      <w:sz w:val="22"/>
                      <w:szCs w:val="22"/>
                      <w:highlight w:val="none"/>
                    </w:rPr>
                  </w:pPr>
                  <w:r>
                    <w:rPr>
                      <w:color w:val="auto"/>
                      <w:kern w:val="0"/>
                      <w:sz w:val="22"/>
                      <w:szCs w:val="22"/>
                      <w:highlight w:val="none"/>
                    </w:rPr>
                    <w:t>废水排放量</w:t>
                  </w:r>
                  <w:r>
                    <w:rPr>
                      <w:rFonts w:hint="eastAsia"/>
                      <w:color w:val="auto"/>
                      <w:kern w:val="0"/>
                      <w:sz w:val="22"/>
                      <w:szCs w:val="22"/>
                      <w:highlight w:val="none"/>
                    </w:rPr>
                    <w:t>（</w:t>
                  </w:r>
                  <w:r>
                    <w:rPr>
                      <w:color w:val="auto"/>
                      <w:kern w:val="0"/>
                      <w:sz w:val="22"/>
                      <w:szCs w:val="22"/>
                      <w:highlight w:val="none"/>
                    </w:rPr>
                    <w:t>t/a</w:t>
                  </w:r>
                  <w:r>
                    <w:rPr>
                      <w:rFonts w:hint="eastAsia"/>
                      <w:color w:val="auto"/>
                      <w:kern w:val="0"/>
                      <w:sz w:val="22"/>
                      <w:szCs w:val="22"/>
                      <w:highlight w:val="none"/>
                      <w:lang w:eastAsia="zh-CN"/>
                    </w:rPr>
                    <w:t>）</w:t>
                  </w:r>
                </w:p>
              </w:tc>
              <w:tc>
                <w:tcPr>
                  <w:tcW w:w="883" w:type="dxa"/>
                  <w:vMerge w:val="restart"/>
                  <w:vAlign w:val="center"/>
                </w:tcPr>
                <w:p w14:paraId="2E05815C">
                  <w:pPr>
                    <w:adjustRightInd w:val="0"/>
                    <w:snapToGrid w:val="0"/>
                    <w:jc w:val="center"/>
                    <w:rPr>
                      <w:color w:val="auto"/>
                      <w:kern w:val="0"/>
                      <w:sz w:val="22"/>
                      <w:szCs w:val="22"/>
                      <w:highlight w:val="none"/>
                    </w:rPr>
                  </w:pPr>
                  <w:r>
                    <w:rPr>
                      <w:color w:val="auto"/>
                      <w:kern w:val="0"/>
                      <w:sz w:val="22"/>
                      <w:szCs w:val="22"/>
                      <w:highlight w:val="none"/>
                    </w:rPr>
                    <w:t>排放去向</w:t>
                  </w:r>
                </w:p>
              </w:tc>
              <w:tc>
                <w:tcPr>
                  <w:tcW w:w="942" w:type="dxa"/>
                  <w:vMerge w:val="restart"/>
                  <w:vAlign w:val="center"/>
                </w:tcPr>
                <w:p w14:paraId="2FBFAE9C">
                  <w:pPr>
                    <w:adjustRightInd w:val="0"/>
                    <w:snapToGrid w:val="0"/>
                    <w:jc w:val="center"/>
                    <w:rPr>
                      <w:color w:val="auto"/>
                      <w:kern w:val="0"/>
                      <w:sz w:val="22"/>
                      <w:szCs w:val="22"/>
                      <w:highlight w:val="none"/>
                    </w:rPr>
                  </w:pPr>
                  <w:r>
                    <w:rPr>
                      <w:color w:val="auto"/>
                      <w:kern w:val="0"/>
                      <w:sz w:val="22"/>
                      <w:szCs w:val="22"/>
                      <w:highlight w:val="none"/>
                    </w:rPr>
                    <w:t>排放规律</w:t>
                  </w:r>
                </w:p>
              </w:tc>
              <w:tc>
                <w:tcPr>
                  <w:tcW w:w="793" w:type="dxa"/>
                  <w:vMerge w:val="restart"/>
                  <w:vAlign w:val="center"/>
                </w:tcPr>
                <w:p w14:paraId="6FB27DF4">
                  <w:pPr>
                    <w:adjustRightInd w:val="0"/>
                    <w:snapToGrid w:val="0"/>
                    <w:jc w:val="center"/>
                    <w:rPr>
                      <w:color w:val="auto"/>
                      <w:kern w:val="0"/>
                      <w:sz w:val="22"/>
                      <w:szCs w:val="22"/>
                      <w:highlight w:val="none"/>
                    </w:rPr>
                  </w:pPr>
                  <w:r>
                    <w:rPr>
                      <w:color w:val="auto"/>
                      <w:kern w:val="0"/>
                      <w:sz w:val="22"/>
                      <w:szCs w:val="22"/>
                      <w:highlight w:val="none"/>
                    </w:rPr>
                    <w:t>间歇排放时段</w:t>
                  </w:r>
                </w:p>
              </w:tc>
              <w:tc>
                <w:tcPr>
                  <w:tcW w:w="3889" w:type="dxa"/>
                  <w:gridSpan w:val="3"/>
                  <w:vAlign w:val="center"/>
                </w:tcPr>
                <w:p w14:paraId="22365ECA">
                  <w:pPr>
                    <w:adjustRightInd w:val="0"/>
                    <w:snapToGrid w:val="0"/>
                    <w:jc w:val="center"/>
                    <w:rPr>
                      <w:color w:val="auto"/>
                      <w:kern w:val="0"/>
                      <w:sz w:val="22"/>
                      <w:szCs w:val="22"/>
                      <w:highlight w:val="none"/>
                    </w:rPr>
                  </w:pPr>
                  <w:r>
                    <w:rPr>
                      <w:color w:val="auto"/>
                      <w:kern w:val="0"/>
                      <w:sz w:val="22"/>
                      <w:szCs w:val="22"/>
                      <w:highlight w:val="none"/>
                    </w:rPr>
                    <w:t>受纳污水处理厂信息</w:t>
                  </w:r>
                </w:p>
              </w:tc>
            </w:tr>
            <w:tr w14:paraId="32939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dxa"/>
                  <w:vMerge w:val="continue"/>
                  <w:vAlign w:val="center"/>
                </w:tcPr>
                <w:p w14:paraId="6E8EA9AE">
                  <w:pPr>
                    <w:adjustRightInd w:val="0"/>
                    <w:snapToGrid w:val="0"/>
                    <w:jc w:val="center"/>
                    <w:rPr>
                      <w:color w:val="auto"/>
                      <w:kern w:val="0"/>
                      <w:sz w:val="22"/>
                      <w:szCs w:val="22"/>
                      <w:highlight w:val="none"/>
                    </w:rPr>
                  </w:pPr>
                </w:p>
              </w:tc>
              <w:tc>
                <w:tcPr>
                  <w:tcW w:w="975" w:type="dxa"/>
                  <w:vMerge w:val="continue"/>
                  <w:vAlign w:val="center"/>
                </w:tcPr>
                <w:p w14:paraId="3B3C78D9">
                  <w:pPr>
                    <w:adjustRightInd w:val="0"/>
                    <w:snapToGrid w:val="0"/>
                    <w:jc w:val="center"/>
                    <w:rPr>
                      <w:color w:val="auto"/>
                      <w:kern w:val="0"/>
                      <w:sz w:val="22"/>
                      <w:szCs w:val="22"/>
                      <w:highlight w:val="none"/>
                    </w:rPr>
                  </w:pPr>
                </w:p>
              </w:tc>
              <w:tc>
                <w:tcPr>
                  <w:tcW w:w="1565" w:type="dxa"/>
                  <w:vAlign w:val="center"/>
                </w:tcPr>
                <w:p w14:paraId="17CBAA41">
                  <w:pPr>
                    <w:adjustRightInd w:val="0"/>
                    <w:snapToGrid w:val="0"/>
                    <w:jc w:val="center"/>
                    <w:rPr>
                      <w:color w:val="auto"/>
                      <w:kern w:val="0"/>
                      <w:sz w:val="22"/>
                      <w:szCs w:val="22"/>
                      <w:highlight w:val="none"/>
                    </w:rPr>
                  </w:pPr>
                  <w:r>
                    <w:rPr>
                      <w:color w:val="auto"/>
                      <w:kern w:val="0"/>
                      <w:sz w:val="22"/>
                      <w:szCs w:val="22"/>
                      <w:highlight w:val="none"/>
                    </w:rPr>
                    <w:t>经度</w:t>
                  </w:r>
                </w:p>
              </w:tc>
              <w:tc>
                <w:tcPr>
                  <w:tcW w:w="1446" w:type="dxa"/>
                  <w:vAlign w:val="center"/>
                </w:tcPr>
                <w:p w14:paraId="4CF93053">
                  <w:pPr>
                    <w:adjustRightInd w:val="0"/>
                    <w:snapToGrid w:val="0"/>
                    <w:jc w:val="center"/>
                    <w:rPr>
                      <w:color w:val="auto"/>
                      <w:kern w:val="0"/>
                      <w:sz w:val="22"/>
                      <w:szCs w:val="22"/>
                      <w:highlight w:val="none"/>
                    </w:rPr>
                  </w:pPr>
                  <w:r>
                    <w:rPr>
                      <w:color w:val="auto"/>
                      <w:kern w:val="0"/>
                      <w:sz w:val="22"/>
                      <w:szCs w:val="22"/>
                      <w:highlight w:val="none"/>
                    </w:rPr>
                    <w:t>纬度</w:t>
                  </w:r>
                </w:p>
              </w:tc>
              <w:tc>
                <w:tcPr>
                  <w:tcW w:w="939" w:type="dxa"/>
                  <w:vMerge w:val="continue"/>
                  <w:vAlign w:val="center"/>
                </w:tcPr>
                <w:p w14:paraId="1237AF8D">
                  <w:pPr>
                    <w:adjustRightInd w:val="0"/>
                    <w:snapToGrid w:val="0"/>
                    <w:jc w:val="center"/>
                    <w:rPr>
                      <w:color w:val="auto"/>
                      <w:kern w:val="0"/>
                      <w:sz w:val="22"/>
                      <w:szCs w:val="22"/>
                      <w:highlight w:val="none"/>
                    </w:rPr>
                  </w:pPr>
                </w:p>
              </w:tc>
              <w:tc>
                <w:tcPr>
                  <w:tcW w:w="883" w:type="dxa"/>
                  <w:vMerge w:val="continue"/>
                  <w:vAlign w:val="center"/>
                </w:tcPr>
                <w:p w14:paraId="7D13B43F">
                  <w:pPr>
                    <w:adjustRightInd w:val="0"/>
                    <w:snapToGrid w:val="0"/>
                    <w:jc w:val="center"/>
                    <w:rPr>
                      <w:color w:val="auto"/>
                      <w:kern w:val="0"/>
                      <w:sz w:val="22"/>
                      <w:szCs w:val="22"/>
                      <w:highlight w:val="none"/>
                    </w:rPr>
                  </w:pPr>
                </w:p>
              </w:tc>
              <w:tc>
                <w:tcPr>
                  <w:tcW w:w="942" w:type="dxa"/>
                  <w:vMerge w:val="continue"/>
                  <w:vAlign w:val="center"/>
                </w:tcPr>
                <w:p w14:paraId="5780EDC0">
                  <w:pPr>
                    <w:adjustRightInd w:val="0"/>
                    <w:snapToGrid w:val="0"/>
                    <w:jc w:val="center"/>
                    <w:rPr>
                      <w:color w:val="auto"/>
                      <w:kern w:val="0"/>
                      <w:sz w:val="22"/>
                      <w:szCs w:val="22"/>
                      <w:highlight w:val="none"/>
                    </w:rPr>
                  </w:pPr>
                </w:p>
              </w:tc>
              <w:tc>
                <w:tcPr>
                  <w:tcW w:w="793" w:type="dxa"/>
                  <w:vMerge w:val="continue"/>
                  <w:vAlign w:val="center"/>
                </w:tcPr>
                <w:p w14:paraId="72DF8128">
                  <w:pPr>
                    <w:adjustRightInd w:val="0"/>
                    <w:snapToGrid w:val="0"/>
                    <w:jc w:val="center"/>
                    <w:rPr>
                      <w:color w:val="auto"/>
                      <w:kern w:val="0"/>
                      <w:sz w:val="22"/>
                      <w:szCs w:val="22"/>
                      <w:highlight w:val="none"/>
                    </w:rPr>
                  </w:pPr>
                </w:p>
              </w:tc>
              <w:tc>
                <w:tcPr>
                  <w:tcW w:w="1007" w:type="dxa"/>
                  <w:vAlign w:val="center"/>
                </w:tcPr>
                <w:p w14:paraId="40BEED5A">
                  <w:pPr>
                    <w:adjustRightInd w:val="0"/>
                    <w:snapToGrid w:val="0"/>
                    <w:jc w:val="center"/>
                    <w:rPr>
                      <w:color w:val="auto"/>
                      <w:kern w:val="0"/>
                      <w:sz w:val="22"/>
                      <w:szCs w:val="22"/>
                      <w:highlight w:val="none"/>
                    </w:rPr>
                  </w:pPr>
                  <w:r>
                    <w:rPr>
                      <w:color w:val="auto"/>
                      <w:kern w:val="0"/>
                      <w:sz w:val="22"/>
                      <w:szCs w:val="22"/>
                      <w:highlight w:val="none"/>
                    </w:rPr>
                    <w:t>名称</w:t>
                  </w:r>
                </w:p>
              </w:tc>
              <w:tc>
                <w:tcPr>
                  <w:tcW w:w="1273" w:type="dxa"/>
                  <w:vAlign w:val="center"/>
                </w:tcPr>
                <w:p w14:paraId="39E770D7">
                  <w:pPr>
                    <w:adjustRightInd w:val="0"/>
                    <w:snapToGrid w:val="0"/>
                    <w:jc w:val="center"/>
                    <w:rPr>
                      <w:color w:val="auto"/>
                      <w:kern w:val="0"/>
                      <w:sz w:val="22"/>
                      <w:szCs w:val="22"/>
                      <w:highlight w:val="none"/>
                    </w:rPr>
                  </w:pPr>
                  <w:r>
                    <w:rPr>
                      <w:color w:val="auto"/>
                      <w:kern w:val="0"/>
                      <w:sz w:val="22"/>
                      <w:szCs w:val="22"/>
                      <w:highlight w:val="none"/>
                    </w:rPr>
                    <w:t>污染物种类</w:t>
                  </w:r>
                </w:p>
              </w:tc>
              <w:tc>
                <w:tcPr>
                  <w:tcW w:w="1609" w:type="dxa"/>
                  <w:vAlign w:val="center"/>
                </w:tcPr>
                <w:p w14:paraId="77C0B4F6">
                  <w:pPr>
                    <w:adjustRightInd w:val="0"/>
                    <w:snapToGrid w:val="0"/>
                    <w:jc w:val="center"/>
                    <w:rPr>
                      <w:color w:val="auto"/>
                      <w:kern w:val="0"/>
                      <w:sz w:val="22"/>
                      <w:szCs w:val="22"/>
                      <w:highlight w:val="none"/>
                    </w:rPr>
                  </w:pPr>
                  <w:r>
                    <w:rPr>
                      <w:color w:val="auto"/>
                      <w:kern w:val="0"/>
                      <w:sz w:val="22"/>
                      <w:szCs w:val="22"/>
                      <w:highlight w:val="none"/>
                    </w:rPr>
                    <w:t>污染物排放标准浓度限值</w:t>
                  </w:r>
                  <w:r>
                    <w:rPr>
                      <w:bCs/>
                      <w:color w:val="auto"/>
                      <w:spacing w:val="1"/>
                      <w:sz w:val="22"/>
                      <w:szCs w:val="22"/>
                      <w:highlight w:val="none"/>
                    </w:rPr>
                    <w:t>（mg/L）</w:t>
                  </w:r>
                </w:p>
              </w:tc>
            </w:tr>
            <w:tr w14:paraId="18035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dxa"/>
                  <w:vMerge w:val="restart"/>
                  <w:vAlign w:val="center"/>
                </w:tcPr>
                <w:p w14:paraId="5628D26F">
                  <w:pPr>
                    <w:jc w:val="center"/>
                    <w:rPr>
                      <w:color w:val="auto"/>
                      <w:sz w:val="22"/>
                      <w:szCs w:val="22"/>
                      <w:highlight w:val="none"/>
                    </w:rPr>
                  </w:pPr>
                  <w:r>
                    <w:rPr>
                      <w:rFonts w:hint="eastAsia"/>
                      <w:color w:val="auto"/>
                      <w:sz w:val="22"/>
                      <w:szCs w:val="22"/>
                      <w:highlight w:val="none"/>
                    </w:rPr>
                    <w:t>1</w:t>
                  </w:r>
                </w:p>
              </w:tc>
              <w:tc>
                <w:tcPr>
                  <w:tcW w:w="975" w:type="dxa"/>
                  <w:vMerge w:val="restart"/>
                  <w:vAlign w:val="center"/>
                </w:tcPr>
                <w:p w14:paraId="5007ACD7">
                  <w:pPr>
                    <w:jc w:val="center"/>
                    <w:rPr>
                      <w:color w:val="auto"/>
                      <w:sz w:val="22"/>
                      <w:szCs w:val="22"/>
                      <w:highlight w:val="none"/>
                    </w:rPr>
                  </w:pPr>
                  <w:r>
                    <w:rPr>
                      <w:rFonts w:hint="eastAsia"/>
                      <w:color w:val="auto"/>
                      <w:sz w:val="22"/>
                      <w:szCs w:val="22"/>
                      <w:highlight w:val="none"/>
                    </w:rPr>
                    <w:t>T</w:t>
                  </w:r>
                  <w:r>
                    <w:rPr>
                      <w:color w:val="auto"/>
                      <w:sz w:val="22"/>
                      <w:szCs w:val="22"/>
                      <w:highlight w:val="none"/>
                    </w:rPr>
                    <w:t>W</w:t>
                  </w:r>
                  <w:r>
                    <w:rPr>
                      <w:rFonts w:hint="eastAsia"/>
                      <w:color w:val="auto"/>
                      <w:sz w:val="22"/>
                      <w:szCs w:val="22"/>
                      <w:highlight w:val="none"/>
                    </w:rPr>
                    <w:t>0</w:t>
                  </w:r>
                  <w:r>
                    <w:rPr>
                      <w:color w:val="auto"/>
                      <w:sz w:val="22"/>
                      <w:szCs w:val="22"/>
                      <w:highlight w:val="none"/>
                    </w:rPr>
                    <w:t>0</w:t>
                  </w:r>
                  <w:r>
                    <w:rPr>
                      <w:rFonts w:hint="eastAsia"/>
                      <w:color w:val="auto"/>
                      <w:sz w:val="22"/>
                      <w:szCs w:val="22"/>
                      <w:highlight w:val="none"/>
                    </w:rPr>
                    <w:t>1</w:t>
                  </w:r>
                </w:p>
              </w:tc>
              <w:tc>
                <w:tcPr>
                  <w:tcW w:w="1565" w:type="dxa"/>
                  <w:vMerge w:val="restart"/>
                  <w:vAlign w:val="center"/>
                </w:tcPr>
                <w:p w14:paraId="5506253F">
                  <w:pPr>
                    <w:jc w:val="center"/>
                    <w:rPr>
                      <w:color w:val="auto"/>
                      <w:sz w:val="22"/>
                      <w:szCs w:val="22"/>
                      <w:highlight w:val="none"/>
                    </w:rPr>
                  </w:pPr>
                  <w:r>
                    <w:rPr>
                      <w:rFonts w:hint="eastAsia"/>
                      <w:color w:val="auto"/>
                      <w:sz w:val="22"/>
                      <w:szCs w:val="22"/>
                      <w:highlight w:val="none"/>
                    </w:rPr>
                    <w:t>106°27′59.45″</w:t>
                  </w:r>
                </w:p>
              </w:tc>
              <w:tc>
                <w:tcPr>
                  <w:tcW w:w="1446" w:type="dxa"/>
                  <w:vMerge w:val="restart"/>
                  <w:vAlign w:val="center"/>
                </w:tcPr>
                <w:p w14:paraId="68C3C042">
                  <w:pPr>
                    <w:jc w:val="center"/>
                    <w:rPr>
                      <w:color w:val="auto"/>
                      <w:sz w:val="22"/>
                      <w:szCs w:val="22"/>
                      <w:highlight w:val="none"/>
                    </w:rPr>
                  </w:pPr>
                  <w:r>
                    <w:rPr>
                      <w:rFonts w:hint="eastAsia"/>
                      <w:color w:val="auto"/>
                      <w:sz w:val="22"/>
                      <w:szCs w:val="22"/>
                      <w:highlight w:val="none"/>
                    </w:rPr>
                    <w:t>29°53′25.75″</w:t>
                  </w:r>
                </w:p>
              </w:tc>
              <w:tc>
                <w:tcPr>
                  <w:tcW w:w="939" w:type="dxa"/>
                  <w:vMerge w:val="restart"/>
                  <w:vAlign w:val="center"/>
                </w:tcPr>
                <w:p w14:paraId="32F1F1B5">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1723</w:t>
                  </w:r>
                </w:p>
              </w:tc>
              <w:tc>
                <w:tcPr>
                  <w:tcW w:w="883" w:type="dxa"/>
                  <w:vMerge w:val="restart"/>
                  <w:vAlign w:val="center"/>
                </w:tcPr>
                <w:p w14:paraId="7724E999">
                  <w:pPr>
                    <w:jc w:val="center"/>
                    <w:rPr>
                      <w:color w:val="auto"/>
                      <w:sz w:val="22"/>
                      <w:szCs w:val="22"/>
                      <w:highlight w:val="none"/>
                    </w:rPr>
                  </w:pPr>
                  <w:r>
                    <w:rPr>
                      <w:rFonts w:hint="eastAsia"/>
                      <w:color w:val="auto"/>
                      <w:sz w:val="22"/>
                      <w:szCs w:val="22"/>
                      <w:highlight w:val="none"/>
                    </w:rPr>
                    <w:t>银翔新城污水处理厂</w:t>
                  </w:r>
                </w:p>
              </w:tc>
              <w:tc>
                <w:tcPr>
                  <w:tcW w:w="942" w:type="dxa"/>
                  <w:vMerge w:val="restart"/>
                  <w:vAlign w:val="center"/>
                </w:tcPr>
                <w:p w14:paraId="201F51A8">
                  <w:pPr>
                    <w:jc w:val="center"/>
                    <w:rPr>
                      <w:color w:val="auto"/>
                      <w:sz w:val="22"/>
                      <w:szCs w:val="22"/>
                      <w:highlight w:val="none"/>
                    </w:rPr>
                  </w:pPr>
                  <w:r>
                    <w:rPr>
                      <w:rFonts w:hint="eastAsia"/>
                      <w:color w:val="auto"/>
                      <w:sz w:val="22"/>
                      <w:szCs w:val="22"/>
                      <w:highlight w:val="none"/>
                    </w:rPr>
                    <w:t>连续排放，流量不稳定，有周期规律</w:t>
                  </w:r>
                </w:p>
              </w:tc>
              <w:tc>
                <w:tcPr>
                  <w:tcW w:w="793" w:type="dxa"/>
                  <w:vMerge w:val="restart"/>
                  <w:vAlign w:val="center"/>
                </w:tcPr>
                <w:p w14:paraId="106FE63D">
                  <w:pPr>
                    <w:jc w:val="center"/>
                    <w:rPr>
                      <w:color w:val="auto"/>
                      <w:sz w:val="22"/>
                      <w:szCs w:val="22"/>
                      <w:highlight w:val="none"/>
                    </w:rPr>
                  </w:pPr>
                  <w:r>
                    <w:rPr>
                      <w:color w:val="auto"/>
                      <w:sz w:val="22"/>
                      <w:szCs w:val="22"/>
                      <w:highlight w:val="none"/>
                    </w:rPr>
                    <w:t>/</w:t>
                  </w:r>
                </w:p>
              </w:tc>
              <w:tc>
                <w:tcPr>
                  <w:tcW w:w="1007" w:type="dxa"/>
                  <w:vMerge w:val="restart"/>
                  <w:vAlign w:val="center"/>
                </w:tcPr>
                <w:p w14:paraId="31E9A961">
                  <w:pPr>
                    <w:jc w:val="center"/>
                    <w:rPr>
                      <w:color w:val="auto"/>
                      <w:sz w:val="22"/>
                      <w:szCs w:val="22"/>
                      <w:highlight w:val="none"/>
                    </w:rPr>
                  </w:pPr>
                  <w:r>
                    <w:rPr>
                      <w:rFonts w:hint="eastAsia"/>
                      <w:color w:val="auto"/>
                      <w:sz w:val="22"/>
                      <w:szCs w:val="22"/>
                      <w:highlight w:val="none"/>
                    </w:rPr>
                    <w:t>银翔新城污水处理厂</w:t>
                  </w:r>
                </w:p>
              </w:tc>
              <w:tc>
                <w:tcPr>
                  <w:tcW w:w="1273" w:type="dxa"/>
                  <w:vAlign w:val="center"/>
                </w:tcPr>
                <w:p w14:paraId="1D5D4185">
                  <w:pPr>
                    <w:jc w:val="center"/>
                    <w:rPr>
                      <w:color w:val="auto"/>
                      <w:sz w:val="22"/>
                      <w:szCs w:val="22"/>
                      <w:highlight w:val="none"/>
                    </w:rPr>
                  </w:pPr>
                  <w:r>
                    <w:rPr>
                      <w:color w:val="auto"/>
                      <w:sz w:val="22"/>
                      <w:szCs w:val="22"/>
                      <w:highlight w:val="none"/>
                    </w:rPr>
                    <w:t>pH</w:t>
                  </w:r>
                </w:p>
              </w:tc>
              <w:tc>
                <w:tcPr>
                  <w:tcW w:w="1609" w:type="dxa"/>
                  <w:vAlign w:val="center"/>
                </w:tcPr>
                <w:p w14:paraId="4A5FC58A">
                  <w:pPr>
                    <w:jc w:val="center"/>
                    <w:rPr>
                      <w:color w:val="auto"/>
                      <w:sz w:val="22"/>
                      <w:szCs w:val="22"/>
                      <w:highlight w:val="none"/>
                    </w:rPr>
                  </w:pPr>
                  <w:r>
                    <w:rPr>
                      <w:rFonts w:hint="eastAsia"/>
                      <w:color w:val="auto"/>
                      <w:sz w:val="22"/>
                      <w:szCs w:val="22"/>
                      <w:highlight w:val="none"/>
                    </w:rPr>
                    <w:t>6~9</w:t>
                  </w:r>
                </w:p>
              </w:tc>
            </w:tr>
            <w:tr w14:paraId="672D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dxa"/>
                  <w:vMerge w:val="continue"/>
                  <w:vAlign w:val="center"/>
                </w:tcPr>
                <w:p w14:paraId="7F97F95C">
                  <w:pPr>
                    <w:jc w:val="center"/>
                    <w:rPr>
                      <w:color w:val="auto"/>
                      <w:sz w:val="22"/>
                      <w:szCs w:val="22"/>
                      <w:highlight w:val="none"/>
                    </w:rPr>
                  </w:pPr>
                </w:p>
              </w:tc>
              <w:tc>
                <w:tcPr>
                  <w:tcW w:w="975" w:type="dxa"/>
                  <w:vMerge w:val="continue"/>
                  <w:vAlign w:val="center"/>
                </w:tcPr>
                <w:p w14:paraId="19599896">
                  <w:pPr>
                    <w:jc w:val="center"/>
                    <w:rPr>
                      <w:color w:val="auto"/>
                      <w:sz w:val="22"/>
                      <w:szCs w:val="22"/>
                      <w:highlight w:val="none"/>
                    </w:rPr>
                  </w:pPr>
                </w:p>
              </w:tc>
              <w:tc>
                <w:tcPr>
                  <w:tcW w:w="1565" w:type="dxa"/>
                  <w:vMerge w:val="continue"/>
                  <w:vAlign w:val="center"/>
                </w:tcPr>
                <w:p w14:paraId="738E1B7E">
                  <w:pPr>
                    <w:jc w:val="center"/>
                    <w:rPr>
                      <w:color w:val="auto"/>
                      <w:sz w:val="22"/>
                      <w:szCs w:val="22"/>
                      <w:highlight w:val="none"/>
                      <w:lang w:bidi="ar"/>
                    </w:rPr>
                  </w:pPr>
                </w:p>
              </w:tc>
              <w:tc>
                <w:tcPr>
                  <w:tcW w:w="1446" w:type="dxa"/>
                  <w:vMerge w:val="continue"/>
                  <w:vAlign w:val="center"/>
                </w:tcPr>
                <w:p w14:paraId="0707208B">
                  <w:pPr>
                    <w:jc w:val="center"/>
                    <w:rPr>
                      <w:color w:val="auto"/>
                      <w:sz w:val="22"/>
                      <w:szCs w:val="22"/>
                      <w:highlight w:val="none"/>
                    </w:rPr>
                  </w:pPr>
                </w:p>
              </w:tc>
              <w:tc>
                <w:tcPr>
                  <w:tcW w:w="939" w:type="dxa"/>
                  <w:vMerge w:val="continue"/>
                  <w:vAlign w:val="center"/>
                </w:tcPr>
                <w:p w14:paraId="41955F5B">
                  <w:pPr>
                    <w:jc w:val="center"/>
                    <w:rPr>
                      <w:color w:val="auto"/>
                      <w:sz w:val="22"/>
                      <w:szCs w:val="22"/>
                      <w:highlight w:val="none"/>
                    </w:rPr>
                  </w:pPr>
                </w:p>
              </w:tc>
              <w:tc>
                <w:tcPr>
                  <w:tcW w:w="883" w:type="dxa"/>
                  <w:vMerge w:val="continue"/>
                  <w:vAlign w:val="center"/>
                </w:tcPr>
                <w:p w14:paraId="3691C86E">
                  <w:pPr>
                    <w:jc w:val="center"/>
                    <w:rPr>
                      <w:color w:val="auto"/>
                      <w:sz w:val="22"/>
                      <w:szCs w:val="22"/>
                      <w:highlight w:val="none"/>
                    </w:rPr>
                  </w:pPr>
                </w:p>
              </w:tc>
              <w:tc>
                <w:tcPr>
                  <w:tcW w:w="942" w:type="dxa"/>
                  <w:vMerge w:val="continue"/>
                  <w:vAlign w:val="center"/>
                </w:tcPr>
                <w:p w14:paraId="769D80AF">
                  <w:pPr>
                    <w:jc w:val="center"/>
                    <w:rPr>
                      <w:color w:val="auto"/>
                      <w:sz w:val="22"/>
                      <w:szCs w:val="22"/>
                      <w:highlight w:val="none"/>
                    </w:rPr>
                  </w:pPr>
                </w:p>
              </w:tc>
              <w:tc>
                <w:tcPr>
                  <w:tcW w:w="793" w:type="dxa"/>
                  <w:vMerge w:val="continue"/>
                  <w:vAlign w:val="center"/>
                </w:tcPr>
                <w:p w14:paraId="4DE18E36">
                  <w:pPr>
                    <w:jc w:val="center"/>
                    <w:rPr>
                      <w:color w:val="auto"/>
                      <w:sz w:val="22"/>
                      <w:szCs w:val="22"/>
                      <w:highlight w:val="none"/>
                    </w:rPr>
                  </w:pPr>
                </w:p>
              </w:tc>
              <w:tc>
                <w:tcPr>
                  <w:tcW w:w="1007" w:type="dxa"/>
                  <w:vMerge w:val="continue"/>
                  <w:vAlign w:val="center"/>
                </w:tcPr>
                <w:p w14:paraId="7E487F88">
                  <w:pPr>
                    <w:jc w:val="center"/>
                    <w:rPr>
                      <w:color w:val="auto"/>
                      <w:sz w:val="22"/>
                      <w:szCs w:val="22"/>
                      <w:highlight w:val="none"/>
                    </w:rPr>
                  </w:pPr>
                </w:p>
              </w:tc>
              <w:tc>
                <w:tcPr>
                  <w:tcW w:w="1273" w:type="dxa"/>
                  <w:vAlign w:val="center"/>
                </w:tcPr>
                <w:p w14:paraId="46BD606C">
                  <w:pPr>
                    <w:jc w:val="center"/>
                    <w:rPr>
                      <w:color w:val="auto"/>
                      <w:sz w:val="22"/>
                      <w:szCs w:val="22"/>
                      <w:highlight w:val="none"/>
                    </w:rPr>
                  </w:pPr>
                  <w:r>
                    <w:rPr>
                      <w:color w:val="auto"/>
                      <w:sz w:val="22"/>
                      <w:szCs w:val="22"/>
                      <w:highlight w:val="none"/>
                    </w:rPr>
                    <w:t>COD</w:t>
                  </w:r>
                </w:p>
              </w:tc>
              <w:tc>
                <w:tcPr>
                  <w:tcW w:w="1609" w:type="dxa"/>
                  <w:vAlign w:val="center"/>
                </w:tcPr>
                <w:p w14:paraId="53C90638">
                  <w:pPr>
                    <w:jc w:val="center"/>
                    <w:rPr>
                      <w:color w:val="auto"/>
                      <w:sz w:val="22"/>
                      <w:szCs w:val="22"/>
                      <w:highlight w:val="none"/>
                    </w:rPr>
                  </w:pPr>
                  <w:r>
                    <w:rPr>
                      <w:rFonts w:hint="eastAsia"/>
                      <w:color w:val="auto"/>
                      <w:sz w:val="22"/>
                      <w:szCs w:val="22"/>
                      <w:highlight w:val="none"/>
                    </w:rPr>
                    <w:t>5</w:t>
                  </w:r>
                  <w:r>
                    <w:rPr>
                      <w:color w:val="auto"/>
                      <w:sz w:val="22"/>
                      <w:szCs w:val="22"/>
                      <w:highlight w:val="none"/>
                    </w:rPr>
                    <w:t>0</w:t>
                  </w:r>
                </w:p>
              </w:tc>
            </w:tr>
            <w:tr w14:paraId="2A4D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dxa"/>
                  <w:vMerge w:val="continue"/>
                  <w:vAlign w:val="center"/>
                </w:tcPr>
                <w:p w14:paraId="42B7BCCB">
                  <w:pPr>
                    <w:jc w:val="center"/>
                    <w:rPr>
                      <w:color w:val="auto"/>
                      <w:sz w:val="22"/>
                      <w:szCs w:val="22"/>
                      <w:highlight w:val="none"/>
                    </w:rPr>
                  </w:pPr>
                </w:p>
              </w:tc>
              <w:tc>
                <w:tcPr>
                  <w:tcW w:w="975" w:type="dxa"/>
                  <w:vMerge w:val="continue"/>
                  <w:vAlign w:val="center"/>
                </w:tcPr>
                <w:p w14:paraId="7757C9A3">
                  <w:pPr>
                    <w:jc w:val="center"/>
                    <w:rPr>
                      <w:color w:val="auto"/>
                      <w:sz w:val="22"/>
                      <w:szCs w:val="22"/>
                      <w:highlight w:val="none"/>
                    </w:rPr>
                  </w:pPr>
                </w:p>
              </w:tc>
              <w:tc>
                <w:tcPr>
                  <w:tcW w:w="1565" w:type="dxa"/>
                  <w:vMerge w:val="continue"/>
                  <w:vAlign w:val="center"/>
                </w:tcPr>
                <w:p w14:paraId="1615DF4A">
                  <w:pPr>
                    <w:jc w:val="center"/>
                    <w:rPr>
                      <w:color w:val="auto"/>
                      <w:sz w:val="22"/>
                      <w:szCs w:val="22"/>
                      <w:highlight w:val="none"/>
                      <w:lang w:bidi="ar"/>
                    </w:rPr>
                  </w:pPr>
                </w:p>
              </w:tc>
              <w:tc>
                <w:tcPr>
                  <w:tcW w:w="1446" w:type="dxa"/>
                  <w:vMerge w:val="continue"/>
                  <w:vAlign w:val="center"/>
                </w:tcPr>
                <w:p w14:paraId="17A47E97">
                  <w:pPr>
                    <w:jc w:val="center"/>
                    <w:rPr>
                      <w:color w:val="auto"/>
                      <w:sz w:val="22"/>
                      <w:szCs w:val="22"/>
                      <w:highlight w:val="none"/>
                    </w:rPr>
                  </w:pPr>
                </w:p>
              </w:tc>
              <w:tc>
                <w:tcPr>
                  <w:tcW w:w="939" w:type="dxa"/>
                  <w:vMerge w:val="continue"/>
                  <w:vAlign w:val="center"/>
                </w:tcPr>
                <w:p w14:paraId="467F9938">
                  <w:pPr>
                    <w:jc w:val="center"/>
                    <w:rPr>
                      <w:color w:val="auto"/>
                      <w:sz w:val="22"/>
                      <w:szCs w:val="22"/>
                      <w:highlight w:val="none"/>
                    </w:rPr>
                  </w:pPr>
                </w:p>
              </w:tc>
              <w:tc>
                <w:tcPr>
                  <w:tcW w:w="883" w:type="dxa"/>
                  <w:vMerge w:val="continue"/>
                  <w:vAlign w:val="center"/>
                </w:tcPr>
                <w:p w14:paraId="3C09CEED">
                  <w:pPr>
                    <w:jc w:val="center"/>
                    <w:rPr>
                      <w:color w:val="auto"/>
                      <w:sz w:val="22"/>
                      <w:szCs w:val="22"/>
                      <w:highlight w:val="none"/>
                    </w:rPr>
                  </w:pPr>
                </w:p>
              </w:tc>
              <w:tc>
                <w:tcPr>
                  <w:tcW w:w="942" w:type="dxa"/>
                  <w:vMerge w:val="continue"/>
                  <w:vAlign w:val="center"/>
                </w:tcPr>
                <w:p w14:paraId="0FFFBF64">
                  <w:pPr>
                    <w:jc w:val="center"/>
                    <w:rPr>
                      <w:color w:val="auto"/>
                      <w:sz w:val="22"/>
                      <w:szCs w:val="22"/>
                      <w:highlight w:val="none"/>
                    </w:rPr>
                  </w:pPr>
                </w:p>
              </w:tc>
              <w:tc>
                <w:tcPr>
                  <w:tcW w:w="793" w:type="dxa"/>
                  <w:vMerge w:val="continue"/>
                  <w:vAlign w:val="center"/>
                </w:tcPr>
                <w:p w14:paraId="7E9F6CA9">
                  <w:pPr>
                    <w:jc w:val="center"/>
                    <w:rPr>
                      <w:color w:val="auto"/>
                      <w:sz w:val="22"/>
                      <w:szCs w:val="22"/>
                      <w:highlight w:val="none"/>
                    </w:rPr>
                  </w:pPr>
                </w:p>
              </w:tc>
              <w:tc>
                <w:tcPr>
                  <w:tcW w:w="1007" w:type="dxa"/>
                  <w:vMerge w:val="continue"/>
                  <w:vAlign w:val="center"/>
                </w:tcPr>
                <w:p w14:paraId="0C3DBF96">
                  <w:pPr>
                    <w:jc w:val="center"/>
                    <w:rPr>
                      <w:color w:val="auto"/>
                      <w:sz w:val="22"/>
                      <w:szCs w:val="22"/>
                      <w:highlight w:val="none"/>
                    </w:rPr>
                  </w:pPr>
                </w:p>
              </w:tc>
              <w:tc>
                <w:tcPr>
                  <w:tcW w:w="1273" w:type="dxa"/>
                  <w:vAlign w:val="center"/>
                </w:tcPr>
                <w:p w14:paraId="5F378CE2">
                  <w:pPr>
                    <w:jc w:val="center"/>
                    <w:rPr>
                      <w:color w:val="auto"/>
                      <w:sz w:val="22"/>
                      <w:szCs w:val="22"/>
                      <w:highlight w:val="none"/>
                    </w:rPr>
                  </w:pPr>
                  <w:r>
                    <w:rPr>
                      <w:color w:val="auto"/>
                      <w:sz w:val="22"/>
                      <w:szCs w:val="22"/>
                      <w:highlight w:val="none"/>
                    </w:rPr>
                    <w:t>BOD</w:t>
                  </w:r>
                  <w:r>
                    <w:rPr>
                      <w:color w:val="auto"/>
                      <w:sz w:val="22"/>
                      <w:szCs w:val="22"/>
                      <w:highlight w:val="none"/>
                      <w:vertAlign w:val="subscript"/>
                    </w:rPr>
                    <w:t>5</w:t>
                  </w:r>
                </w:p>
              </w:tc>
              <w:tc>
                <w:tcPr>
                  <w:tcW w:w="1609" w:type="dxa"/>
                  <w:vAlign w:val="center"/>
                </w:tcPr>
                <w:p w14:paraId="7F928ECF">
                  <w:pPr>
                    <w:jc w:val="center"/>
                    <w:rPr>
                      <w:color w:val="auto"/>
                      <w:sz w:val="22"/>
                      <w:szCs w:val="22"/>
                      <w:highlight w:val="none"/>
                    </w:rPr>
                  </w:pPr>
                  <w:r>
                    <w:rPr>
                      <w:rFonts w:hint="eastAsia"/>
                      <w:color w:val="auto"/>
                      <w:sz w:val="22"/>
                      <w:szCs w:val="22"/>
                      <w:highlight w:val="none"/>
                    </w:rPr>
                    <w:t>1</w:t>
                  </w:r>
                  <w:r>
                    <w:rPr>
                      <w:color w:val="auto"/>
                      <w:sz w:val="22"/>
                      <w:szCs w:val="22"/>
                      <w:highlight w:val="none"/>
                    </w:rPr>
                    <w:t>0</w:t>
                  </w:r>
                </w:p>
              </w:tc>
            </w:tr>
            <w:tr w14:paraId="6263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dxa"/>
                  <w:vMerge w:val="continue"/>
                  <w:vAlign w:val="center"/>
                </w:tcPr>
                <w:p w14:paraId="041922FF">
                  <w:pPr>
                    <w:jc w:val="center"/>
                    <w:rPr>
                      <w:color w:val="auto"/>
                      <w:sz w:val="22"/>
                      <w:szCs w:val="22"/>
                      <w:highlight w:val="none"/>
                    </w:rPr>
                  </w:pPr>
                </w:p>
              </w:tc>
              <w:tc>
                <w:tcPr>
                  <w:tcW w:w="975" w:type="dxa"/>
                  <w:vMerge w:val="continue"/>
                  <w:vAlign w:val="center"/>
                </w:tcPr>
                <w:p w14:paraId="080A496B">
                  <w:pPr>
                    <w:jc w:val="center"/>
                    <w:rPr>
                      <w:color w:val="auto"/>
                      <w:sz w:val="22"/>
                      <w:szCs w:val="22"/>
                      <w:highlight w:val="none"/>
                    </w:rPr>
                  </w:pPr>
                </w:p>
              </w:tc>
              <w:tc>
                <w:tcPr>
                  <w:tcW w:w="1565" w:type="dxa"/>
                  <w:vMerge w:val="continue"/>
                  <w:vAlign w:val="center"/>
                </w:tcPr>
                <w:p w14:paraId="2A682160">
                  <w:pPr>
                    <w:jc w:val="center"/>
                    <w:rPr>
                      <w:color w:val="auto"/>
                      <w:sz w:val="22"/>
                      <w:szCs w:val="22"/>
                      <w:highlight w:val="none"/>
                    </w:rPr>
                  </w:pPr>
                </w:p>
              </w:tc>
              <w:tc>
                <w:tcPr>
                  <w:tcW w:w="1446" w:type="dxa"/>
                  <w:vMerge w:val="continue"/>
                  <w:vAlign w:val="center"/>
                </w:tcPr>
                <w:p w14:paraId="17113C21">
                  <w:pPr>
                    <w:jc w:val="center"/>
                    <w:rPr>
                      <w:color w:val="auto"/>
                      <w:sz w:val="22"/>
                      <w:szCs w:val="22"/>
                      <w:highlight w:val="none"/>
                    </w:rPr>
                  </w:pPr>
                </w:p>
              </w:tc>
              <w:tc>
                <w:tcPr>
                  <w:tcW w:w="939" w:type="dxa"/>
                  <w:vMerge w:val="continue"/>
                  <w:vAlign w:val="center"/>
                </w:tcPr>
                <w:p w14:paraId="0221F9AA">
                  <w:pPr>
                    <w:jc w:val="center"/>
                    <w:rPr>
                      <w:color w:val="auto"/>
                      <w:sz w:val="22"/>
                      <w:szCs w:val="22"/>
                      <w:highlight w:val="none"/>
                    </w:rPr>
                  </w:pPr>
                </w:p>
              </w:tc>
              <w:tc>
                <w:tcPr>
                  <w:tcW w:w="883" w:type="dxa"/>
                  <w:vMerge w:val="continue"/>
                  <w:vAlign w:val="center"/>
                </w:tcPr>
                <w:p w14:paraId="5747DE0A">
                  <w:pPr>
                    <w:jc w:val="center"/>
                    <w:rPr>
                      <w:color w:val="auto"/>
                      <w:sz w:val="22"/>
                      <w:szCs w:val="22"/>
                      <w:highlight w:val="none"/>
                    </w:rPr>
                  </w:pPr>
                </w:p>
              </w:tc>
              <w:tc>
                <w:tcPr>
                  <w:tcW w:w="942" w:type="dxa"/>
                  <w:vMerge w:val="continue"/>
                  <w:vAlign w:val="center"/>
                </w:tcPr>
                <w:p w14:paraId="09D7C198">
                  <w:pPr>
                    <w:jc w:val="center"/>
                    <w:rPr>
                      <w:color w:val="auto"/>
                      <w:sz w:val="22"/>
                      <w:szCs w:val="22"/>
                      <w:highlight w:val="none"/>
                    </w:rPr>
                  </w:pPr>
                </w:p>
              </w:tc>
              <w:tc>
                <w:tcPr>
                  <w:tcW w:w="793" w:type="dxa"/>
                  <w:vMerge w:val="continue"/>
                  <w:vAlign w:val="center"/>
                </w:tcPr>
                <w:p w14:paraId="6C0B72C2">
                  <w:pPr>
                    <w:jc w:val="center"/>
                    <w:rPr>
                      <w:color w:val="auto"/>
                      <w:sz w:val="22"/>
                      <w:szCs w:val="22"/>
                      <w:highlight w:val="none"/>
                    </w:rPr>
                  </w:pPr>
                </w:p>
              </w:tc>
              <w:tc>
                <w:tcPr>
                  <w:tcW w:w="1007" w:type="dxa"/>
                  <w:vMerge w:val="continue"/>
                  <w:vAlign w:val="center"/>
                </w:tcPr>
                <w:p w14:paraId="046BBBD7">
                  <w:pPr>
                    <w:jc w:val="center"/>
                    <w:rPr>
                      <w:color w:val="auto"/>
                      <w:sz w:val="22"/>
                      <w:szCs w:val="22"/>
                      <w:highlight w:val="none"/>
                    </w:rPr>
                  </w:pPr>
                </w:p>
              </w:tc>
              <w:tc>
                <w:tcPr>
                  <w:tcW w:w="1273" w:type="dxa"/>
                  <w:vAlign w:val="center"/>
                </w:tcPr>
                <w:p w14:paraId="7672BB7C">
                  <w:pPr>
                    <w:jc w:val="center"/>
                    <w:rPr>
                      <w:color w:val="auto"/>
                      <w:sz w:val="22"/>
                      <w:szCs w:val="22"/>
                      <w:highlight w:val="none"/>
                    </w:rPr>
                  </w:pPr>
                  <w:r>
                    <w:rPr>
                      <w:color w:val="auto"/>
                      <w:sz w:val="22"/>
                      <w:szCs w:val="22"/>
                      <w:highlight w:val="none"/>
                    </w:rPr>
                    <w:t>SS</w:t>
                  </w:r>
                </w:p>
              </w:tc>
              <w:tc>
                <w:tcPr>
                  <w:tcW w:w="1609" w:type="dxa"/>
                  <w:vAlign w:val="center"/>
                </w:tcPr>
                <w:p w14:paraId="2CA5CF82">
                  <w:pPr>
                    <w:jc w:val="center"/>
                    <w:rPr>
                      <w:color w:val="auto"/>
                      <w:sz w:val="22"/>
                      <w:szCs w:val="22"/>
                      <w:highlight w:val="none"/>
                    </w:rPr>
                  </w:pPr>
                  <w:r>
                    <w:rPr>
                      <w:rFonts w:hint="eastAsia"/>
                      <w:color w:val="auto"/>
                      <w:sz w:val="22"/>
                      <w:szCs w:val="22"/>
                      <w:highlight w:val="none"/>
                    </w:rPr>
                    <w:t>1</w:t>
                  </w:r>
                  <w:r>
                    <w:rPr>
                      <w:color w:val="auto"/>
                      <w:sz w:val="22"/>
                      <w:szCs w:val="22"/>
                      <w:highlight w:val="none"/>
                    </w:rPr>
                    <w:t>0</w:t>
                  </w:r>
                </w:p>
              </w:tc>
            </w:tr>
            <w:tr w14:paraId="24370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dxa"/>
                  <w:vMerge w:val="continue"/>
                  <w:vAlign w:val="center"/>
                </w:tcPr>
                <w:p w14:paraId="4BF566C1">
                  <w:pPr>
                    <w:jc w:val="center"/>
                    <w:rPr>
                      <w:color w:val="auto"/>
                      <w:sz w:val="22"/>
                      <w:szCs w:val="22"/>
                      <w:highlight w:val="none"/>
                    </w:rPr>
                  </w:pPr>
                </w:p>
              </w:tc>
              <w:tc>
                <w:tcPr>
                  <w:tcW w:w="975" w:type="dxa"/>
                  <w:vMerge w:val="continue"/>
                  <w:vAlign w:val="center"/>
                </w:tcPr>
                <w:p w14:paraId="566DA9E6">
                  <w:pPr>
                    <w:jc w:val="center"/>
                    <w:rPr>
                      <w:color w:val="auto"/>
                      <w:sz w:val="22"/>
                      <w:szCs w:val="22"/>
                      <w:highlight w:val="none"/>
                    </w:rPr>
                  </w:pPr>
                </w:p>
              </w:tc>
              <w:tc>
                <w:tcPr>
                  <w:tcW w:w="1565" w:type="dxa"/>
                  <w:vMerge w:val="continue"/>
                  <w:vAlign w:val="center"/>
                </w:tcPr>
                <w:p w14:paraId="01DAEBEB">
                  <w:pPr>
                    <w:jc w:val="center"/>
                    <w:rPr>
                      <w:color w:val="auto"/>
                      <w:sz w:val="22"/>
                      <w:szCs w:val="22"/>
                      <w:highlight w:val="none"/>
                    </w:rPr>
                  </w:pPr>
                </w:p>
              </w:tc>
              <w:tc>
                <w:tcPr>
                  <w:tcW w:w="1446" w:type="dxa"/>
                  <w:vMerge w:val="continue"/>
                  <w:vAlign w:val="center"/>
                </w:tcPr>
                <w:p w14:paraId="0DA7FBBB">
                  <w:pPr>
                    <w:jc w:val="center"/>
                    <w:rPr>
                      <w:color w:val="auto"/>
                      <w:sz w:val="22"/>
                      <w:szCs w:val="22"/>
                      <w:highlight w:val="none"/>
                    </w:rPr>
                  </w:pPr>
                </w:p>
              </w:tc>
              <w:tc>
                <w:tcPr>
                  <w:tcW w:w="939" w:type="dxa"/>
                  <w:vMerge w:val="continue"/>
                  <w:vAlign w:val="center"/>
                </w:tcPr>
                <w:p w14:paraId="4C219E66">
                  <w:pPr>
                    <w:jc w:val="center"/>
                    <w:rPr>
                      <w:color w:val="auto"/>
                      <w:sz w:val="22"/>
                      <w:szCs w:val="22"/>
                      <w:highlight w:val="none"/>
                    </w:rPr>
                  </w:pPr>
                </w:p>
              </w:tc>
              <w:tc>
                <w:tcPr>
                  <w:tcW w:w="883" w:type="dxa"/>
                  <w:vMerge w:val="continue"/>
                  <w:vAlign w:val="center"/>
                </w:tcPr>
                <w:p w14:paraId="1FE122B9">
                  <w:pPr>
                    <w:jc w:val="center"/>
                    <w:rPr>
                      <w:color w:val="auto"/>
                      <w:sz w:val="22"/>
                      <w:szCs w:val="22"/>
                      <w:highlight w:val="none"/>
                    </w:rPr>
                  </w:pPr>
                </w:p>
              </w:tc>
              <w:tc>
                <w:tcPr>
                  <w:tcW w:w="942" w:type="dxa"/>
                  <w:vMerge w:val="continue"/>
                  <w:vAlign w:val="center"/>
                </w:tcPr>
                <w:p w14:paraId="22770CD7">
                  <w:pPr>
                    <w:jc w:val="center"/>
                    <w:rPr>
                      <w:color w:val="auto"/>
                      <w:sz w:val="22"/>
                      <w:szCs w:val="22"/>
                      <w:highlight w:val="none"/>
                    </w:rPr>
                  </w:pPr>
                </w:p>
              </w:tc>
              <w:tc>
                <w:tcPr>
                  <w:tcW w:w="793" w:type="dxa"/>
                  <w:vMerge w:val="continue"/>
                  <w:vAlign w:val="center"/>
                </w:tcPr>
                <w:p w14:paraId="354CB7D0">
                  <w:pPr>
                    <w:jc w:val="center"/>
                    <w:rPr>
                      <w:color w:val="auto"/>
                      <w:sz w:val="22"/>
                      <w:szCs w:val="22"/>
                      <w:highlight w:val="none"/>
                    </w:rPr>
                  </w:pPr>
                </w:p>
              </w:tc>
              <w:tc>
                <w:tcPr>
                  <w:tcW w:w="1007" w:type="dxa"/>
                  <w:vMerge w:val="continue"/>
                  <w:vAlign w:val="center"/>
                </w:tcPr>
                <w:p w14:paraId="16245963">
                  <w:pPr>
                    <w:jc w:val="center"/>
                    <w:rPr>
                      <w:color w:val="auto"/>
                      <w:sz w:val="22"/>
                      <w:szCs w:val="22"/>
                      <w:highlight w:val="none"/>
                    </w:rPr>
                  </w:pPr>
                </w:p>
              </w:tc>
              <w:tc>
                <w:tcPr>
                  <w:tcW w:w="1273" w:type="dxa"/>
                  <w:vAlign w:val="center"/>
                </w:tcPr>
                <w:p w14:paraId="34059DA4">
                  <w:pPr>
                    <w:jc w:val="center"/>
                    <w:rPr>
                      <w:color w:val="auto"/>
                      <w:sz w:val="22"/>
                      <w:szCs w:val="22"/>
                      <w:highlight w:val="none"/>
                    </w:rPr>
                  </w:pPr>
                  <w:r>
                    <w:rPr>
                      <w:color w:val="auto"/>
                      <w:sz w:val="22"/>
                      <w:szCs w:val="22"/>
                      <w:highlight w:val="none"/>
                    </w:rPr>
                    <w:t>NH</w:t>
                  </w:r>
                  <w:r>
                    <w:rPr>
                      <w:color w:val="auto"/>
                      <w:sz w:val="22"/>
                      <w:szCs w:val="22"/>
                      <w:highlight w:val="none"/>
                      <w:vertAlign w:val="subscript"/>
                    </w:rPr>
                    <w:t>3</w:t>
                  </w:r>
                  <w:r>
                    <w:rPr>
                      <w:color w:val="auto"/>
                      <w:sz w:val="22"/>
                      <w:szCs w:val="22"/>
                      <w:highlight w:val="none"/>
                    </w:rPr>
                    <w:t>-N</w:t>
                  </w:r>
                </w:p>
              </w:tc>
              <w:tc>
                <w:tcPr>
                  <w:tcW w:w="1609" w:type="dxa"/>
                  <w:vAlign w:val="center"/>
                </w:tcPr>
                <w:p w14:paraId="6128FC73">
                  <w:pPr>
                    <w:jc w:val="center"/>
                    <w:rPr>
                      <w:color w:val="auto"/>
                      <w:sz w:val="22"/>
                      <w:szCs w:val="22"/>
                      <w:highlight w:val="none"/>
                    </w:rPr>
                  </w:pPr>
                  <w:r>
                    <w:rPr>
                      <w:rFonts w:hint="eastAsia"/>
                      <w:color w:val="auto"/>
                      <w:sz w:val="22"/>
                      <w:szCs w:val="22"/>
                      <w:highlight w:val="none"/>
                    </w:rPr>
                    <w:t>5</w:t>
                  </w:r>
                  <w:r>
                    <w:rPr>
                      <w:rFonts w:hint="eastAsia"/>
                      <w:color w:val="auto"/>
                      <w:sz w:val="22"/>
                      <w:szCs w:val="22"/>
                      <w:highlight w:val="none"/>
                      <w:lang w:eastAsia="zh-CN"/>
                    </w:rPr>
                    <w:t>(</w:t>
                  </w:r>
                  <w:r>
                    <w:rPr>
                      <w:rFonts w:hint="eastAsia"/>
                      <w:color w:val="auto"/>
                      <w:sz w:val="22"/>
                      <w:szCs w:val="22"/>
                      <w:highlight w:val="none"/>
                    </w:rPr>
                    <w:t>8</w:t>
                  </w:r>
                  <w:r>
                    <w:rPr>
                      <w:rFonts w:hint="eastAsia"/>
                      <w:color w:val="auto"/>
                      <w:sz w:val="22"/>
                      <w:szCs w:val="22"/>
                      <w:highlight w:val="none"/>
                      <w:lang w:eastAsia="zh-CN"/>
                    </w:rPr>
                    <w:t>)</w:t>
                  </w:r>
                </w:p>
              </w:tc>
            </w:tr>
            <w:tr w14:paraId="4DF5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dxa"/>
                  <w:vMerge w:val="continue"/>
                  <w:vAlign w:val="center"/>
                </w:tcPr>
                <w:p w14:paraId="5BF7F3E6">
                  <w:pPr>
                    <w:jc w:val="center"/>
                    <w:rPr>
                      <w:color w:val="auto"/>
                      <w:sz w:val="22"/>
                      <w:szCs w:val="22"/>
                      <w:highlight w:val="none"/>
                    </w:rPr>
                  </w:pPr>
                </w:p>
              </w:tc>
              <w:tc>
                <w:tcPr>
                  <w:tcW w:w="975" w:type="dxa"/>
                  <w:vMerge w:val="continue"/>
                  <w:vAlign w:val="center"/>
                </w:tcPr>
                <w:p w14:paraId="7952F736">
                  <w:pPr>
                    <w:jc w:val="center"/>
                    <w:rPr>
                      <w:color w:val="auto"/>
                      <w:sz w:val="22"/>
                      <w:szCs w:val="22"/>
                      <w:highlight w:val="none"/>
                    </w:rPr>
                  </w:pPr>
                </w:p>
              </w:tc>
              <w:tc>
                <w:tcPr>
                  <w:tcW w:w="1565" w:type="dxa"/>
                  <w:vMerge w:val="continue"/>
                  <w:vAlign w:val="center"/>
                </w:tcPr>
                <w:p w14:paraId="6361C150">
                  <w:pPr>
                    <w:jc w:val="center"/>
                    <w:rPr>
                      <w:color w:val="auto"/>
                      <w:sz w:val="22"/>
                      <w:szCs w:val="22"/>
                      <w:highlight w:val="none"/>
                    </w:rPr>
                  </w:pPr>
                </w:p>
              </w:tc>
              <w:tc>
                <w:tcPr>
                  <w:tcW w:w="1446" w:type="dxa"/>
                  <w:vMerge w:val="continue"/>
                  <w:vAlign w:val="center"/>
                </w:tcPr>
                <w:p w14:paraId="75BEB4BD">
                  <w:pPr>
                    <w:jc w:val="center"/>
                    <w:rPr>
                      <w:color w:val="auto"/>
                      <w:sz w:val="22"/>
                      <w:szCs w:val="22"/>
                      <w:highlight w:val="none"/>
                    </w:rPr>
                  </w:pPr>
                </w:p>
              </w:tc>
              <w:tc>
                <w:tcPr>
                  <w:tcW w:w="939" w:type="dxa"/>
                  <w:vMerge w:val="continue"/>
                  <w:vAlign w:val="center"/>
                </w:tcPr>
                <w:p w14:paraId="6C5161B5">
                  <w:pPr>
                    <w:jc w:val="center"/>
                    <w:rPr>
                      <w:color w:val="auto"/>
                      <w:sz w:val="22"/>
                      <w:szCs w:val="22"/>
                      <w:highlight w:val="none"/>
                    </w:rPr>
                  </w:pPr>
                </w:p>
              </w:tc>
              <w:tc>
                <w:tcPr>
                  <w:tcW w:w="883" w:type="dxa"/>
                  <w:vMerge w:val="continue"/>
                  <w:vAlign w:val="center"/>
                </w:tcPr>
                <w:p w14:paraId="14B926A8">
                  <w:pPr>
                    <w:jc w:val="center"/>
                    <w:rPr>
                      <w:color w:val="auto"/>
                      <w:sz w:val="22"/>
                      <w:szCs w:val="22"/>
                      <w:highlight w:val="none"/>
                    </w:rPr>
                  </w:pPr>
                </w:p>
              </w:tc>
              <w:tc>
                <w:tcPr>
                  <w:tcW w:w="942" w:type="dxa"/>
                  <w:vMerge w:val="continue"/>
                  <w:vAlign w:val="center"/>
                </w:tcPr>
                <w:p w14:paraId="1C2D2E22">
                  <w:pPr>
                    <w:jc w:val="center"/>
                    <w:rPr>
                      <w:color w:val="auto"/>
                      <w:sz w:val="22"/>
                      <w:szCs w:val="22"/>
                      <w:highlight w:val="none"/>
                    </w:rPr>
                  </w:pPr>
                </w:p>
              </w:tc>
              <w:tc>
                <w:tcPr>
                  <w:tcW w:w="793" w:type="dxa"/>
                  <w:vMerge w:val="continue"/>
                  <w:vAlign w:val="center"/>
                </w:tcPr>
                <w:p w14:paraId="45036F06">
                  <w:pPr>
                    <w:jc w:val="center"/>
                    <w:rPr>
                      <w:color w:val="auto"/>
                      <w:sz w:val="22"/>
                      <w:szCs w:val="22"/>
                      <w:highlight w:val="none"/>
                    </w:rPr>
                  </w:pPr>
                </w:p>
              </w:tc>
              <w:tc>
                <w:tcPr>
                  <w:tcW w:w="1007" w:type="dxa"/>
                  <w:vMerge w:val="continue"/>
                  <w:vAlign w:val="center"/>
                </w:tcPr>
                <w:p w14:paraId="1A066EDD">
                  <w:pPr>
                    <w:jc w:val="center"/>
                    <w:rPr>
                      <w:color w:val="auto"/>
                      <w:sz w:val="22"/>
                      <w:szCs w:val="22"/>
                      <w:highlight w:val="none"/>
                    </w:rPr>
                  </w:pPr>
                </w:p>
              </w:tc>
              <w:tc>
                <w:tcPr>
                  <w:tcW w:w="1273" w:type="dxa"/>
                  <w:vAlign w:val="center"/>
                </w:tcPr>
                <w:p w14:paraId="18D16CDB">
                  <w:pPr>
                    <w:jc w:val="center"/>
                    <w:rPr>
                      <w:color w:val="auto"/>
                      <w:sz w:val="22"/>
                      <w:szCs w:val="22"/>
                      <w:highlight w:val="none"/>
                    </w:rPr>
                  </w:pPr>
                  <w:r>
                    <w:rPr>
                      <w:rFonts w:hint="eastAsia"/>
                      <w:color w:val="auto"/>
                      <w:sz w:val="22"/>
                      <w:szCs w:val="22"/>
                      <w:highlight w:val="none"/>
                    </w:rPr>
                    <w:t>TP</w:t>
                  </w:r>
                </w:p>
              </w:tc>
              <w:tc>
                <w:tcPr>
                  <w:tcW w:w="1609" w:type="dxa"/>
                  <w:vAlign w:val="center"/>
                </w:tcPr>
                <w:p w14:paraId="33706DC3">
                  <w:pPr>
                    <w:jc w:val="center"/>
                    <w:rPr>
                      <w:color w:val="auto"/>
                      <w:sz w:val="22"/>
                      <w:szCs w:val="22"/>
                      <w:highlight w:val="none"/>
                    </w:rPr>
                  </w:pPr>
                  <w:r>
                    <w:rPr>
                      <w:rFonts w:hint="eastAsia"/>
                      <w:color w:val="auto"/>
                      <w:sz w:val="22"/>
                      <w:szCs w:val="22"/>
                      <w:highlight w:val="none"/>
                    </w:rPr>
                    <w:t>0.5</w:t>
                  </w:r>
                </w:p>
              </w:tc>
            </w:tr>
            <w:tr w14:paraId="35B6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dxa"/>
                  <w:vMerge w:val="continue"/>
                  <w:vAlign w:val="center"/>
                </w:tcPr>
                <w:p w14:paraId="5BA2E057">
                  <w:pPr>
                    <w:jc w:val="center"/>
                    <w:rPr>
                      <w:color w:val="auto"/>
                      <w:sz w:val="22"/>
                      <w:szCs w:val="22"/>
                      <w:highlight w:val="none"/>
                    </w:rPr>
                  </w:pPr>
                </w:p>
              </w:tc>
              <w:tc>
                <w:tcPr>
                  <w:tcW w:w="975" w:type="dxa"/>
                  <w:vMerge w:val="continue"/>
                  <w:vAlign w:val="center"/>
                </w:tcPr>
                <w:p w14:paraId="3B770421">
                  <w:pPr>
                    <w:jc w:val="center"/>
                    <w:rPr>
                      <w:color w:val="auto"/>
                      <w:sz w:val="22"/>
                      <w:szCs w:val="22"/>
                      <w:highlight w:val="none"/>
                    </w:rPr>
                  </w:pPr>
                </w:p>
              </w:tc>
              <w:tc>
                <w:tcPr>
                  <w:tcW w:w="1565" w:type="dxa"/>
                  <w:vMerge w:val="continue"/>
                  <w:vAlign w:val="center"/>
                </w:tcPr>
                <w:p w14:paraId="0D1F0F9E">
                  <w:pPr>
                    <w:jc w:val="center"/>
                    <w:rPr>
                      <w:color w:val="auto"/>
                      <w:sz w:val="22"/>
                      <w:szCs w:val="22"/>
                      <w:highlight w:val="none"/>
                    </w:rPr>
                  </w:pPr>
                </w:p>
              </w:tc>
              <w:tc>
                <w:tcPr>
                  <w:tcW w:w="1446" w:type="dxa"/>
                  <w:vMerge w:val="continue"/>
                  <w:vAlign w:val="center"/>
                </w:tcPr>
                <w:p w14:paraId="656E46B0">
                  <w:pPr>
                    <w:jc w:val="center"/>
                    <w:rPr>
                      <w:color w:val="auto"/>
                      <w:sz w:val="22"/>
                      <w:szCs w:val="22"/>
                      <w:highlight w:val="none"/>
                    </w:rPr>
                  </w:pPr>
                </w:p>
              </w:tc>
              <w:tc>
                <w:tcPr>
                  <w:tcW w:w="939" w:type="dxa"/>
                  <w:vMerge w:val="continue"/>
                  <w:vAlign w:val="center"/>
                </w:tcPr>
                <w:p w14:paraId="2D3F765D">
                  <w:pPr>
                    <w:jc w:val="center"/>
                    <w:rPr>
                      <w:color w:val="auto"/>
                      <w:sz w:val="22"/>
                      <w:szCs w:val="22"/>
                      <w:highlight w:val="none"/>
                    </w:rPr>
                  </w:pPr>
                </w:p>
              </w:tc>
              <w:tc>
                <w:tcPr>
                  <w:tcW w:w="883" w:type="dxa"/>
                  <w:vMerge w:val="continue"/>
                  <w:vAlign w:val="center"/>
                </w:tcPr>
                <w:p w14:paraId="7FC1ACF3">
                  <w:pPr>
                    <w:jc w:val="center"/>
                    <w:rPr>
                      <w:color w:val="auto"/>
                      <w:sz w:val="22"/>
                      <w:szCs w:val="22"/>
                      <w:highlight w:val="none"/>
                    </w:rPr>
                  </w:pPr>
                </w:p>
              </w:tc>
              <w:tc>
                <w:tcPr>
                  <w:tcW w:w="942" w:type="dxa"/>
                  <w:vMerge w:val="continue"/>
                  <w:vAlign w:val="center"/>
                </w:tcPr>
                <w:p w14:paraId="7BE9C906">
                  <w:pPr>
                    <w:jc w:val="center"/>
                    <w:rPr>
                      <w:color w:val="auto"/>
                      <w:sz w:val="22"/>
                      <w:szCs w:val="22"/>
                      <w:highlight w:val="none"/>
                    </w:rPr>
                  </w:pPr>
                </w:p>
              </w:tc>
              <w:tc>
                <w:tcPr>
                  <w:tcW w:w="793" w:type="dxa"/>
                  <w:vMerge w:val="continue"/>
                  <w:vAlign w:val="center"/>
                </w:tcPr>
                <w:p w14:paraId="4F3F0CC7">
                  <w:pPr>
                    <w:jc w:val="center"/>
                    <w:rPr>
                      <w:color w:val="auto"/>
                      <w:sz w:val="22"/>
                      <w:szCs w:val="22"/>
                      <w:highlight w:val="none"/>
                    </w:rPr>
                  </w:pPr>
                </w:p>
              </w:tc>
              <w:tc>
                <w:tcPr>
                  <w:tcW w:w="1007" w:type="dxa"/>
                  <w:vMerge w:val="continue"/>
                  <w:vAlign w:val="center"/>
                </w:tcPr>
                <w:p w14:paraId="7C0E6372">
                  <w:pPr>
                    <w:jc w:val="center"/>
                    <w:rPr>
                      <w:color w:val="auto"/>
                      <w:sz w:val="22"/>
                      <w:szCs w:val="22"/>
                      <w:highlight w:val="none"/>
                    </w:rPr>
                  </w:pPr>
                </w:p>
              </w:tc>
              <w:tc>
                <w:tcPr>
                  <w:tcW w:w="1273" w:type="dxa"/>
                  <w:vAlign w:val="center"/>
                </w:tcPr>
                <w:p w14:paraId="2A0500FA">
                  <w:pPr>
                    <w:jc w:val="center"/>
                    <w:rPr>
                      <w:color w:val="auto"/>
                      <w:sz w:val="22"/>
                      <w:szCs w:val="22"/>
                      <w:highlight w:val="none"/>
                    </w:rPr>
                  </w:pPr>
                  <w:r>
                    <w:rPr>
                      <w:rFonts w:hint="eastAsia"/>
                      <w:color w:val="auto"/>
                      <w:sz w:val="22"/>
                      <w:szCs w:val="22"/>
                      <w:highlight w:val="none"/>
                    </w:rPr>
                    <w:t>石油类</w:t>
                  </w:r>
                </w:p>
              </w:tc>
              <w:tc>
                <w:tcPr>
                  <w:tcW w:w="1609" w:type="dxa"/>
                  <w:vAlign w:val="center"/>
                </w:tcPr>
                <w:p w14:paraId="29725967">
                  <w:pPr>
                    <w:jc w:val="center"/>
                    <w:rPr>
                      <w:color w:val="auto"/>
                      <w:sz w:val="22"/>
                      <w:szCs w:val="22"/>
                      <w:highlight w:val="none"/>
                    </w:rPr>
                  </w:pPr>
                  <w:r>
                    <w:rPr>
                      <w:rFonts w:hint="eastAsia"/>
                      <w:color w:val="auto"/>
                      <w:sz w:val="22"/>
                      <w:szCs w:val="22"/>
                      <w:highlight w:val="none"/>
                    </w:rPr>
                    <w:t>1</w:t>
                  </w:r>
                </w:p>
              </w:tc>
            </w:tr>
          </w:tbl>
          <w:p w14:paraId="5B2632DF">
            <w:pPr>
              <w:snapToGrid w:val="0"/>
              <w:rPr>
                <w:bCs/>
                <w:color w:val="auto"/>
                <w:sz w:val="26"/>
                <w:szCs w:val="26"/>
                <w:highlight w:val="none"/>
              </w:rPr>
            </w:pPr>
          </w:p>
          <w:p w14:paraId="07CF2666">
            <w:pPr>
              <w:snapToGrid w:val="0"/>
              <w:ind w:firstLine="520"/>
              <w:jc w:val="center"/>
              <w:rPr>
                <w:rFonts w:hint="eastAsia"/>
                <w:bCs/>
                <w:color w:val="auto"/>
                <w:sz w:val="24"/>
                <w:szCs w:val="26"/>
                <w:highlight w:val="none"/>
              </w:rPr>
            </w:pPr>
          </w:p>
          <w:p w14:paraId="146CB688">
            <w:pPr>
              <w:snapToGrid w:val="0"/>
              <w:ind w:firstLine="520"/>
              <w:jc w:val="center"/>
              <w:rPr>
                <w:rFonts w:hint="eastAsia"/>
                <w:bCs/>
                <w:color w:val="auto"/>
                <w:sz w:val="24"/>
                <w:szCs w:val="26"/>
                <w:highlight w:val="none"/>
              </w:rPr>
            </w:pPr>
          </w:p>
          <w:p w14:paraId="5139EC4B">
            <w:pPr>
              <w:snapToGrid w:val="0"/>
              <w:ind w:firstLine="520"/>
              <w:jc w:val="center"/>
              <w:rPr>
                <w:rFonts w:hint="eastAsia"/>
                <w:bCs/>
                <w:color w:val="auto"/>
                <w:sz w:val="24"/>
                <w:szCs w:val="26"/>
                <w:highlight w:val="none"/>
              </w:rPr>
            </w:pPr>
          </w:p>
          <w:p w14:paraId="3BC80B84">
            <w:pPr>
              <w:snapToGrid w:val="0"/>
              <w:ind w:firstLine="520"/>
              <w:jc w:val="center"/>
              <w:rPr>
                <w:rFonts w:hint="eastAsia"/>
                <w:bCs/>
                <w:color w:val="auto"/>
                <w:sz w:val="24"/>
                <w:szCs w:val="26"/>
                <w:highlight w:val="none"/>
              </w:rPr>
            </w:pPr>
          </w:p>
          <w:p w14:paraId="7E642A27">
            <w:pPr>
              <w:snapToGrid w:val="0"/>
              <w:ind w:firstLine="520"/>
              <w:jc w:val="center"/>
              <w:rPr>
                <w:bCs/>
                <w:color w:val="auto"/>
                <w:sz w:val="24"/>
                <w:szCs w:val="26"/>
                <w:highlight w:val="none"/>
              </w:rPr>
            </w:pPr>
            <w:r>
              <w:rPr>
                <w:rFonts w:hint="eastAsia"/>
                <w:bCs/>
                <w:color w:val="auto"/>
                <w:sz w:val="24"/>
                <w:szCs w:val="26"/>
                <w:highlight w:val="none"/>
              </w:rPr>
              <w:t>表4.2</w:t>
            </w:r>
            <w:r>
              <w:rPr>
                <w:bCs/>
                <w:color w:val="auto"/>
                <w:sz w:val="24"/>
                <w:szCs w:val="26"/>
                <w:highlight w:val="none"/>
              </w:rPr>
              <w:t>-</w:t>
            </w:r>
            <w:r>
              <w:rPr>
                <w:rFonts w:hint="eastAsia"/>
                <w:bCs/>
                <w:color w:val="auto"/>
                <w:sz w:val="24"/>
                <w:szCs w:val="26"/>
                <w:highlight w:val="none"/>
              </w:rPr>
              <w:t>11</w:t>
            </w:r>
            <w:r>
              <w:rPr>
                <w:bCs/>
                <w:color w:val="auto"/>
                <w:sz w:val="24"/>
                <w:szCs w:val="26"/>
                <w:highlight w:val="none"/>
              </w:rPr>
              <w:t xml:space="preserve">  </w:t>
            </w:r>
            <w:r>
              <w:rPr>
                <w:rFonts w:hint="eastAsia"/>
                <w:bCs/>
                <w:color w:val="auto"/>
                <w:sz w:val="24"/>
                <w:szCs w:val="26"/>
                <w:highlight w:val="none"/>
              </w:rPr>
              <w:t>废水污染物排放信息表</w:t>
            </w:r>
          </w:p>
          <w:tbl>
            <w:tblPr>
              <w:tblStyle w:val="16"/>
              <w:tblW w:w="48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1"/>
              <w:gridCol w:w="2144"/>
              <w:gridCol w:w="1596"/>
              <w:gridCol w:w="1642"/>
              <w:gridCol w:w="1666"/>
              <w:gridCol w:w="1583"/>
            </w:tblGrid>
            <w:tr w14:paraId="18FC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pct"/>
                  <w:vAlign w:val="center"/>
                </w:tcPr>
                <w:p w14:paraId="3D7976C2">
                  <w:pPr>
                    <w:widowControl/>
                    <w:snapToGrid w:val="0"/>
                    <w:jc w:val="center"/>
                    <w:rPr>
                      <w:color w:val="auto"/>
                      <w:kern w:val="0"/>
                      <w:szCs w:val="21"/>
                      <w:highlight w:val="none"/>
                    </w:rPr>
                  </w:pPr>
                  <w:r>
                    <w:rPr>
                      <w:color w:val="auto"/>
                      <w:kern w:val="0"/>
                      <w:szCs w:val="21"/>
                      <w:highlight w:val="none"/>
                    </w:rPr>
                    <w:t>序号</w:t>
                  </w:r>
                </w:p>
              </w:tc>
              <w:tc>
                <w:tcPr>
                  <w:tcW w:w="911" w:type="pct"/>
                  <w:vAlign w:val="center"/>
                </w:tcPr>
                <w:p w14:paraId="098DD3D6">
                  <w:pPr>
                    <w:widowControl/>
                    <w:snapToGrid w:val="0"/>
                    <w:jc w:val="center"/>
                    <w:rPr>
                      <w:color w:val="auto"/>
                      <w:kern w:val="0"/>
                      <w:szCs w:val="21"/>
                      <w:highlight w:val="none"/>
                    </w:rPr>
                  </w:pPr>
                  <w:r>
                    <w:rPr>
                      <w:color w:val="auto"/>
                      <w:kern w:val="0"/>
                      <w:szCs w:val="21"/>
                      <w:highlight w:val="none"/>
                    </w:rPr>
                    <w:t>排放口编号</w:t>
                  </w:r>
                </w:p>
              </w:tc>
              <w:tc>
                <w:tcPr>
                  <w:tcW w:w="678" w:type="pct"/>
                  <w:vAlign w:val="center"/>
                </w:tcPr>
                <w:p w14:paraId="4E510D79">
                  <w:pPr>
                    <w:widowControl/>
                    <w:snapToGrid w:val="0"/>
                    <w:jc w:val="center"/>
                    <w:rPr>
                      <w:color w:val="auto"/>
                      <w:kern w:val="0"/>
                      <w:szCs w:val="21"/>
                      <w:highlight w:val="none"/>
                    </w:rPr>
                  </w:pPr>
                  <w:r>
                    <w:rPr>
                      <w:color w:val="auto"/>
                      <w:kern w:val="0"/>
                      <w:szCs w:val="21"/>
                      <w:highlight w:val="none"/>
                    </w:rPr>
                    <w:t>污染物种类</w:t>
                  </w:r>
                </w:p>
              </w:tc>
              <w:tc>
                <w:tcPr>
                  <w:tcW w:w="697" w:type="pct"/>
                  <w:vAlign w:val="center"/>
                </w:tcPr>
                <w:p w14:paraId="5A78E778">
                  <w:pPr>
                    <w:widowControl/>
                    <w:snapToGrid w:val="0"/>
                    <w:jc w:val="center"/>
                    <w:rPr>
                      <w:color w:val="auto"/>
                      <w:kern w:val="0"/>
                      <w:szCs w:val="21"/>
                      <w:highlight w:val="none"/>
                    </w:rPr>
                  </w:pPr>
                  <w:r>
                    <w:rPr>
                      <w:color w:val="auto"/>
                      <w:kern w:val="0"/>
                      <w:szCs w:val="21"/>
                      <w:highlight w:val="none"/>
                    </w:rPr>
                    <w:t>排放浓度/（mg/L）</w:t>
                  </w:r>
                </w:p>
              </w:tc>
              <w:tc>
                <w:tcPr>
                  <w:tcW w:w="708" w:type="pct"/>
                  <w:vAlign w:val="center"/>
                </w:tcPr>
                <w:p w14:paraId="3C569FD1">
                  <w:pPr>
                    <w:widowControl/>
                    <w:snapToGrid w:val="0"/>
                    <w:jc w:val="center"/>
                    <w:rPr>
                      <w:color w:val="auto"/>
                      <w:kern w:val="0"/>
                      <w:szCs w:val="21"/>
                      <w:highlight w:val="none"/>
                    </w:rPr>
                  </w:pPr>
                  <w:r>
                    <w:rPr>
                      <w:color w:val="auto"/>
                      <w:kern w:val="0"/>
                      <w:szCs w:val="21"/>
                      <w:highlight w:val="none"/>
                    </w:rPr>
                    <w:t>日排放量/（</w:t>
                  </w:r>
                  <w:r>
                    <w:rPr>
                      <w:rFonts w:hint="eastAsia"/>
                      <w:color w:val="auto"/>
                      <w:kern w:val="0"/>
                      <w:szCs w:val="21"/>
                      <w:highlight w:val="none"/>
                    </w:rPr>
                    <w:t>kg</w:t>
                  </w:r>
                  <w:r>
                    <w:rPr>
                      <w:color w:val="auto"/>
                      <w:kern w:val="0"/>
                      <w:szCs w:val="21"/>
                      <w:highlight w:val="none"/>
                    </w:rPr>
                    <w:t>/d）</w:t>
                  </w:r>
                </w:p>
              </w:tc>
              <w:tc>
                <w:tcPr>
                  <w:tcW w:w="672" w:type="pct"/>
                  <w:vAlign w:val="center"/>
                </w:tcPr>
                <w:p w14:paraId="73365D26">
                  <w:pPr>
                    <w:widowControl/>
                    <w:snapToGrid w:val="0"/>
                    <w:jc w:val="center"/>
                    <w:rPr>
                      <w:color w:val="auto"/>
                      <w:kern w:val="0"/>
                      <w:szCs w:val="21"/>
                      <w:highlight w:val="none"/>
                    </w:rPr>
                  </w:pPr>
                  <w:r>
                    <w:rPr>
                      <w:color w:val="auto"/>
                      <w:kern w:val="0"/>
                      <w:szCs w:val="21"/>
                      <w:highlight w:val="none"/>
                    </w:rPr>
                    <w:t>年排放量/（t/a）</w:t>
                  </w:r>
                </w:p>
              </w:tc>
            </w:tr>
            <w:tr w14:paraId="7F03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331" w:type="pct"/>
                  <w:vMerge w:val="restart"/>
                  <w:vAlign w:val="center"/>
                </w:tcPr>
                <w:p w14:paraId="57AE6462">
                  <w:pPr>
                    <w:widowControl/>
                    <w:snapToGrid w:val="0"/>
                    <w:jc w:val="center"/>
                    <w:rPr>
                      <w:color w:val="auto"/>
                      <w:kern w:val="0"/>
                      <w:szCs w:val="21"/>
                      <w:highlight w:val="none"/>
                    </w:rPr>
                  </w:pPr>
                  <w:r>
                    <w:rPr>
                      <w:rFonts w:hint="eastAsia"/>
                      <w:color w:val="auto"/>
                      <w:kern w:val="0"/>
                      <w:szCs w:val="21"/>
                      <w:highlight w:val="none"/>
                    </w:rPr>
                    <w:t>1</w:t>
                  </w:r>
                </w:p>
              </w:tc>
              <w:tc>
                <w:tcPr>
                  <w:tcW w:w="911" w:type="pct"/>
                  <w:vMerge w:val="restart"/>
                  <w:vAlign w:val="center"/>
                </w:tcPr>
                <w:p w14:paraId="791B97D5">
                  <w:pPr>
                    <w:widowControl/>
                    <w:snapToGrid w:val="0"/>
                    <w:jc w:val="center"/>
                    <w:rPr>
                      <w:color w:val="auto"/>
                      <w:kern w:val="0"/>
                      <w:szCs w:val="21"/>
                      <w:highlight w:val="none"/>
                    </w:rPr>
                  </w:pPr>
                  <w:r>
                    <w:rPr>
                      <w:color w:val="auto"/>
                      <w:kern w:val="0"/>
                      <w:szCs w:val="21"/>
                      <w:highlight w:val="none"/>
                    </w:rPr>
                    <w:t>TW00</w:t>
                  </w:r>
                  <w:r>
                    <w:rPr>
                      <w:rFonts w:hint="eastAsia"/>
                      <w:color w:val="auto"/>
                      <w:kern w:val="0"/>
                      <w:szCs w:val="21"/>
                      <w:highlight w:val="none"/>
                    </w:rPr>
                    <w:t>1</w:t>
                  </w:r>
                </w:p>
              </w:tc>
              <w:tc>
                <w:tcPr>
                  <w:tcW w:w="678" w:type="pct"/>
                  <w:vAlign w:val="center"/>
                </w:tcPr>
                <w:p w14:paraId="32EE34FF">
                  <w:pPr>
                    <w:jc w:val="center"/>
                    <w:rPr>
                      <w:color w:val="auto"/>
                      <w:sz w:val="22"/>
                      <w:szCs w:val="22"/>
                      <w:highlight w:val="none"/>
                    </w:rPr>
                  </w:pPr>
                  <w:r>
                    <w:rPr>
                      <w:rFonts w:hint="eastAsia"/>
                      <w:color w:val="auto"/>
                      <w:sz w:val="22"/>
                      <w:szCs w:val="22"/>
                      <w:highlight w:val="none"/>
                    </w:rPr>
                    <w:t>pH</w:t>
                  </w:r>
                </w:p>
              </w:tc>
              <w:tc>
                <w:tcPr>
                  <w:tcW w:w="697" w:type="pct"/>
                </w:tcPr>
                <w:p w14:paraId="7845ACE3">
                  <w:pPr>
                    <w:jc w:val="center"/>
                    <w:rPr>
                      <w:color w:val="auto"/>
                      <w:sz w:val="22"/>
                      <w:szCs w:val="22"/>
                      <w:highlight w:val="none"/>
                    </w:rPr>
                  </w:pPr>
                  <w:r>
                    <w:rPr>
                      <w:rFonts w:hint="eastAsia" w:eastAsia="Times New Roman"/>
                      <w:color w:val="auto"/>
                      <w:sz w:val="22"/>
                      <w:highlight w:val="none"/>
                    </w:rPr>
                    <w:t>6~9</w:t>
                  </w:r>
                </w:p>
              </w:tc>
              <w:tc>
                <w:tcPr>
                  <w:tcW w:w="708" w:type="pct"/>
                  <w:vAlign w:val="bottom"/>
                </w:tcPr>
                <w:p w14:paraId="65D3FCB1">
                  <w:pPr>
                    <w:keepNext w:val="0"/>
                    <w:keepLines w:val="0"/>
                    <w:widowControl/>
                    <w:suppressLineNumbers w:val="0"/>
                    <w:jc w:val="center"/>
                    <w:textAlignment w:val="bottom"/>
                    <w:rPr>
                      <w:color w:val="auto"/>
                      <w:sz w:val="22"/>
                      <w:szCs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672" w:type="pct"/>
                  <w:vAlign w:val="bottom"/>
                </w:tcPr>
                <w:p w14:paraId="6331DDAE">
                  <w:pPr>
                    <w:keepNext w:val="0"/>
                    <w:keepLines w:val="0"/>
                    <w:widowControl/>
                    <w:suppressLineNumbers w:val="0"/>
                    <w:jc w:val="center"/>
                    <w:textAlignment w:val="bottom"/>
                    <w:rPr>
                      <w:color w:val="auto"/>
                      <w:sz w:val="22"/>
                      <w:szCs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14:paraId="7EA0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pct"/>
                  <w:vMerge w:val="continue"/>
                  <w:vAlign w:val="center"/>
                </w:tcPr>
                <w:p w14:paraId="7765B19C">
                  <w:pPr>
                    <w:widowControl/>
                    <w:snapToGrid w:val="0"/>
                    <w:jc w:val="center"/>
                    <w:rPr>
                      <w:color w:val="auto"/>
                      <w:kern w:val="0"/>
                      <w:szCs w:val="21"/>
                      <w:highlight w:val="none"/>
                    </w:rPr>
                  </w:pPr>
                </w:p>
              </w:tc>
              <w:tc>
                <w:tcPr>
                  <w:tcW w:w="911" w:type="pct"/>
                  <w:vMerge w:val="continue"/>
                  <w:vAlign w:val="center"/>
                </w:tcPr>
                <w:p w14:paraId="74F69436">
                  <w:pPr>
                    <w:widowControl/>
                    <w:snapToGrid w:val="0"/>
                    <w:jc w:val="center"/>
                    <w:rPr>
                      <w:color w:val="auto"/>
                      <w:kern w:val="0"/>
                      <w:szCs w:val="21"/>
                      <w:highlight w:val="none"/>
                    </w:rPr>
                  </w:pPr>
                </w:p>
              </w:tc>
              <w:tc>
                <w:tcPr>
                  <w:tcW w:w="678" w:type="pct"/>
                  <w:vAlign w:val="center"/>
                </w:tcPr>
                <w:p w14:paraId="56F97132">
                  <w:pPr>
                    <w:jc w:val="center"/>
                    <w:rPr>
                      <w:color w:val="auto"/>
                      <w:sz w:val="22"/>
                      <w:szCs w:val="22"/>
                      <w:highlight w:val="none"/>
                    </w:rPr>
                  </w:pPr>
                  <w:r>
                    <w:rPr>
                      <w:color w:val="auto"/>
                      <w:sz w:val="22"/>
                      <w:szCs w:val="22"/>
                      <w:highlight w:val="none"/>
                    </w:rPr>
                    <w:t>COD</w:t>
                  </w:r>
                </w:p>
              </w:tc>
              <w:tc>
                <w:tcPr>
                  <w:tcW w:w="697" w:type="pct"/>
                </w:tcPr>
                <w:p w14:paraId="288D00D9">
                  <w:pPr>
                    <w:jc w:val="center"/>
                    <w:rPr>
                      <w:color w:val="auto"/>
                      <w:sz w:val="22"/>
                      <w:szCs w:val="22"/>
                      <w:highlight w:val="none"/>
                    </w:rPr>
                  </w:pPr>
                  <w:r>
                    <w:rPr>
                      <w:rFonts w:hint="eastAsia" w:eastAsia="Times New Roman"/>
                      <w:color w:val="auto"/>
                      <w:sz w:val="22"/>
                      <w:highlight w:val="none"/>
                    </w:rPr>
                    <w:t>500</w:t>
                  </w:r>
                </w:p>
              </w:tc>
              <w:tc>
                <w:tcPr>
                  <w:tcW w:w="708" w:type="pct"/>
                  <w:vAlign w:val="bottom"/>
                </w:tcPr>
                <w:p w14:paraId="083D7567">
                  <w:pPr>
                    <w:keepNext w:val="0"/>
                    <w:keepLines w:val="0"/>
                    <w:widowControl/>
                    <w:suppressLineNumbers w:val="0"/>
                    <w:jc w:val="center"/>
                    <w:textAlignment w:val="bottom"/>
                    <w:rPr>
                      <w:rFonts w:ascii="Times New Roman" w:hAnsi="Times New Roman" w:cs="Times New Roman"/>
                      <w:color w:val="auto"/>
                      <w:kern w:val="0"/>
                      <w:sz w:val="22"/>
                      <w:szCs w:val="22"/>
                      <w:highlight w:val="none"/>
                      <w:lang w:bidi="ar"/>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2.79 </w:t>
                  </w:r>
                </w:p>
              </w:tc>
              <w:tc>
                <w:tcPr>
                  <w:tcW w:w="672" w:type="pct"/>
                  <w:vAlign w:val="bottom"/>
                </w:tcPr>
                <w:p w14:paraId="16C3177B">
                  <w:pPr>
                    <w:keepNext w:val="0"/>
                    <w:keepLines w:val="0"/>
                    <w:widowControl/>
                    <w:suppressLineNumbers w:val="0"/>
                    <w:jc w:val="center"/>
                    <w:textAlignment w:val="bottom"/>
                    <w:rPr>
                      <w:rFonts w:ascii="Times New Roman" w:hAnsi="Times New Roman" w:cs="Times New Roman"/>
                      <w:color w:val="auto"/>
                      <w:sz w:val="22"/>
                      <w:szCs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0.84 </w:t>
                  </w:r>
                </w:p>
              </w:tc>
            </w:tr>
            <w:tr w14:paraId="4063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pct"/>
                  <w:vMerge w:val="continue"/>
                  <w:vAlign w:val="center"/>
                </w:tcPr>
                <w:p w14:paraId="67AA1637">
                  <w:pPr>
                    <w:widowControl/>
                    <w:snapToGrid w:val="0"/>
                    <w:jc w:val="center"/>
                    <w:rPr>
                      <w:color w:val="auto"/>
                      <w:kern w:val="0"/>
                      <w:szCs w:val="21"/>
                      <w:highlight w:val="none"/>
                    </w:rPr>
                  </w:pPr>
                </w:p>
              </w:tc>
              <w:tc>
                <w:tcPr>
                  <w:tcW w:w="911" w:type="pct"/>
                  <w:vMerge w:val="continue"/>
                  <w:vAlign w:val="center"/>
                </w:tcPr>
                <w:p w14:paraId="65316DED">
                  <w:pPr>
                    <w:widowControl/>
                    <w:snapToGrid w:val="0"/>
                    <w:jc w:val="center"/>
                    <w:rPr>
                      <w:color w:val="auto"/>
                      <w:kern w:val="0"/>
                      <w:szCs w:val="21"/>
                      <w:highlight w:val="none"/>
                    </w:rPr>
                  </w:pPr>
                </w:p>
              </w:tc>
              <w:tc>
                <w:tcPr>
                  <w:tcW w:w="678" w:type="pct"/>
                  <w:vAlign w:val="center"/>
                </w:tcPr>
                <w:p w14:paraId="51548D36">
                  <w:pPr>
                    <w:jc w:val="center"/>
                    <w:rPr>
                      <w:color w:val="auto"/>
                      <w:sz w:val="22"/>
                      <w:szCs w:val="22"/>
                      <w:highlight w:val="none"/>
                    </w:rPr>
                  </w:pPr>
                  <w:r>
                    <w:rPr>
                      <w:color w:val="auto"/>
                      <w:sz w:val="22"/>
                      <w:szCs w:val="22"/>
                      <w:highlight w:val="none"/>
                    </w:rPr>
                    <w:t>BOD</w:t>
                  </w:r>
                  <w:r>
                    <w:rPr>
                      <w:color w:val="auto"/>
                      <w:sz w:val="22"/>
                      <w:szCs w:val="22"/>
                      <w:highlight w:val="none"/>
                      <w:vertAlign w:val="subscript"/>
                    </w:rPr>
                    <w:t>5</w:t>
                  </w:r>
                </w:p>
              </w:tc>
              <w:tc>
                <w:tcPr>
                  <w:tcW w:w="697" w:type="pct"/>
                </w:tcPr>
                <w:p w14:paraId="431C9E69">
                  <w:pPr>
                    <w:jc w:val="center"/>
                    <w:rPr>
                      <w:color w:val="auto"/>
                      <w:sz w:val="22"/>
                      <w:szCs w:val="22"/>
                      <w:highlight w:val="none"/>
                    </w:rPr>
                  </w:pPr>
                  <w:r>
                    <w:rPr>
                      <w:rFonts w:hint="eastAsia" w:eastAsia="Times New Roman"/>
                      <w:color w:val="auto"/>
                      <w:sz w:val="22"/>
                      <w:highlight w:val="none"/>
                    </w:rPr>
                    <w:t>300</w:t>
                  </w:r>
                </w:p>
              </w:tc>
              <w:tc>
                <w:tcPr>
                  <w:tcW w:w="708" w:type="pct"/>
                  <w:vAlign w:val="bottom"/>
                </w:tcPr>
                <w:p w14:paraId="04C64617">
                  <w:pPr>
                    <w:keepNext w:val="0"/>
                    <w:keepLines w:val="0"/>
                    <w:widowControl/>
                    <w:suppressLineNumbers w:val="0"/>
                    <w:jc w:val="center"/>
                    <w:textAlignment w:val="bottom"/>
                    <w:rPr>
                      <w:rFonts w:ascii="Times New Roman" w:hAnsi="Times New Roman" w:cs="Times New Roman"/>
                      <w:color w:val="auto"/>
                      <w:kern w:val="0"/>
                      <w:sz w:val="22"/>
                      <w:szCs w:val="22"/>
                      <w:highlight w:val="none"/>
                      <w:lang w:bidi="ar"/>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1.62 </w:t>
                  </w:r>
                </w:p>
              </w:tc>
              <w:tc>
                <w:tcPr>
                  <w:tcW w:w="672" w:type="pct"/>
                  <w:vAlign w:val="bottom"/>
                </w:tcPr>
                <w:p w14:paraId="3DB79369">
                  <w:pPr>
                    <w:keepNext w:val="0"/>
                    <w:keepLines w:val="0"/>
                    <w:widowControl/>
                    <w:suppressLineNumbers w:val="0"/>
                    <w:jc w:val="center"/>
                    <w:textAlignment w:val="bottom"/>
                    <w:rPr>
                      <w:rFonts w:ascii="Times New Roman" w:hAnsi="Times New Roman" w:cs="Times New Roman"/>
                      <w:color w:val="auto"/>
                      <w:sz w:val="22"/>
                      <w:szCs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0.49 </w:t>
                  </w:r>
                </w:p>
              </w:tc>
            </w:tr>
            <w:tr w14:paraId="25CB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pct"/>
                  <w:vMerge w:val="continue"/>
                  <w:vAlign w:val="center"/>
                </w:tcPr>
                <w:p w14:paraId="29765F05">
                  <w:pPr>
                    <w:widowControl/>
                    <w:snapToGrid w:val="0"/>
                    <w:jc w:val="center"/>
                    <w:rPr>
                      <w:color w:val="auto"/>
                      <w:kern w:val="0"/>
                      <w:szCs w:val="21"/>
                      <w:highlight w:val="none"/>
                    </w:rPr>
                  </w:pPr>
                </w:p>
              </w:tc>
              <w:tc>
                <w:tcPr>
                  <w:tcW w:w="911" w:type="pct"/>
                  <w:vMerge w:val="continue"/>
                  <w:vAlign w:val="center"/>
                </w:tcPr>
                <w:p w14:paraId="127F1D44">
                  <w:pPr>
                    <w:widowControl/>
                    <w:snapToGrid w:val="0"/>
                    <w:jc w:val="center"/>
                    <w:rPr>
                      <w:color w:val="auto"/>
                      <w:kern w:val="0"/>
                      <w:szCs w:val="21"/>
                      <w:highlight w:val="none"/>
                    </w:rPr>
                  </w:pPr>
                </w:p>
              </w:tc>
              <w:tc>
                <w:tcPr>
                  <w:tcW w:w="678" w:type="pct"/>
                  <w:vAlign w:val="center"/>
                </w:tcPr>
                <w:p w14:paraId="4C4DCED5">
                  <w:pPr>
                    <w:jc w:val="center"/>
                    <w:rPr>
                      <w:color w:val="auto"/>
                      <w:sz w:val="22"/>
                      <w:szCs w:val="22"/>
                      <w:highlight w:val="none"/>
                    </w:rPr>
                  </w:pPr>
                  <w:r>
                    <w:rPr>
                      <w:color w:val="auto"/>
                      <w:sz w:val="22"/>
                      <w:szCs w:val="22"/>
                      <w:highlight w:val="none"/>
                    </w:rPr>
                    <w:t>SS</w:t>
                  </w:r>
                </w:p>
              </w:tc>
              <w:tc>
                <w:tcPr>
                  <w:tcW w:w="697" w:type="pct"/>
                </w:tcPr>
                <w:p w14:paraId="08AB19E7">
                  <w:pPr>
                    <w:jc w:val="center"/>
                    <w:rPr>
                      <w:color w:val="auto"/>
                      <w:sz w:val="22"/>
                      <w:szCs w:val="22"/>
                      <w:highlight w:val="none"/>
                    </w:rPr>
                  </w:pPr>
                  <w:r>
                    <w:rPr>
                      <w:rFonts w:hint="eastAsia" w:eastAsia="Times New Roman"/>
                      <w:color w:val="auto"/>
                      <w:sz w:val="22"/>
                      <w:highlight w:val="none"/>
                    </w:rPr>
                    <w:t>400</w:t>
                  </w:r>
                </w:p>
              </w:tc>
              <w:tc>
                <w:tcPr>
                  <w:tcW w:w="708" w:type="pct"/>
                  <w:vAlign w:val="bottom"/>
                </w:tcPr>
                <w:p w14:paraId="06A1A26E">
                  <w:pPr>
                    <w:keepNext w:val="0"/>
                    <w:keepLines w:val="0"/>
                    <w:widowControl/>
                    <w:suppressLineNumbers w:val="0"/>
                    <w:jc w:val="center"/>
                    <w:textAlignment w:val="bottom"/>
                    <w:rPr>
                      <w:rFonts w:ascii="Times New Roman" w:hAnsi="Times New Roman" w:cs="Times New Roman"/>
                      <w:color w:val="auto"/>
                      <w:kern w:val="0"/>
                      <w:sz w:val="22"/>
                      <w:szCs w:val="22"/>
                      <w:highlight w:val="none"/>
                      <w:lang w:bidi="ar"/>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2.21 </w:t>
                  </w:r>
                </w:p>
              </w:tc>
              <w:tc>
                <w:tcPr>
                  <w:tcW w:w="672" w:type="pct"/>
                  <w:vAlign w:val="bottom"/>
                </w:tcPr>
                <w:p w14:paraId="490A6806">
                  <w:pPr>
                    <w:keepNext w:val="0"/>
                    <w:keepLines w:val="0"/>
                    <w:widowControl/>
                    <w:suppressLineNumbers w:val="0"/>
                    <w:jc w:val="center"/>
                    <w:textAlignment w:val="bottom"/>
                    <w:rPr>
                      <w:rFonts w:ascii="Times New Roman" w:hAnsi="Times New Roman" w:cs="Times New Roman"/>
                      <w:color w:val="auto"/>
                      <w:sz w:val="22"/>
                      <w:szCs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0.66 </w:t>
                  </w:r>
                </w:p>
              </w:tc>
            </w:tr>
            <w:tr w14:paraId="728F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pct"/>
                  <w:vMerge w:val="continue"/>
                  <w:vAlign w:val="center"/>
                </w:tcPr>
                <w:p w14:paraId="433C9218">
                  <w:pPr>
                    <w:widowControl/>
                    <w:snapToGrid w:val="0"/>
                    <w:jc w:val="center"/>
                    <w:rPr>
                      <w:color w:val="auto"/>
                      <w:kern w:val="0"/>
                      <w:szCs w:val="21"/>
                      <w:highlight w:val="none"/>
                    </w:rPr>
                  </w:pPr>
                </w:p>
              </w:tc>
              <w:tc>
                <w:tcPr>
                  <w:tcW w:w="911" w:type="pct"/>
                  <w:vMerge w:val="continue"/>
                  <w:vAlign w:val="center"/>
                </w:tcPr>
                <w:p w14:paraId="526D807C">
                  <w:pPr>
                    <w:widowControl/>
                    <w:snapToGrid w:val="0"/>
                    <w:jc w:val="center"/>
                    <w:rPr>
                      <w:color w:val="auto"/>
                      <w:kern w:val="0"/>
                      <w:szCs w:val="21"/>
                      <w:highlight w:val="none"/>
                    </w:rPr>
                  </w:pPr>
                </w:p>
              </w:tc>
              <w:tc>
                <w:tcPr>
                  <w:tcW w:w="678" w:type="pct"/>
                  <w:vAlign w:val="center"/>
                </w:tcPr>
                <w:p w14:paraId="57198119">
                  <w:pPr>
                    <w:jc w:val="center"/>
                    <w:rPr>
                      <w:color w:val="auto"/>
                      <w:sz w:val="22"/>
                      <w:szCs w:val="22"/>
                      <w:highlight w:val="none"/>
                    </w:rPr>
                  </w:pPr>
                  <w:r>
                    <w:rPr>
                      <w:color w:val="auto"/>
                      <w:sz w:val="22"/>
                      <w:szCs w:val="22"/>
                      <w:highlight w:val="none"/>
                    </w:rPr>
                    <w:t>NH</w:t>
                  </w:r>
                  <w:r>
                    <w:rPr>
                      <w:color w:val="auto"/>
                      <w:sz w:val="22"/>
                      <w:szCs w:val="22"/>
                      <w:highlight w:val="none"/>
                      <w:vertAlign w:val="subscript"/>
                    </w:rPr>
                    <w:t>3</w:t>
                  </w:r>
                  <w:r>
                    <w:rPr>
                      <w:color w:val="auto"/>
                      <w:sz w:val="22"/>
                      <w:szCs w:val="22"/>
                      <w:highlight w:val="none"/>
                    </w:rPr>
                    <w:t>-N</w:t>
                  </w:r>
                </w:p>
              </w:tc>
              <w:tc>
                <w:tcPr>
                  <w:tcW w:w="697" w:type="pct"/>
                </w:tcPr>
                <w:p w14:paraId="48CBC326">
                  <w:pPr>
                    <w:jc w:val="center"/>
                    <w:rPr>
                      <w:color w:val="auto"/>
                      <w:sz w:val="22"/>
                      <w:szCs w:val="22"/>
                      <w:highlight w:val="none"/>
                    </w:rPr>
                  </w:pPr>
                  <w:r>
                    <w:rPr>
                      <w:rFonts w:hint="eastAsia" w:eastAsia="Times New Roman"/>
                      <w:color w:val="auto"/>
                      <w:sz w:val="22"/>
                      <w:highlight w:val="none"/>
                    </w:rPr>
                    <w:t>45</w:t>
                  </w:r>
                </w:p>
              </w:tc>
              <w:tc>
                <w:tcPr>
                  <w:tcW w:w="708" w:type="pct"/>
                  <w:vAlign w:val="bottom"/>
                </w:tcPr>
                <w:p w14:paraId="4C7B2902">
                  <w:pPr>
                    <w:keepNext w:val="0"/>
                    <w:keepLines w:val="0"/>
                    <w:widowControl/>
                    <w:suppressLineNumbers w:val="0"/>
                    <w:jc w:val="center"/>
                    <w:textAlignment w:val="bottom"/>
                    <w:rPr>
                      <w:rFonts w:ascii="Times New Roman" w:hAnsi="Times New Roman" w:cs="Times New Roman"/>
                      <w:color w:val="auto"/>
                      <w:kern w:val="0"/>
                      <w:sz w:val="22"/>
                      <w:szCs w:val="22"/>
                      <w:highlight w:val="none"/>
                      <w:lang w:bidi="ar"/>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0.24 </w:t>
                  </w:r>
                </w:p>
              </w:tc>
              <w:tc>
                <w:tcPr>
                  <w:tcW w:w="672" w:type="pct"/>
                  <w:vAlign w:val="bottom"/>
                </w:tcPr>
                <w:p w14:paraId="486572F9">
                  <w:pPr>
                    <w:keepNext w:val="0"/>
                    <w:keepLines w:val="0"/>
                    <w:widowControl/>
                    <w:suppressLineNumbers w:val="0"/>
                    <w:jc w:val="center"/>
                    <w:textAlignment w:val="bottom"/>
                    <w:rPr>
                      <w:rFonts w:ascii="Times New Roman" w:hAnsi="Times New Roman" w:cs="Times New Roman"/>
                      <w:color w:val="auto"/>
                      <w:sz w:val="22"/>
                      <w:szCs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0.07 </w:t>
                  </w:r>
                </w:p>
              </w:tc>
            </w:tr>
            <w:tr w14:paraId="0E00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pct"/>
                  <w:vMerge w:val="continue"/>
                  <w:vAlign w:val="center"/>
                </w:tcPr>
                <w:p w14:paraId="0EA39659">
                  <w:pPr>
                    <w:widowControl/>
                    <w:snapToGrid w:val="0"/>
                    <w:jc w:val="center"/>
                    <w:rPr>
                      <w:color w:val="auto"/>
                      <w:kern w:val="0"/>
                      <w:szCs w:val="21"/>
                      <w:highlight w:val="none"/>
                    </w:rPr>
                  </w:pPr>
                </w:p>
              </w:tc>
              <w:tc>
                <w:tcPr>
                  <w:tcW w:w="911" w:type="pct"/>
                  <w:vMerge w:val="continue"/>
                  <w:vAlign w:val="center"/>
                </w:tcPr>
                <w:p w14:paraId="4AE326E0">
                  <w:pPr>
                    <w:widowControl/>
                    <w:snapToGrid w:val="0"/>
                    <w:jc w:val="center"/>
                    <w:rPr>
                      <w:color w:val="auto"/>
                      <w:kern w:val="0"/>
                      <w:szCs w:val="21"/>
                      <w:highlight w:val="none"/>
                    </w:rPr>
                  </w:pPr>
                </w:p>
              </w:tc>
              <w:tc>
                <w:tcPr>
                  <w:tcW w:w="678" w:type="pct"/>
                  <w:vAlign w:val="center"/>
                </w:tcPr>
                <w:p w14:paraId="7E5E5F09">
                  <w:pPr>
                    <w:jc w:val="center"/>
                    <w:rPr>
                      <w:color w:val="auto"/>
                      <w:sz w:val="22"/>
                      <w:szCs w:val="22"/>
                      <w:highlight w:val="none"/>
                    </w:rPr>
                  </w:pPr>
                  <w:r>
                    <w:rPr>
                      <w:rFonts w:hint="eastAsia"/>
                      <w:color w:val="auto"/>
                      <w:sz w:val="22"/>
                      <w:szCs w:val="22"/>
                      <w:highlight w:val="none"/>
                    </w:rPr>
                    <w:t>TP</w:t>
                  </w:r>
                </w:p>
              </w:tc>
              <w:tc>
                <w:tcPr>
                  <w:tcW w:w="697" w:type="pct"/>
                </w:tcPr>
                <w:p w14:paraId="20E1A718">
                  <w:pPr>
                    <w:jc w:val="center"/>
                    <w:rPr>
                      <w:color w:val="auto"/>
                      <w:sz w:val="22"/>
                      <w:szCs w:val="22"/>
                      <w:highlight w:val="none"/>
                    </w:rPr>
                  </w:pPr>
                  <w:r>
                    <w:rPr>
                      <w:rFonts w:hint="eastAsia" w:eastAsia="Times New Roman"/>
                      <w:color w:val="auto"/>
                      <w:sz w:val="22"/>
                      <w:highlight w:val="none"/>
                    </w:rPr>
                    <w:t>8</w:t>
                  </w:r>
                </w:p>
              </w:tc>
              <w:tc>
                <w:tcPr>
                  <w:tcW w:w="708" w:type="pct"/>
                  <w:vAlign w:val="bottom"/>
                </w:tcPr>
                <w:p w14:paraId="645E74E2">
                  <w:pPr>
                    <w:keepNext w:val="0"/>
                    <w:keepLines w:val="0"/>
                    <w:widowControl/>
                    <w:suppressLineNumbers w:val="0"/>
                    <w:jc w:val="center"/>
                    <w:textAlignment w:val="bottom"/>
                    <w:rPr>
                      <w:rFonts w:ascii="Times New Roman" w:hAnsi="Times New Roman" w:cs="Times New Roman"/>
                      <w:color w:val="auto"/>
                      <w:kern w:val="0"/>
                      <w:sz w:val="22"/>
                      <w:szCs w:val="22"/>
                      <w:highlight w:val="none"/>
                      <w:lang w:bidi="ar"/>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0.04 </w:t>
                  </w:r>
                </w:p>
              </w:tc>
              <w:tc>
                <w:tcPr>
                  <w:tcW w:w="672" w:type="pct"/>
                  <w:vAlign w:val="bottom"/>
                </w:tcPr>
                <w:p w14:paraId="45C7E339">
                  <w:pPr>
                    <w:keepNext w:val="0"/>
                    <w:keepLines w:val="0"/>
                    <w:widowControl/>
                    <w:suppressLineNumbers w:val="0"/>
                    <w:jc w:val="center"/>
                    <w:textAlignment w:val="bottom"/>
                    <w:rPr>
                      <w:rFonts w:ascii="Times New Roman" w:hAnsi="Times New Roman" w:cs="Times New Roman"/>
                      <w:color w:val="auto"/>
                      <w:kern w:val="0"/>
                      <w:sz w:val="22"/>
                      <w:szCs w:val="22"/>
                      <w:highlight w:val="none"/>
                      <w:lang w:bidi="ar"/>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0.01 </w:t>
                  </w:r>
                </w:p>
              </w:tc>
            </w:tr>
            <w:tr w14:paraId="2C73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pct"/>
                  <w:vMerge w:val="continue"/>
                  <w:vAlign w:val="center"/>
                </w:tcPr>
                <w:p w14:paraId="5D01E5FB">
                  <w:pPr>
                    <w:widowControl/>
                    <w:snapToGrid w:val="0"/>
                    <w:jc w:val="center"/>
                    <w:rPr>
                      <w:color w:val="auto"/>
                      <w:kern w:val="0"/>
                      <w:szCs w:val="21"/>
                      <w:highlight w:val="none"/>
                    </w:rPr>
                  </w:pPr>
                </w:p>
              </w:tc>
              <w:tc>
                <w:tcPr>
                  <w:tcW w:w="911" w:type="pct"/>
                  <w:vMerge w:val="continue"/>
                  <w:vAlign w:val="center"/>
                </w:tcPr>
                <w:p w14:paraId="0F5E1B47">
                  <w:pPr>
                    <w:widowControl/>
                    <w:snapToGrid w:val="0"/>
                    <w:jc w:val="center"/>
                    <w:rPr>
                      <w:color w:val="auto"/>
                      <w:kern w:val="0"/>
                      <w:szCs w:val="21"/>
                      <w:highlight w:val="none"/>
                    </w:rPr>
                  </w:pPr>
                </w:p>
              </w:tc>
              <w:tc>
                <w:tcPr>
                  <w:tcW w:w="678" w:type="pct"/>
                  <w:vAlign w:val="center"/>
                </w:tcPr>
                <w:p w14:paraId="3A682FB9">
                  <w:pPr>
                    <w:jc w:val="center"/>
                    <w:rPr>
                      <w:color w:val="auto"/>
                      <w:sz w:val="22"/>
                      <w:szCs w:val="22"/>
                      <w:highlight w:val="none"/>
                    </w:rPr>
                  </w:pPr>
                  <w:r>
                    <w:rPr>
                      <w:rFonts w:hint="eastAsia"/>
                      <w:color w:val="auto"/>
                      <w:sz w:val="22"/>
                      <w:szCs w:val="22"/>
                      <w:highlight w:val="none"/>
                    </w:rPr>
                    <w:t>石油类</w:t>
                  </w:r>
                </w:p>
              </w:tc>
              <w:tc>
                <w:tcPr>
                  <w:tcW w:w="697" w:type="pct"/>
                </w:tcPr>
                <w:p w14:paraId="36563302">
                  <w:pPr>
                    <w:jc w:val="center"/>
                    <w:rPr>
                      <w:color w:val="auto"/>
                      <w:sz w:val="22"/>
                      <w:szCs w:val="22"/>
                      <w:highlight w:val="none"/>
                    </w:rPr>
                  </w:pPr>
                  <w:r>
                    <w:rPr>
                      <w:rFonts w:hint="eastAsia" w:eastAsia="Times New Roman"/>
                      <w:color w:val="auto"/>
                      <w:sz w:val="22"/>
                      <w:highlight w:val="none"/>
                    </w:rPr>
                    <w:t>30</w:t>
                  </w:r>
                </w:p>
              </w:tc>
              <w:tc>
                <w:tcPr>
                  <w:tcW w:w="708" w:type="pct"/>
                  <w:vAlign w:val="bottom"/>
                </w:tcPr>
                <w:p w14:paraId="724BFBF2">
                  <w:pPr>
                    <w:keepNext w:val="0"/>
                    <w:keepLines w:val="0"/>
                    <w:widowControl/>
                    <w:suppressLineNumbers w:val="0"/>
                    <w:jc w:val="center"/>
                    <w:textAlignment w:val="bottom"/>
                    <w:rPr>
                      <w:rFonts w:ascii="Times New Roman" w:hAnsi="Times New Roman" w:cs="Times New Roman"/>
                      <w:color w:val="auto"/>
                      <w:kern w:val="0"/>
                      <w:sz w:val="22"/>
                      <w:szCs w:val="22"/>
                      <w:highlight w:val="none"/>
                      <w:lang w:bidi="ar"/>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0.01 </w:t>
                  </w:r>
                </w:p>
              </w:tc>
              <w:tc>
                <w:tcPr>
                  <w:tcW w:w="672" w:type="pct"/>
                  <w:vAlign w:val="bottom"/>
                </w:tcPr>
                <w:p w14:paraId="6F0FA56B">
                  <w:pPr>
                    <w:keepNext w:val="0"/>
                    <w:keepLines w:val="0"/>
                    <w:widowControl/>
                    <w:suppressLineNumbers w:val="0"/>
                    <w:jc w:val="center"/>
                    <w:textAlignment w:val="bottom"/>
                    <w:rPr>
                      <w:rFonts w:ascii="Times New Roman" w:hAnsi="Times New Roman" w:cs="Times New Roman"/>
                      <w:color w:val="auto"/>
                      <w:sz w:val="22"/>
                      <w:szCs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0.003 </w:t>
                  </w:r>
                </w:p>
              </w:tc>
            </w:tr>
            <w:tr w14:paraId="7ED96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2" w:type="pct"/>
                  <w:gridSpan w:val="2"/>
                  <w:vMerge w:val="restart"/>
                  <w:vAlign w:val="center"/>
                </w:tcPr>
                <w:p w14:paraId="1D80DDB3">
                  <w:pPr>
                    <w:widowControl/>
                    <w:snapToGrid w:val="0"/>
                    <w:jc w:val="center"/>
                    <w:rPr>
                      <w:color w:val="auto"/>
                      <w:kern w:val="0"/>
                      <w:szCs w:val="21"/>
                      <w:highlight w:val="none"/>
                    </w:rPr>
                  </w:pPr>
                  <w:r>
                    <w:rPr>
                      <w:color w:val="auto"/>
                      <w:kern w:val="0"/>
                      <w:szCs w:val="21"/>
                      <w:highlight w:val="none"/>
                    </w:rPr>
                    <w:t>全厂排放口合计</w:t>
                  </w:r>
                </w:p>
              </w:tc>
              <w:tc>
                <w:tcPr>
                  <w:tcW w:w="2084" w:type="pct"/>
                  <w:gridSpan w:val="3"/>
                  <w:vAlign w:val="center"/>
                </w:tcPr>
                <w:p w14:paraId="4FDDFB89">
                  <w:pPr>
                    <w:widowControl/>
                    <w:snapToGrid w:val="0"/>
                    <w:jc w:val="center"/>
                    <w:rPr>
                      <w:color w:val="auto"/>
                      <w:kern w:val="0"/>
                      <w:szCs w:val="21"/>
                      <w:highlight w:val="none"/>
                    </w:rPr>
                  </w:pPr>
                  <w:r>
                    <w:rPr>
                      <w:color w:val="auto"/>
                      <w:kern w:val="0"/>
                      <w:szCs w:val="21"/>
                      <w:highlight w:val="none"/>
                    </w:rPr>
                    <w:t>COD</w:t>
                  </w:r>
                </w:p>
              </w:tc>
              <w:tc>
                <w:tcPr>
                  <w:tcW w:w="672" w:type="pct"/>
                  <w:vAlign w:val="bottom"/>
                </w:tcPr>
                <w:p w14:paraId="344696A1">
                  <w:pPr>
                    <w:keepNext w:val="0"/>
                    <w:keepLines w:val="0"/>
                    <w:widowControl/>
                    <w:suppressLineNumbers w:val="0"/>
                    <w:jc w:val="center"/>
                    <w:textAlignment w:val="bottom"/>
                    <w:rPr>
                      <w:color w:val="auto"/>
                      <w:sz w:val="22"/>
                      <w:szCs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0.84 </w:t>
                  </w:r>
                </w:p>
              </w:tc>
            </w:tr>
            <w:tr w14:paraId="03B9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2" w:type="pct"/>
                  <w:gridSpan w:val="2"/>
                  <w:vMerge w:val="continue"/>
                  <w:vAlign w:val="center"/>
                </w:tcPr>
                <w:p w14:paraId="79A98B3E">
                  <w:pPr>
                    <w:widowControl/>
                    <w:snapToGrid w:val="0"/>
                    <w:jc w:val="center"/>
                    <w:rPr>
                      <w:color w:val="auto"/>
                      <w:kern w:val="0"/>
                      <w:szCs w:val="21"/>
                      <w:highlight w:val="none"/>
                    </w:rPr>
                  </w:pPr>
                </w:p>
              </w:tc>
              <w:tc>
                <w:tcPr>
                  <w:tcW w:w="2084" w:type="pct"/>
                  <w:gridSpan w:val="3"/>
                  <w:vAlign w:val="center"/>
                </w:tcPr>
                <w:p w14:paraId="5502237F">
                  <w:pPr>
                    <w:widowControl/>
                    <w:snapToGrid w:val="0"/>
                    <w:jc w:val="center"/>
                    <w:rPr>
                      <w:color w:val="auto"/>
                      <w:kern w:val="0"/>
                      <w:szCs w:val="21"/>
                      <w:highlight w:val="none"/>
                    </w:rPr>
                  </w:pPr>
                  <w:r>
                    <w:rPr>
                      <w:color w:val="auto"/>
                      <w:kern w:val="0"/>
                      <w:szCs w:val="21"/>
                      <w:highlight w:val="none"/>
                    </w:rPr>
                    <w:t>NH</w:t>
                  </w:r>
                  <w:r>
                    <w:rPr>
                      <w:color w:val="auto"/>
                      <w:kern w:val="0"/>
                      <w:szCs w:val="21"/>
                      <w:highlight w:val="none"/>
                      <w:vertAlign w:val="subscript"/>
                    </w:rPr>
                    <w:t>3</w:t>
                  </w:r>
                  <w:r>
                    <w:rPr>
                      <w:color w:val="auto"/>
                      <w:kern w:val="0"/>
                      <w:szCs w:val="21"/>
                      <w:highlight w:val="none"/>
                    </w:rPr>
                    <w:t>-N</w:t>
                  </w:r>
                </w:p>
              </w:tc>
              <w:tc>
                <w:tcPr>
                  <w:tcW w:w="672" w:type="pct"/>
                  <w:vAlign w:val="bottom"/>
                </w:tcPr>
                <w:p w14:paraId="402FCDF6">
                  <w:pPr>
                    <w:keepNext w:val="0"/>
                    <w:keepLines w:val="0"/>
                    <w:widowControl/>
                    <w:suppressLineNumbers w:val="0"/>
                    <w:jc w:val="center"/>
                    <w:textAlignment w:val="bottom"/>
                    <w:rPr>
                      <w:color w:val="auto"/>
                      <w:sz w:val="22"/>
                      <w:szCs w:val="22"/>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0.07 </w:t>
                  </w:r>
                </w:p>
              </w:tc>
            </w:tr>
          </w:tbl>
          <w:p w14:paraId="7E449BC9">
            <w:pPr>
              <w:ind w:firstLine="210" w:firstLineChars="100"/>
              <w:rPr>
                <w:rFonts w:hint="eastAsia" w:eastAsia="宋体"/>
                <w:color w:val="auto"/>
                <w:highlight w:val="none"/>
                <w:lang w:eastAsia="zh-CN"/>
              </w:rPr>
            </w:pPr>
            <w:r>
              <w:rPr>
                <w:rFonts w:hint="eastAsia"/>
                <w:color w:val="auto"/>
                <w:highlight w:val="none"/>
                <w:lang w:eastAsia="zh-CN"/>
              </w:rPr>
              <w:t>注：日排放量为日均排放量。</w:t>
            </w:r>
          </w:p>
        </w:tc>
      </w:tr>
    </w:tbl>
    <w:p w14:paraId="24F26603">
      <w:pPr>
        <w:rPr>
          <w:color w:val="auto"/>
          <w:highlight w:val="none"/>
        </w:rPr>
      </w:pPr>
    </w:p>
    <w:p w14:paraId="21AA935A">
      <w:pPr>
        <w:rPr>
          <w:color w:val="auto"/>
          <w:highlight w:val="none"/>
        </w:rPr>
        <w:sectPr>
          <w:pgSz w:w="16838" w:h="11906" w:orient="landscape"/>
          <w:pgMar w:top="1531" w:right="1701" w:bottom="1531" w:left="1701" w:header="851" w:footer="851" w:gutter="0"/>
          <w:cols w:space="720" w:num="1"/>
          <w:docGrid w:linePitch="312" w:charSpace="0"/>
        </w:sectPr>
      </w:pP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51523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85" w:hRule="atLeast"/>
          <w:jc w:val="center"/>
        </w:trPr>
        <w:tc>
          <w:tcPr>
            <w:tcW w:w="746" w:type="dxa"/>
            <w:tcMar>
              <w:left w:w="28" w:type="dxa"/>
              <w:right w:w="28" w:type="dxa"/>
            </w:tcMar>
            <w:vAlign w:val="center"/>
          </w:tcPr>
          <w:p w14:paraId="2B89F912">
            <w:pPr>
              <w:adjustRightInd w:val="0"/>
              <w:snapToGrid w:val="0"/>
              <w:jc w:val="center"/>
              <w:rPr>
                <w:rFonts w:ascii="宋体" w:hAnsi="宋体" w:cs="宋体"/>
                <w:bCs/>
                <w:color w:val="auto"/>
                <w:sz w:val="26"/>
                <w:szCs w:val="26"/>
                <w:highlight w:val="none"/>
              </w:rPr>
            </w:pPr>
            <w:r>
              <w:rPr>
                <w:rFonts w:hint="eastAsia" w:ascii="宋体" w:hAnsi="宋体" w:cs="宋体"/>
                <w:bCs/>
                <w:color w:val="auto"/>
                <w:sz w:val="26"/>
                <w:szCs w:val="26"/>
                <w:highlight w:val="none"/>
              </w:rPr>
              <w:t>运营</w:t>
            </w:r>
          </w:p>
          <w:p w14:paraId="12EF6108">
            <w:pPr>
              <w:adjustRightInd w:val="0"/>
              <w:snapToGrid w:val="0"/>
              <w:jc w:val="center"/>
              <w:rPr>
                <w:rFonts w:ascii="宋体" w:hAnsi="宋体" w:cs="宋体"/>
                <w:bCs/>
                <w:color w:val="auto"/>
                <w:sz w:val="26"/>
                <w:szCs w:val="26"/>
                <w:highlight w:val="none"/>
              </w:rPr>
            </w:pPr>
            <w:r>
              <w:rPr>
                <w:rFonts w:hint="eastAsia" w:ascii="宋体" w:hAnsi="宋体" w:cs="宋体"/>
                <w:bCs/>
                <w:color w:val="auto"/>
                <w:sz w:val="26"/>
                <w:szCs w:val="26"/>
                <w:highlight w:val="none"/>
              </w:rPr>
              <w:t>期环</w:t>
            </w:r>
          </w:p>
          <w:p w14:paraId="2D4DCBFC">
            <w:pPr>
              <w:adjustRightInd w:val="0"/>
              <w:snapToGrid w:val="0"/>
              <w:jc w:val="center"/>
              <w:rPr>
                <w:rFonts w:ascii="宋体" w:hAnsi="宋体" w:cs="宋体"/>
                <w:bCs/>
                <w:color w:val="auto"/>
                <w:sz w:val="26"/>
                <w:szCs w:val="26"/>
                <w:highlight w:val="none"/>
              </w:rPr>
            </w:pPr>
            <w:r>
              <w:rPr>
                <w:rFonts w:hint="eastAsia" w:ascii="宋体" w:hAnsi="宋体" w:cs="宋体"/>
                <w:bCs/>
                <w:color w:val="auto"/>
                <w:sz w:val="26"/>
                <w:szCs w:val="26"/>
                <w:highlight w:val="none"/>
              </w:rPr>
              <w:t>境影</w:t>
            </w:r>
          </w:p>
          <w:p w14:paraId="79E63ABD">
            <w:pPr>
              <w:adjustRightInd w:val="0"/>
              <w:snapToGrid w:val="0"/>
              <w:jc w:val="center"/>
              <w:rPr>
                <w:rFonts w:ascii="宋体" w:hAnsi="宋体" w:cs="宋体"/>
                <w:bCs/>
                <w:color w:val="auto"/>
                <w:sz w:val="26"/>
                <w:szCs w:val="26"/>
                <w:highlight w:val="none"/>
              </w:rPr>
            </w:pPr>
            <w:r>
              <w:rPr>
                <w:rFonts w:hint="eastAsia" w:ascii="宋体" w:hAnsi="宋体" w:cs="宋体"/>
                <w:bCs/>
                <w:color w:val="auto"/>
                <w:sz w:val="26"/>
                <w:szCs w:val="26"/>
                <w:highlight w:val="none"/>
              </w:rPr>
              <w:t>响和</w:t>
            </w:r>
          </w:p>
          <w:p w14:paraId="0A2924ED">
            <w:pPr>
              <w:adjustRightInd w:val="0"/>
              <w:snapToGrid w:val="0"/>
              <w:jc w:val="center"/>
              <w:rPr>
                <w:rFonts w:ascii="宋体" w:hAnsi="宋体" w:cs="宋体"/>
                <w:bCs/>
                <w:color w:val="auto"/>
                <w:sz w:val="26"/>
                <w:szCs w:val="26"/>
                <w:highlight w:val="none"/>
              </w:rPr>
            </w:pPr>
            <w:r>
              <w:rPr>
                <w:rFonts w:hint="eastAsia" w:ascii="宋体" w:hAnsi="宋体" w:cs="宋体"/>
                <w:bCs/>
                <w:color w:val="auto"/>
                <w:sz w:val="26"/>
                <w:szCs w:val="26"/>
                <w:highlight w:val="none"/>
              </w:rPr>
              <w:t>保护</w:t>
            </w:r>
          </w:p>
          <w:p w14:paraId="7C42621C">
            <w:pPr>
              <w:adjustRightInd w:val="0"/>
              <w:snapToGrid w:val="0"/>
              <w:jc w:val="center"/>
              <w:rPr>
                <w:rFonts w:ascii="宋体" w:hAnsi="宋体" w:cs="宋体"/>
                <w:bCs/>
                <w:color w:val="auto"/>
                <w:szCs w:val="21"/>
                <w:highlight w:val="none"/>
              </w:rPr>
            </w:pPr>
            <w:r>
              <w:rPr>
                <w:rFonts w:hint="eastAsia" w:ascii="宋体" w:hAnsi="宋体" w:cs="宋体"/>
                <w:bCs/>
                <w:color w:val="auto"/>
                <w:sz w:val="26"/>
                <w:szCs w:val="26"/>
                <w:highlight w:val="none"/>
              </w:rPr>
              <w:t>措施</w:t>
            </w:r>
          </w:p>
        </w:tc>
        <w:tc>
          <w:tcPr>
            <w:tcW w:w="8162" w:type="dxa"/>
            <w:vAlign w:val="center"/>
          </w:tcPr>
          <w:p w14:paraId="0DE48EA6">
            <w:pPr>
              <w:snapToGrid w:val="0"/>
              <w:spacing w:line="480" w:lineRule="exact"/>
              <w:ind w:firstLine="482" w:firstLineChars="200"/>
              <w:rPr>
                <w:b/>
                <w:color w:val="auto"/>
                <w:spacing w:val="-10"/>
                <w:sz w:val="26"/>
                <w:szCs w:val="26"/>
                <w:highlight w:val="none"/>
              </w:rPr>
            </w:pPr>
            <w:r>
              <w:rPr>
                <w:rFonts w:hint="eastAsia"/>
                <w:b/>
                <w:color w:val="auto"/>
                <w:spacing w:val="-10"/>
                <w:sz w:val="26"/>
                <w:szCs w:val="26"/>
                <w:highlight w:val="none"/>
              </w:rPr>
              <w:t>4.2.2.2</w:t>
            </w:r>
            <w:r>
              <w:rPr>
                <w:rFonts w:hint="eastAsia"/>
                <w:b/>
                <w:color w:val="auto"/>
                <w:sz w:val="26"/>
                <w:szCs w:val="26"/>
                <w:highlight w:val="none"/>
              </w:rPr>
              <w:t>治理设施可行性分析</w:t>
            </w:r>
          </w:p>
          <w:p w14:paraId="1C27687F">
            <w:pPr>
              <w:autoSpaceDE w:val="0"/>
              <w:autoSpaceDN w:val="0"/>
              <w:adjustRightInd w:val="0"/>
              <w:spacing w:line="480" w:lineRule="exact"/>
              <w:ind w:firstLine="522" w:firstLineChars="200"/>
              <w:rPr>
                <w:b/>
                <w:bCs/>
                <w:color w:val="auto"/>
                <w:kern w:val="0"/>
                <w:sz w:val="26"/>
                <w:szCs w:val="26"/>
                <w:highlight w:val="none"/>
              </w:rPr>
            </w:pPr>
            <w:r>
              <w:rPr>
                <w:rFonts w:hint="eastAsia"/>
                <w:b/>
                <w:bCs/>
                <w:color w:val="auto"/>
                <w:kern w:val="0"/>
                <w:sz w:val="26"/>
                <w:szCs w:val="26"/>
                <w:highlight w:val="none"/>
              </w:rPr>
              <w:t xml:space="preserve">（1）利用重庆友拓汽车零部件有限公司已建综合生化池可行性分析 </w:t>
            </w:r>
          </w:p>
          <w:p w14:paraId="4C153939">
            <w:pPr>
              <w:autoSpaceDE w:val="0"/>
              <w:autoSpaceDN w:val="0"/>
              <w:adjustRightInd w:val="0"/>
              <w:spacing w:line="480" w:lineRule="exact"/>
              <w:ind w:firstLine="520" w:firstLineChars="200"/>
              <w:rPr>
                <w:color w:val="auto"/>
                <w:kern w:val="0"/>
                <w:sz w:val="26"/>
                <w:szCs w:val="26"/>
                <w:highlight w:val="none"/>
              </w:rPr>
            </w:pPr>
            <w:r>
              <w:rPr>
                <w:rFonts w:hint="eastAsia"/>
                <w:color w:val="auto"/>
                <w:kern w:val="0"/>
                <w:sz w:val="26"/>
                <w:szCs w:val="26"/>
                <w:highlight w:val="none"/>
              </w:rPr>
              <w:t>本项目利用重庆友拓汽车零部件有限公司已建综合生化池处理废水。该生化池设计处理能力为30m</w:t>
            </w:r>
            <w:r>
              <w:rPr>
                <w:rFonts w:hint="eastAsia"/>
                <w:color w:val="auto"/>
                <w:kern w:val="0"/>
                <w:sz w:val="26"/>
                <w:szCs w:val="26"/>
                <w:highlight w:val="none"/>
                <w:vertAlign w:val="superscript"/>
              </w:rPr>
              <w:t>3</w:t>
            </w:r>
            <w:r>
              <w:rPr>
                <w:rFonts w:hint="eastAsia"/>
                <w:color w:val="auto"/>
                <w:kern w:val="0"/>
                <w:sz w:val="26"/>
                <w:szCs w:val="26"/>
                <w:highlight w:val="none"/>
              </w:rPr>
              <w:t>/d，可正常使用。本次技改后，将替代原重庆友拓汽车零部件有限公司合川厂区工程建设项目，废水最大日排放量为</w:t>
            </w:r>
            <w:r>
              <w:rPr>
                <w:rFonts w:hint="eastAsia"/>
                <w:color w:val="auto"/>
                <w:kern w:val="0"/>
                <w:sz w:val="26"/>
                <w:szCs w:val="26"/>
                <w:highlight w:val="none"/>
                <w:lang w:val="en-US" w:eastAsia="zh-CN"/>
              </w:rPr>
              <w:t>28</w:t>
            </w:r>
            <w:r>
              <w:rPr>
                <w:rFonts w:hint="eastAsia"/>
                <w:color w:val="auto"/>
                <w:kern w:val="0"/>
                <w:sz w:val="26"/>
                <w:szCs w:val="26"/>
                <w:highlight w:val="none"/>
                <w:lang w:eastAsia="zh-CN"/>
              </w:rPr>
              <w:t>.</w:t>
            </w:r>
            <w:r>
              <w:rPr>
                <w:rFonts w:hint="eastAsia"/>
                <w:color w:val="auto"/>
                <w:kern w:val="0"/>
                <w:sz w:val="26"/>
                <w:szCs w:val="26"/>
                <w:highlight w:val="none"/>
                <w:lang w:val="en-US" w:eastAsia="zh-CN"/>
              </w:rPr>
              <w:t>3</w:t>
            </w:r>
            <w:r>
              <w:rPr>
                <w:rFonts w:hint="eastAsia"/>
                <w:color w:val="auto"/>
                <w:kern w:val="0"/>
                <w:sz w:val="26"/>
                <w:szCs w:val="26"/>
                <w:highlight w:val="none"/>
                <w:lang w:eastAsia="zh-CN"/>
              </w:rPr>
              <w:t>3</w:t>
            </w:r>
            <w:r>
              <w:rPr>
                <w:rFonts w:hint="eastAsia"/>
                <w:color w:val="auto"/>
                <w:kern w:val="0"/>
                <w:sz w:val="26"/>
                <w:szCs w:val="26"/>
                <w:highlight w:val="none"/>
              </w:rPr>
              <w:t>m</w:t>
            </w:r>
            <w:r>
              <w:rPr>
                <w:rFonts w:hint="eastAsia"/>
                <w:color w:val="auto"/>
                <w:kern w:val="0"/>
                <w:sz w:val="26"/>
                <w:szCs w:val="26"/>
                <w:highlight w:val="none"/>
                <w:vertAlign w:val="superscript"/>
              </w:rPr>
              <w:t>3</w:t>
            </w:r>
            <w:r>
              <w:rPr>
                <w:rFonts w:hint="eastAsia"/>
                <w:color w:val="auto"/>
                <w:kern w:val="0"/>
                <w:sz w:val="26"/>
                <w:szCs w:val="26"/>
                <w:highlight w:val="none"/>
              </w:rPr>
              <w:t>/d，该综合生化池能够满足项目废水处理规模需求。本项目生产废水、生活污水所含污染物简单，主要污染物为COD、BOD</w:t>
            </w:r>
            <w:r>
              <w:rPr>
                <w:rFonts w:hint="eastAsia"/>
                <w:color w:val="auto"/>
                <w:kern w:val="0"/>
                <w:sz w:val="26"/>
                <w:szCs w:val="26"/>
                <w:highlight w:val="none"/>
                <w:vertAlign w:val="subscript"/>
              </w:rPr>
              <w:t>5</w:t>
            </w:r>
            <w:r>
              <w:rPr>
                <w:rFonts w:hint="eastAsia"/>
                <w:color w:val="auto"/>
                <w:kern w:val="0"/>
                <w:sz w:val="26"/>
                <w:szCs w:val="26"/>
                <w:highlight w:val="none"/>
              </w:rPr>
              <w:t>、SS、氨氮及少量石油类，且浓度较低，属于易生化类型废水</w:t>
            </w:r>
            <w:r>
              <w:rPr>
                <w:rFonts w:hint="eastAsia"/>
                <w:color w:val="auto"/>
                <w:kern w:val="0"/>
                <w:sz w:val="26"/>
                <w:szCs w:val="26"/>
                <w:highlight w:val="none"/>
                <w:lang w:eastAsia="zh-CN"/>
              </w:rPr>
              <w:t>。</w:t>
            </w:r>
            <w:r>
              <w:rPr>
                <w:rFonts w:hint="eastAsia"/>
                <w:color w:val="auto"/>
                <w:kern w:val="0"/>
                <w:sz w:val="26"/>
                <w:szCs w:val="26"/>
                <w:highlight w:val="none"/>
              </w:rPr>
              <w:t>本项目利旧综合生化池主要采用“格栅+初沉+厌氧”，是一种成熟可靠的预处理技术+生物处理技术，该处理工艺属于《排污许可证申请与核发技术规范 汽车制造业》（HJ 971-2018）中表26 汽车制造业废</w:t>
            </w:r>
            <w:r>
              <w:rPr>
                <w:rFonts w:hint="eastAsia"/>
                <w:color w:val="auto"/>
                <w:kern w:val="0"/>
                <w:sz w:val="26"/>
                <w:szCs w:val="26"/>
                <w:highlight w:val="none"/>
                <w:lang w:eastAsia="zh-CN"/>
              </w:rPr>
              <w:t>水</w:t>
            </w:r>
            <w:r>
              <w:rPr>
                <w:rFonts w:hint="eastAsia"/>
                <w:color w:val="auto"/>
                <w:kern w:val="0"/>
                <w:sz w:val="26"/>
                <w:szCs w:val="26"/>
                <w:highlight w:val="none"/>
              </w:rPr>
              <w:t>污染治理推荐可行技术清单和《汽车工业污染防治可行技术指南》（HJ 1181—2021）中污染防治可行技术，广泛运用于工业企业中，处理后满足《污水综合排放标准》（GB8978-1996）中三级标准要求，治理措施可行。</w:t>
            </w:r>
          </w:p>
          <w:p w14:paraId="0AE7A114">
            <w:pPr>
              <w:autoSpaceDE w:val="0"/>
              <w:autoSpaceDN w:val="0"/>
              <w:adjustRightInd w:val="0"/>
              <w:spacing w:line="480" w:lineRule="exact"/>
              <w:ind w:firstLine="520" w:firstLineChars="200"/>
              <w:rPr>
                <w:color w:val="auto"/>
                <w:kern w:val="0"/>
                <w:sz w:val="26"/>
                <w:szCs w:val="26"/>
                <w:highlight w:val="none"/>
              </w:rPr>
            </w:pPr>
            <w:r>
              <w:rPr>
                <w:rFonts w:hint="eastAsia"/>
                <w:color w:val="auto"/>
                <w:kern w:val="0"/>
                <w:sz w:val="26"/>
                <w:szCs w:val="26"/>
                <w:highlight w:val="none"/>
              </w:rPr>
              <w:t>综上，项目废水利用重庆友拓汽车零部件有限公司已建综合生化池可行。</w:t>
            </w:r>
          </w:p>
          <w:p w14:paraId="315DEDCC">
            <w:pPr>
              <w:autoSpaceDE w:val="0"/>
              <w:autoSpaceDN w:val="0"/>
              <w:adjustRightInd w:val="0"/>
              <w:spacing w:line="480" w:lineRule="exact"/>
              <w:ind w:firstLine="522" w:firstLineChars="200"/>
              <w:rPr>
                <w:b/>
                <w:bCs/>
                <w:color w:val="auto"/>
                <w:kern w:val="0"/>
                <w:sz w:val="26"/>
                <w:szCs w:val="26"/>
                <w:highlight w:val="none"/>
              </w:rPr>
            </w:pPr>
            <w:r>
              <w:rPr>
                <w:rFonts w:hint="eastAsia"/>
                <w:b/>
                <w:bCs/>
                <w:color w:val="auto"/>
                <w:kern w:val="0"/>
                <w:sz w:val="26"/>
                <w:szCs w:val="26"/>
                <w:highlight w:val="none"/>
              </w:rPr>
              <w:t>（2）依托银翔</w:t>
            </w:r>
            <w:r>
              <w:rPr>
                <w:rFonts w:hint="eastAsia"/>
                <w:b/>
                <w:bCs/>
                <w:color w:val="auto"/>
                <w:kern w:val="0"/>
                <w:sz w:val="26"/>
                <w:szCs w:val="26"/>
                <w:highlight w:val="none"/>
                <w:lang w:eastAsia="zh-CN"/>
              </w:rPr>
              <w:t>新城</w:t>
            </w:r>
            <w:r>
              <w:rPr>
                <w:rFonts w:hint="eastAsia"/>
                <w:b/>
                <w:bCs/>
                <w:color w:val="auto"/>
                <w:kern w:val="0"/>
                <w:sz w:val="26"/>
                <w:szCs w:val="26"/>
                <w:highlight w:val="none"/>
              </w:rPr>
              <w:t xml:space="preserve">污水处理厂可行性分析 </w:t>
            </w:r>
          </w:p>
          <w:p w14:paraId="498F8A04">
            <w:pPr>
              <w:autoSpaceDE w:val="0"/>
              <w:autoSpaceDN w:val="0"/>
              <w:adjustRightInd w:val="0"/>
              <w:spacing w:line="480" w:lineRule="exact"/>
              <w:ind w:firstLine="520" w:firstLineChars="200"/>
              <w:rPr>
                <w:color w:val="auto"/>
                <w:kern w:val="0"/>
                <w:sz w:val="26"/>
                <w:szCs w:val="26"/>
                <w:highlight w:val="none"/>
              </w:rPr>
            </w:pPr>
            <w:r>
              <w:rPr>
                <w:rFonts w:hint="eastAsia"/>
                <w:color w:val="auto"/>
                <w:kern w:val="0"/>
                <w:sz w:val="26"/>
                <w:szCs w:val="26"/>
                <w:highlight w:val="none"/>
              </w:rPr>
              <w:t>银翔</w:t>
            </w:r>
            <w:r>
              <w:rPr>
                <w:rFonts w:hint="eastAsia"/>
                <w:color w:val="auto"/>
                <w:kern w:val="0"/>
                <w:sz w:val="26"/>
                <w:szCs w:val="26"/>
                <w:highlight w:val="none"/>
                <w:lang w:eastAsia="zh-CN"/>
              </w:rPr>
              <w:t>新城</w:t>
            </w:r>
            <w:r>
              <w:rPr>
                <w:rFonts w:hint="eastAsia"/>
                <w:color w:val="auto"/>
                <w:kern w:val="0"/>
                <w:sz w:val="26"/>
                <w:szCs w:val="26"/>
                <w:highlight w:val="none"/>
              </w:rPr>
              <w:t>污水处理厂处理规模10000m³/d，采用CASS处理工艺，设计出水水质《城镇污水处理厂污染物排放标准》（GB 18918—2002）一级A标准，污水处理厂于2016年11月8日通过验收，目前园区污水管网完善，项目周边市政污水管网均已接入园区污水处理厂。据调查，现有</w:t>
            </w:r>
            <w:r>
              <w:rPr>
                <w:rFonts w:hint="eastAsia"/>
                <w:color w:val="auto"/>
                <w:kern w:val="0"/>
                <w:sz w:val="26"/>
                <w:szCs w:val="26"/>
                <w:highlight w:val="none"/>
                <w:lang w:eastAsia="zh-CN"/>
              </w:rPr>
              <w:t>实际</w:t>
            </w:r>
            <w:r>
              <w:rPr>
                <w:rFonts w:hint="eastAsia"/>
                <w:color w:val="auto"/>
                <w:kern w:val="0"/>
                <w:sz w:val="26"/>
                <w:szCs w:val="26"/>
                <w:highlight w:val="none"/>
              </w:rPr>
              <w:t>处理</w:t>
            </w:r>
            <w:r>
              <w:rPr>
                <w:rFonts w:hint="eastAsia"/>
                <w:color w:val="auto"/>
                <w:kern w:val="0"/>
                <w:sz w:val="26"/>
                <w:szCs w:val="26"/>
                <w:highlight w:val="none"/>
                <w:lang w:eastAsia="zh-CN"/>
              </w:rPr>
              <w:t>量</w:t>
            </w:r>
            <w:r>
              <w:rPr>
                <w:rFonts w:hint="eastAsia"/>
                <w:color w:val="auto"/>
                <w:kern w:val="0"/>
                <w:sz w:val="26"/>
                <w:szCs w:val="26"/>
                <w:highlight w:val="none"/>
              </w:rPr>
              <w:t>约7000m³/d。尚有污水处理余量3000m³/d，项目外排污水符合园区污水处理厂进水水质要求，不会对污水处理厂的正常运营造成影响。因此项目废水排入园区污水处理厂是可行的。</w:t>
            </w:r>
          </w:p>
          <w:p w14:paraId="3F29B595">
            <w:pPr>
              <w:autoSpaceDE w:val="0"/>
              <w:autoSpaceDN w:val="0"/>
              <w:adjustRightInd w:val="0"/>
              <w:spacing w:line="480" w:lineRule="exact"/>
              <w:ind w:firstLine="520" w:firstLineChars="200"/>
              <w:rPr>
                <w:color w:val="auto"/>
                <w:kern w:val="0"/>
                <w:sz w:val="26"/>
                <w:szCs w:val="26"/>
                <w:highlight w:val="none"/>
              </w:rPr>
            </w:pPr>
            <w:r>
              <w:rPr>
                <w:rFonts w:hint="eastAsia"/>
                <w:color w:val="auto"/>
                <w:kern w:val="0"/>
                <w:sz w:val="26"/>
                <w:szCs w:val="26"/>
                <w:highlight w:val="none"/>
              </w:rPr>
              <w:t>综上所述，本项目废水经处理达到《污水综合排放标准》（GB 8978-1996）三级标准后，排入园区污水处理厂集中处理，从水质、水量等因素分析均</w:t>
            </w:r>
            <w:bookmarkStart w:id="85" w:name="hmcheck_4d15abccec7d4ef7955099cc771b445a"/>
            <w:r>
              <w:rPr>
                <w:rFonts w:hint="eastAsia"/>
                <w:color w:val="auto"/>
                <w:kern w:val="0"/>
                <w:sz w:val="26"/>
                <w:szCs w:val="26"/>
                <w:highlight w:val="none"/>
                <w:shd w:val="clear" w:fill="FFAFAA"/>
              </w:rPr>
              <w:t>依托</w:t>
            </w:r>
            <w:bookmarkEnd w:id="85"/>
            <w:r>
              <w:rPr>
                <w:rFonts w:hint="eastAsia"/>
                <w:color w:val="auto"/>
                <w:kern w:val="0"/>
                <w:sz w:val="26"/>
                <w:szCs w:val="26"/>
                <w:highlight w:val="none"/>
              </w:rPr>
              <w:t>可行，不会对园区污水处理厂造成冲击，达标排放的废水对柏水溪水质的影响可接受，不会影响其水域功能。</w:t>
            </w:r>
          </w:p>
          <w:p w14:paraId="247661E3">
            <w:pPr>
              <w:adjustRightInd w:val="0"/>
              <w:snapToGrid w:val="0"/>
              <w:spacing w:line="480" w:lineRule="exact"/>
              <w:ind w:firstLine="482" w:firstLineChars="200"/>
              <w:rPr>
                <w:b/>
                <w:bCs/>
                <w:color w:val="auto"/>
                <w:spacing w:val="-10"/>
                <w:sz w:val="26"/>
                <w:szCs w:val="26"/>
                <w:highlight w:val="none"/>
              </w:rPr>
            </w:pPr>
            <w:r>
              <w:rPr>
                <w:rFonts w:hint="eastAsia"/>
                <w:b/>
                <w:bCs/>
                <w:color w:val="auto"/>
                <w:spacing w:val="-10"/>
                <w:sz w:val="26"/>
                <w:szCs w:val="26"/>
                <w:highlight w:val="none"/>
              </w:rPr>
              <w:t>4.2.2.3</w:t>
            </w:r>
            <w:r>
              <w:rPr>
                <w:b/>
                <w:bCs/>
                <w:color w:val="auto"/>
                <w:spacing w:val="-10"/>
                <w:sz w:val="26"/>
                <w:szCs w:val="26"/>
                <w:highlight w:val="none"/>
              </w:rPr>
              <w:t>监测要求</w:t>
            </w:r>
          </w:p>
          <w:p w14:paraId="0131112B">
            <w:pPr>
              <w:snapToGrid w:val="0"/>
              <w:spacing w:line="480" w:lineRule="exact"/>
              <w:ind w:firstLine="520" w:firstLineChars="200"/>
              <w:rPr>
                <w:color w:val="auto"/>
                <w:kern w:val="0"/>
                <w:sz w:val="26"/>
                <w:szCs w:val="26"/>
                <w:highlight w:val="none"/>
              </w:rPr>
            </w:pPr>
            <w:r>
              <w:rPr>
                <w:rFonts w:hint="eastAsia"/>
                <w:color w:val="auto"/>
                <w:kern w:val="0"/>
                <w:sz w:val="26"/>
                <w:szCs w:val="26"/>
                <w:highlight w:val="none"/>
              </w:rPr>
              <w:t>根据</w:t>
            </w:r>
            <w:r>
              <w:rPr>
                <w:color w:val="auto"/>
                <w:sz w:val="26"/>
                <w:szCs w:val="26"/>
                <w:highlight w:val="none"/>
              </w:rPr>
              <w:t xml:space="preserve">《排污许可证申请与核发技术规范 </w:t>
            </w:r>
            <w:r>
              <w:rPr>
                <w:rFonts w:hint="eastAsia"/>
                <w:color w:val="auto"/>
                <w:sz w:val="26"/>
                <w:szCs w:val="26"/>
                <w:highlight w:val="none"/>
              </w:rPr>
              <w:t>汽车制造业</w:t>
            </w:r>
            <w:r>
              <w:rPr>
                <w:color w:val="auto"/>
                <w:sz w:val="26"/>
                <w:szCs w:val="26"/>
                <w:highlight w:val="none"/>
              </w:rPr>
              <w:t>》</w:t>
            </w:r>
            <w:r>
              <w:rPr>
                <w:rFonts w:hint="eastAsia"/>
                <w:color w:val="auto"/>
                <w:sz w:val="26"/>
                <w:szCs w:val="26"/>
                <w:highlight w:val="none"/>
                <w:lang w:eastAsia="zh-CN"/>
              </w:rPr>
              <w:t>（</w:t>
            </w:r>
            <w:r>
              <w:rPr>
                <w:color w:val="auto"/>
                <w:sz w:val="26"/>
                <w:szCs w:val="26"/>
                <w:highlight w:val="none"/>
              </w:rPr>
              <w:t>HJ9</w:t>
            </w:r>
            <w:r>
              <w:rPr>
                <w:rFonts w:hint="eastAsia"/>
                <w:color w:val="auto"/>
                <w:sz w:val="26"/>
                <w:szCs w:val="26"/>
                <w:highlight w:val="none"/>
              </w:rPr>
              <w:t>71</w:t>
            </w:r>
            <w:r>
              <w:rPr>
                <w:color w:val="auto"/>
                <w:sz w:val="26"/>
                <w:szCs w:val="26"/>
                <w:highlight w:val="none"/>
              </w:rPr>
              <w:t>-2018）、《排污单位自行监测技术指南 总则》（HJ 819-2017）</w:t>
            </w:r>
            <w:r>
              <w:rPr>
                <w:rFonts w:hint="eastAsia"/>
                <w:color w:val="auto"/>
                <w:kern w:val="0"/>
                <w:sz w:val="26"/>
                <w:szCs w:val="26"/>
                <w:highlight w:val="none"/>
              </w:rPr>
              <w:t>提出</w:t>
            </w:r>
            <w:r>
              <w:rPr>
                <w:color w:val="auto"/>
                <w:kern w:val="0"/>
                <w:sz w:val="26"/>
                <w:szCs w:val="26"/>
                <w:highlight w:val="none"/>
              </w:rPr>
              <w:t>本项目废</w:t>
            </w:r>
            <w:r>
              <w:rPr>
                <w:rFonts w:hint="eastAsia"/>
                <w:color w:val="auto"/>
                <w:kern w:val="0"/>
                <w:sz w:val="26"/>
                <w:szCs w:val="26"/>
                <w:highlight w:val="none"/>
              </w:rPr>
              <w:t>水</w:t>
            </w:r>
            <w:r>
              <w:rPr>
                <w:color w:val="auto"/>
                <w:kern w:val="0"/>
                <w:sz w:val="26"/>
                <w:szCs w:val="26"/>
                <w:highlight w:val="none"/>
              </w:rPr>
              <w:t>污染源监测计划。</w:t>
            </w:r>
            <w:r>
              <w:rPr>
                <w:rFonts w:hint="eastAsia"/>
                <w:color w:val="auto"/>
                <w:kern w:val="0"/>
                <w:sz w:val="26"/>
                <w:szCs w:val="26"/>
                <w:highlight w:val="none"/>
              </w:rPr>
              <w:t xml:space="preserve"> </w:t>
            </w:r>
          </w:p>
          <w:p w14:paraId="63564C2B">
            <w:pPr>
              <w:snapToGrid w:val="0"/>
              <w:jc w:val="center"/>
              <w:rPr>
                <w:color w:val="auto"/>
                <w:kern w:val="0"/>
                <w:sz w:val="26"/>
                <w:szCs w:val="26"/>
                <w:highlight w:val="none"/>
              </w:rPr>
            </w:pPr>
          </w:p>
          <w:p w14:paraId="17EF5091">
            <w:pPr>
              <w:snapToGrid w:val="0"/>
              <w:jc w:val="center"/>
              <w:rPr>
                <w:bCs/>
                <w:color w:val="auto"/>
                <w:kern w:val="0"/>
                <w:sz w:val="26"/>
                <w:szCs w:val="26"/>
                <w:highlight w:val="none"/>
              </w:rPr>
            </w:pPr>
            <w:r>
              <w:rPr>
                <w:rFonts w:hint="eastAsia"/>
                <w:bCs/>
                <w:color w:val="auto"/>
                <w:kern w:val="0"/>
                <w:sz w:val="26"/>
                <w:szCs w:val="26"/>
                <w:highlight w:val="none"/>
              </w:rPr>
              <w:t>4.2-12</w:t>
            </w:r>
            <w:r>
              <w:rPr>
                <w:bCs/>
                <w:color w:val="auto"/>
                <w:kern w:val="0"/>
                <w:sz w:val="26"/>
                <w:szCs w:val="26"/>
                <w:highlight w:val="none"/>
              </w:rPr>
              <w:t xml:space="preserve">  </w:t>
            </w:r>
            <w:r>
              <w:rPr>
                <w:rFonts w:hint="eastAsia"/>
                <w:bCs/>
                <w:color w:val="auto"/>
                <w:kern w:val="0"/>
                <w:sz w:val="26"/>
                <w:szCs w:val="26"/>
                <w:highlight w:val="none"/>
              </w:rPr>
              <w:t xml:space="preserve"> 项目废水监测</w:t>
            </w:r>
            <w:r>
              <w:rPr>
                <w:bCs/>
                <w:color w:val="auto"/>
                <w:kern w:val="0"/>
                <w:sz w:val="26"/>
                <w:szCs w:val="26"/>
                <w:highlight w:val="none"/>
              </w:rPr>
              <w:t>计划表</w:t>
            </w:r>
          </w:p>
          <w:tbl>
            <w:tblPr>
              <w:tblStyle w:val="16"/>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276"/>
              <w:gridCol w:w="1559"/>
              <w:gridCol w:w="1418"/>
              <w:gridCol w:w="2555"/>
            </w:tblGrid>
            <w:tr w14:paraId="7E51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dxa"/>
                </w:tcPr>
                <w:p w14:paraId="26369ECB">
                  <w:pPr>
                    <w:snapToGrid w:val="0"/>
                    <w:ind w:left="-21" w:leftChars="-10" w:right="-21" w:rightChars="-10"/>
                    <w:jc w:val="center"/>
                    <w:rPr>
                      <w:color w:val="auto"/>
                      <w:kern w:val="0"/>
                      <w:sz w:val="22"/>
                      <w:szCs w:val="22"/>
                      <w:highlight w:val="none"/>
                    </w:rPr>
                  </w:pPr>
                  <w:r>
                    <w:rPr>
                      <w:color w:val="auto"/>
                      <w:kern w:val="0"/>
                      <w:sz w:val="22"/>
                      <w:szCs w:val="22"/>
                      <w:highlight w:val="none"/>
                    </w:rPr>
                    <w:t>项目</w:t>
                  </w:r>
                </w:p>
              </w:tc>
              <w:tc>
                <w:tcPr>
                  <w:tcW w:w="1276" w:type="dxa"/>
                </w:tcPr>
                <w:p w14:paraId="09C27AA5">
                  <w:pPr>
                    <w:snapToGrid w:val="0"/>
                    <w:ind w:left="-21" w:leftChars="-10" w:right="-21" w:rightChars="-10"/>
                    <w:jc w:val="center"/>
                    <w:rPr>
                      <w:color w:val="auto"/>
                      <w:kern w:val="0"/>
                      <w:sz w:val="22"/>
                      <w:szCs w:val="22"/>
                      <w:highlight w:val="none"/>
                    </w:rPr>
                  </w:pPr>
                  <w:r>
                    <w:rPr>
                      <w:color w:val="auto"/>
                      <w:kern w:val="0"/>
                      <w:sz w:val="22"/>
                      <w:szCs w:val="22"/>
                      <w:highlight w:val="none"/>
                    </w:rPr>
                    <w:t>监测点位</w:t>
                  </w:r>
                </w:p>
              </w:tc>
              <w:tc>
                <w:tcPr>
                  <w:tcW w:w="1559" w:type="dxa"/>
                </w:tcPr>
                <w:p w14:paraId="7A3BD055">
                  <w:pPr>
                    <w:snapToGrid w:val="0"/>
                    <w:ind w:left="-21" w:leftChars="-10" w:right="-21" w:rightChars="-10"/>
                    <w:jc w:val="center"/>
                    <w:rPr>
                      <w:color w:val="auto"/>
                      <w:kern w:val="0"/>
                      <w:sz w:val="22"/>
                      <w:szCs w:val="22"/>
                      <w:highlight w:val="none"/>
                    </w:rPr>
                  </w:pPr>
                  <w:r>
                    <w:rPr>
                      <w:color w:val="auto"/>
                      <w:kern w:val="0"/>
                      <w:sz w:val="22"/>
                      <w:szCs w:val="22"/>
                      <w:highlight w:val="none"/>
                    </w:rPr>
                    <w:t>监测指标</w:t>
                  </w:r>
                </w:p>
              </w:tc>
              <w:tc>
                <w:tcPr>
                  <w:tcW w:w="1418" w:type="dxa"/>
                </w:tcPr>
                <w:p w14:paraId="234D8CE5">
                  <w:pPr>
                    <w:snapToGrid w:val="0"/>
                    <w:ind w:left="-21" w:leftChars="-10" w:right="-21" w:rightChars="-10"/>
                    <w:jc w:val="center"/>
                    <w:rPr>
                      <w:color w:val="auto"/>
                      <w:kern w:val="0"/>
                      <w:sz w:val="22"/>
                      <w:szCs w:val="22"/>
                      <w:highlight w:val="none"/>
                    </w:rPr>
                  </w:pPr>
                  <w:r>
                    <w:rPr>
                      <w:color w:val="auto"/>
                      <w:kern w:val="0"/>
                      <w:sz w:val="22"/>
                      <w:szCs w:val="22"/>
                      <w:highlight w:val="none"/>
                    </w:rPr>
                    <w:t>监测频次</w:t>
                  </w:r>
                </w:p>
              </w:tc>
              <w:tc>
                <w:tcPr>
                  <w:tcW w:w="2555" w:type="dxa"/>
                </w:tcPr>
                <w:p w14:paraId="4468152B">
                  <w:pPr>
                    <w:snapToGrid w:val="0"/>
                    <w:ind w:left="-21" w:leftChars="-10" w:right="-21" w:rightChars="-10"/>
                    <w:jc w:val="center"/>
                    <w:rPr>
                      <w:color w:val="auto"/>
                      <w:kern w:val="0"/>
                      <w:sz w:val="22"/>
                      <w:szCs w:val="22"/>
                      <w:highlight w:val="none"/>
                    </w:rPr>
                  </w:pPr>
                  <w:r>
                    <w:rPr>
                      <w:color w:val="auto"/>
                      <w:kern w:val="0"/>
                      <w:sz w:val="22"/>
                      <w:szCs w:val="22"/>
                      <w:highlight w:val="none"/>
                    </w:rPr>
                    <w:t>执行排放</w:t>
                  </w:r>
                  <w:r>
                    <w:rPr>
                      <w:rFonts w:hint="eastAsia"/>
                      <w:color w:val="auto"/>
                      <w:kern w:val="0"/>
                      <w:sz w:val="22"/>
                      <w:szCs w:val="22"/>
                      <w:highlight w:val="none"/>
                    </w:rPr>
                    <w:t>标准</w:t>
                  </w:r>
                </w:p>
              </w:tc>
            </w:tr>
            <w:tr w14:paraId="565CF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dxa"/>
                  <w:vMerge w:val="restart"/>
                  <w:vAlign w:val="center"/>
                </w:tcPr>
                <w:p w14:paraId="55A2F21A">
                  <w:pPr>
                    <w:snapToGrid w:val="0"/>
                    <w:ind w:left="-21" w:leftChars="-10" w:right="-21" w:rightChars="-10"/>
                    <w:jc w:val="center"/>
                    <w:rPr>
                      <w:color w:val="auto"/>
                      <w:kern w:val="0"/>
                      <w:sz w:val="22"/>
                      <w:szCs w:val="22"/>
                      <w:highlight w:val="none"/>
                    </w:rPr>
                  </w:pPr>
                  <w:r>
                    <w:rPr>
                      <w:color w:val="auto"/>
                      <w:kern w:val="0"/>
                      <w:sz w:val="22"/>
                      <w:szCs w:val="22"/>
                      <w:highlight w:val="none"/>
                    </w:rPr>
                    <w:t>废水</w:t>
                  </w:r>
                </w:p>
              </w:tc>
              <w:tc>
                <w:tcPr>
                  <w:tcW w:w="1276" w:type="dxa"/>
                  <w:vMerge w:val="restart"/>
                  <w:vAlign w:val="center"/>
                </w:tcPr>
                <w:p w14:paraId="1794B556">
                  <w:pPr>
                    <w:snapToGrid w:val="0"/>
                    <w:ind w:left="-21" w:leftChars="-10" w:right="-21" w:rightChars="-10"/>
                    <w:jc w:val="center"/>
                    <w:rPr>
                      <w:color w:val="auto"/>
                      <w:kern w:val="0"/>
                      <w:sz w:val="22"/>
                      <w:szCs w:val="22"/>
                      <w:highlight w:val="none"/>
                    </w:rPr>
                  </w:pPr>
                  <w:r>
                    <w:rPr>
                      <w:rFonts w:hint="eastAsia"/>
                      <w:color w:val="auto"/>
                      <w:kern w:val="0"/>
                      <w:sz w:val="22"/>
                      <w:szCs w:val="22"/>
                      <w:highlight w:val="none"/>
                    </w:rPr>
                    <w:t>生化池排放口</w:t>
                  </w:r>
                  <w:r>
                    <w:rPr>
                      <w:color w:val="auto"/>
                      <w:kern w:val="0"/>
                      <w:sz w:val="22"/>
                      <w:szCs w:val="22"/>
                      <w:highlight w:val="none"/>
                    </w:rPr>
                    <w:t xml:space="preserve">DW001 </w:t>
                  </w:r>
                </w:p>
              </w:tc>
              <w:tc>
                <w:tcPr>
                  <w:tcW w:w="1559" w:type="dxa"/>
                  <w:vAlign w:val="center"/>
                </w:tcPr>
                <w:p w14:paraId="680C5400">
                  <w:pPr>
                    <w:snapToGrid w:val="0"/>
                    <w:ind w:left="-21" w:leftChars="-10" w:right="-21" w:rightChars="-10"/>
                    <w:jc w:val="center"/>
                    <w:rPr>
                      <w:color w:val="auto"/>
                      <w:kern w:val="0"/>
                      <w:sz w:val="22"/>
                      <w:szCs w:val="22"/>
                      <w:highlight w:val="none"/>
                    </w:rPr>
                  </w:pPr>
                  <w:r>
                    <w:rPr>
                      <w:color w:val="auto"/>
                      <w:sz w:val="22"/>
                      <w:szCs w:val="22"/>
                      <w:highlight w:val="none"/>
                    </w:rPr>
                    <w:t>pH、COD、NH</w:t>
                  </w:r>
                  <w:r>
                    <w:rPr>
                      <w:color w:val="auto"/>
                      <w:sz w:val="22"/>
                      <w:szCs w:val="22"/>
                      <w:highlight w:val="none"/>
                      <w:vertAlign w:val="subscript"/>
                    </w:rPr>
                    <w:t>3</w:t>
                  </w:r>
                  <w:r>
                    <w:rPr>
                      <w:color w:val="auto"/>
                      <w:sz w:val="22"/>
                      <w:szCs w:val="22"/>
                      <w:highlight w:val="none"/>
                    </w:rPr>
                    <w:t>-N</w:t>
                  </w:r>
                </w:p>
              </w:tc>
              <w:tc>
                <w:tcPr>
                  <w:tcW w:w="1418" w:type="dxa"/>
                  <w:vAlign w:val="center"/>
                </w:tcPr>
                <w:p w14:paraId="589C3F05">
                  <w:pPr>
                    <w:snapToGrid w:val="0"/>
                    <w:ind w:left="-21" w:leftChars="-10" w:right="-21" w:rightChars="-10"/>
                    <w:jc w:val="center"/>
                    <w:rPr>
                      <w:rFonts w:hint="eastAsia" w:eastAsia="宋体"/>
                      <w:color w:val="auto"/>
                      <w:sz w:val="22"/>
                      <w:szCs w:val="22"/>
                      <w:highlight w:val="none"/>
                      <w:lang w:eastAsia="zh-CN"/>
                    </w:rPr>
                  </w:pPr>
                  <w:r>
                    <w:rPr>
                      <w:rFonts w:hint="eastAsia"/>
                      <w:color w:val="auto"/>
                      <w:sz w:val="22"/>
                      <w:szCs w:val="22"/>
                      <w:highlight w:val="none"/>
                    </w:rPr>
                    <w:t>验收时监测一次，营运期1次/</w:t>
                  </w:r>
                  <w:r>
                    <w:rPr>
                      <w:rFonts w:hint="eastAsia"/>
                      <w:color w:val="auto"/>
                      <w:sz w:val="22"/>
                      <w:szCs w:val="22"/>
                      <w:highlight w:val="none"/>
                      <w:lang w:eastAsia="zh-CN"/>
                    </w:rPr>
                    <w:t>季</w:t>
                  </w:r>
                </w:p>
              </w:tc>
              <w:tc>
                <w:tcPr>
                  <w:tcW w:w="2555" w:type="dxa"/>
                  <w:vMerge w:val="restart"/>
                  <w:vAlign w:val="center"/>
                </w:tcPr>
                <w:p w14:paraId="47A5B92A">
                  <w:pPr>
                    <w:snapToGrid w:val="0"/>
                    <w:ind w:left="-21" w:leftChars="-10" w:right="-21" w:rightChars="-10"/>
                    <w:jc w:val="center"/>
                    <w:rPr>
                      <w:b/>
                      <w:color w:val="auto"/>
                      <w:sz w:val="22"/>
                      <w:szCs w:val="22"/>
                      <w:highlight w:val="none"/>
                    </w:rPr>
                  </w:pPr>
                  <w:r>
                    <w:rPr>
                      <w:rFonts w:hint="eastAsia"/>
                      <w:color w:val="auto"/>
                      <w:szCs w:val="21"/>
                      <w:highlight w:val="none"/>
                      <w:lang w:val="da-DK"/>
                    </w:rPr>
                    <w:t>《污水综合排放标准》（GB8978-1996）三级标准</w:t>
                  </w:r>
                  <w:bookmarkStart w:id="86" w:name="hmcheck_700e56a60be042b393d0bb63e085de43"/>
                  <w:r>
                    <w:rPr>
                      <w:rFonts w:hint="eastAsia"/>
                      <w:color w:val="auto"/>
                      <w:szCs w:val="21"/>
                      <w:highlight w:val="none"/>
                      <w:shd w:val="clear" w:fill="FFAFAA"/>
                    </w:rPr>
                    <w:t>（</w:t>
                  </w:r>
                  <w:bookmarkEnd w:id="86"/>
                  <w:r>
                    <w:rPr>
                      <w:rFonts w:hint="eastAsia"/>
                      <w:color w:val="auto"/>
                      <w:szCs w:val="21"/>
                      <w:highlight w:val="none"/>
                    </w:rPr>
                    <w:t>氨氮、TP参照执行《污水排入城镇下水道水质标准》（GB/T 31962-2015）B标</w:t>
                  </w:r>
                </w:p>
              </w:tc>
            </w:tr>
            <w:tr w14:paraId="05462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dxa"/>
                  <w:vMerge w:val="continue"/>
                  <w:vAlign w:val="center"/>
                </w:tcPr>
                <w:p w14:paraId="641151F0">
                  <w:pPr>
                    <w:snapToGrid w:val="0"/>
                    <w:ind w:left="-21" w:leftChars="-10" w:right="-21" w:rightChars="-10"/>
                    <w:jc w:val="center"/>
                    <w:rPr>
                      <w:color w:val="auto"/>
                      <w:kern w:val="0"/>
                      <w:sz w:val="22"/>
                      <w:szCs w:val="22"/>
                      <w:highlight w:val="none"/>
                    </w:rPr>
                  </w:pPr>
                </w:p>
              </w:tc>
              <w:tc>
                <w:tcPr>
                  <w:tcW w:w="1276" w:type="dxa"/>
                  <w:vMerge w:val="continue"/>
                  <w:vAlign w:val="center"/>
                </w:tcPr>
                <w:p w14:paraId="1929A513">
                  <w:pPr>
                    <w:snapToGrid w:val="0"/>
                    <w:ind w:left="-21" w:leftChars="-10" w:right="-21" w:rightChars="-10"/>
                    <w:jc w:val="center"/>
                    <w:rPr>
                      <w:rFonts w:hint="eastAsia"/>
                      <w:color w:val="auto"/>
                      <w:kern w:val="0"/>
                      <w:sz w:val="22"/>
                      <w:szCs w:val="22"/>
                      <w:highlight w:val="none"/>
                    </w:rPr>
                  </w:pPr>
                </w:p>
              </w:tc>
              <w:tc>
                <w:tcPr>
                  <w:tcW w:w="1559" w:type="dxa"/>
                  <w:vAlign w:val="center"/>
                </w:tcPr>
                <w:p w14:paraId="3E311766">
                  <w:pPr>
                    <w:snapToGrid w:val="0"/>
                    <w:ind w:left="-21" w:leftChars="-10" w:right="-21" w:rightChars="-10"/>
                    <w:jc w:val="center"/>
                    <w:rPr>
                      <w:color w:val="auto"/>
                      <w:sz w:val="22"/>
                      <w:szCs w:val="22"/>
                      <w:highlight w:val="none"/>
                    </w:rPr>
                  </w:pPr>
                  <w:r>
                    <w:rPr>
                      <w:rFonts w:hint="eastAsia"/>
                      <w:color w:val="auto"/>
                      <w:sz w:val="22"/>
                      <w:szCs w:val="22"/>
                      <w:highlight w:val="none"/>
                    </w:rPr>
                    <w:t>BOD</w:t>
                  </w:r>
                  <w:r>
                    <w:rPr>
                      <w:rFonts w:hint="eastAsia"/>
                      <w:color w:val="auto"/>
                      <w:sz w:val="22"/>
                      <w:szCs w:val="22"/>
                      <w:highlight w:val="none"/>
                      <w:vertAlign w:val="subscript"/>
                    </w:rPr>
                    <w:t>5</w:t>
                  </w:r>
                  <w:r>
                    <w:rPr>
                      <w:rFonts w:hint="eastAsia"/>
                      <w:color w:val="auto"/>
                      <w:sz w:val="22"/>
                      <w:szCs w:val="22"/>
                      <w:highlight w:val="none"/>
                    </w:rPr>
                    <w:t>、SS、硫酸盐、石油类</w:t>
                  </w:r>
                </w:p>
              </w:tc>
              <w:tc>
                <w:tcPr>
                  <w:tcW w:w="1418" w:type="dxa"/>
                  <w:vAlign w:val="center"/>
                </w:tcPr>
                <w:p w14:paraId="5D701ABA">
                  <w:pPr>
                    <w:snapToGrid w:val="0"/>
                    <w:ind w:left="-21" w:leftChars="-10" w:right="-21" w:rightChars="-10"/>
                    <w:jc w:val="center"/>
                    <w:rPr>
                      <w:rFonts w:hint="eastAsia" w:eastAsia="宋体"/>
                      <w:color w:val="auto"/>
                      <w:sz w:val="22"/>
                      <w:szCs w:val="22"/>
                      <w:highlight w:val="none"/>
                      <w:lang w:eastAsia="zh-CN"/>
                    </w:rPr>
                  </w:pPr>
                  <w:r>
                    <w:rPr>
                      <w:rFonts w:hint="eastAsia"/>
                      <w:color w:val="auto"/>
                      <w:sz w:val="22"/>
                      <w:szCs w:val="22"/>
                      <w:highlight w:val="none"/>
                    </w:rPr>
                    <w:t>验收时监测一次，营运期1次/</w:t>
                  </w:r>
                  <w:r>
                    <w:rPr>
                      <w:rFonts w:hint="eastAsia"/>
                      <w:color w:val="auto"/>
                      <w:sz w:val="22"/>
                      <w:szCs w:val="22"/>
                      <w:highlight w:val="none"/>
                      <w:lang w:eastAsia="zh-CN"/>
                    </w:rPr>
                    <w:t>半年</w:t>
                  </w:r>
                </w:p>
              </w:tc>
              <w:tc>
                <w:tcPr>
                  <w:tcW w:w="2555" w:type="dxa"/>
                  <w:vMerge w:val="continue"/>
                  <w:vAlign w:val="center"/>
                </w:tcPr>
                <w:p w14:paraId="3925C7E6">
                  <w:pPr>
                    <w:snapToGrid w:val="0"/>
                    <w:ind w:left="-21" w:leftChars="-10" w:right="-21" w:rightChars="-10"/>
                    <w:jc w:val="center"/>
                    <w:rPr>
                      <w:rFonts w:hint="eastAsia"/>
                      <w:color w:val="auto"/>
                      <w:szCs w:val="21"/>
                      <w:highlight w:val="none"/>
                      <w:lang w:val="da-DK"/>
                    </w:rPr>
                  </w:pPr>
                </w:p>
              </w:tc>
            </w:tr>
          </w:tbl>
          <w:p w14:paraId="794F4CB9">
            <w:pPr>
              <w:snapToGrid w:val="0"/>
              <w:jc w:val="center"/>
              <w:rPr>
                <w:color w:val="auto"/>
                <w:kern w:val="0"/>
                <w:sz w:val="26"/>
                <w:szCs w:val="26"/>
                <w:highlight w:val="none"/>
              </w:rPr>
            </w:pPr>
          </w:p>
          <w:p w14:paraId="32A281B7">
            <w:pPr>
              <w:tabs>
                <w:tab w:val="left" w:pos="1040"/>
              </w:tabs>
              <w:adjustRightInd w:val="0"/>
              <w:snapToGrid w:val="0"/>
              <w:spacing w:line="480" w:lineRule="exact"/>
              <w:ind w:firstLine="522" w:firstLineChars="200"/>
              <w:rPr>
                <w:b/>
                <w:color w:val="auto"/>
                <w:kern w:val="0"/>
                <w:sz w:val="26"/>
                <w:szCs w:val="26"/>
                <w:highlight w:val="none"/>
              </w:rPr>
            </w:pPr>
            <w:r>
              <w:rPr>
                <w:rFonts w:hint="eastAsia"/>
                <w:b/>
                <w:color w:val="auto"/>
                <w:sz w:val="26"/>
                <w:szCs w:val="26"/>
                <w:highlight w:val="none"/>
              </w:rPr>
              <w:t>4.2.2.4</w:t>
            </w:r>
            <w:r>
              <w:rPr>
                <w:rFonts w:hint="eastAsia"/>
                <w:b/>
                <w:color w:val="auto"/>
                <w:kern w:val="0"/>
                <w:sz w:val="26"/>
                <w:szCs w:val="26"/>
                <w:highlight w:val="none"/>
              </w:rPr>
              <w:t>地表水影响分析</w:t>
            </w:r>
          </w:p>
          <w:p w14:paraId="5AFF8C16">
            <w:pPr>
              <w:adjustRightInd w:val="0"/>
              <w:snapToGrid w:val="0"/>
              <w:spacing w:line="480" w:lineRule="exact"/>
              <w:ind w:firstLine="520" w:firstLineChars="200"/>
              <w:rPr>
                <w:rFonts w:hint="eastAsia" w:eastAsia="宋体"/>
                <w:b/>
                <w:bCs/>
                <w:color w:val="auto"/>
                <w:spacing w:val="-10"/>
                <w:sz w:val="26"/>
                <w:szCs w:val="26"/>
                <w:highlight w:val="none"/>
                <w:lang w:eastAsia="zh-CN"/>
              </w:rPr>
            </w:pPr>
            <w:r>
              <w:rPr>
                <w:rFonts w:hint="eastAsia"/>
                <w:color w:val="auto"/>
                <w:kern w:val="0"/>
                <w:sz w:val="26"/>
                <w:szCs w:val="26"/>
                <w:highlight w:val="none"/>
              </w:rPr>
              <w:t>综上所述，项目营运期产生的废水治理措施有效，依托园区污水处理厂可行，可做到达标排放，对周边地表水环境影响较小</w:t>
            </w:r>
            <w:r>
              <w:rPr>
                <w:rFonts w:hint="eastAsia"/>
                <w:color w:val="auto"/>
                <w:kern w:val="0"/>
                <w:sz w:val="26"/>
                <w:szCs w:val="26"/>
                <w:highlight w:val="none"/>
                <w:lang w:eastAsia="zh-CN"/>
              </w:rPr>
              <w:t>。</w:t>
            </w:r>
          </w:p>
          <w:p w14:paraId="76948455">
            <w:pPr>
              <w:adjustRightInd w:val="0"/>
              <w:snapToGrid w:val="0"/>
              <w:spacing w:line="480" w:lineRule="exact"/>
              <w:ind w:firstLine="482" w:firstLineChars="200"/>
              <w:rPr>
                <w:b/>
                <w:bCs/>
                <w:color w:val="auto"/>
                <w:spacing w:val="-10"/>
                <w:sz w:val="26"/>
                <w:szCs w:val="26"/>
                <w:highlight w:val="none"/>
              </w:rPr>
            </w:pPr>
            <w:r>
              <w:rPr>
                <w:b/>
                <w:bCs/>
                <w:color w:val="auto"/>
                <w:spacing w:val="-10"/>
                <w:sz w:val="26"/>
                <w:szCs w:val="26"/>
                <w:highlight w:val="none"/>
              </w:rPr>
              <w:t>4</w:t>
            </w:r>
            <w:r>
              <w:rPr>
                <w:rFonts w:hint="eastAsia"/>
                <w:b/>
                <w:bCs/>
                <w:color w:val="auto"/>
                <w:spacing w:val="-10"/>
                <w:sz w:val="26"/>
                <w:szCs w:val="26"/>
                <w:highlight w:val="none"/>
              </w:rPr>
              <w:t>.2</w:t>
            </w:r>
            <w:r>
              <w:rPr>
                <w:b/>
                <w:bCs/>
                <w:color w:val="auto"/>
                <w:spacing w:val="-10"/>
                <w:sz w:val="26"/>
                <w:szCs w:val="26"/>
                <w:highlight w:val="none"/>
              </w:rPr>
              <w:t xml:space="preserve">.3 </w:t>
            </w:r>
            <w:r>
              <w:rPr>
                <w:rFonts w:hint="eastAsia"/>
                <w:b/>
                <w:bCs/>
                <w:color w:val="auto"/>
                <w:spacing w:val="-10"/>
                <w:sz w:val="26"/>
                <w:szCs w:val="26"/>
                <w:highlight w:val="none"/>
              </w:rPr>
              <w:t>声环境影响及噪声污染防治措施</w:t>
            </w:r>
          </w:p>
          <w:p w14:paraId="4BB7DD09">
            <w:pPr>
              <w:adjustRightInd w:val="0"/>
              <w:snapToGrid w:val="0"/>
              <w:spacing w:line="480" w:lineRule="exact"/>
              <w:ind w:firstLine="522" w:firstLineChars="200"/>
              <w:rPr>
                <w:b/>
                <w:bCs/>
                <w:color w:val="auto"/>
                <w:sz w:val="26"/>
                <w:szCs w:val="26"/>
                <w:highlight w:val="none"/>
              </w:rPr>
            </w:pPr>
            <w:r>
              <w:rPr>
                <w:b/>
                <w:bCs/>
                <w:color w:val="auto"/>
                <w:sz w:val="26"/>
                <w:szCs w:val="26"/>
                <w:highlight w:val="none"/>
              </w:rPr>
              <w:t>4.</w:t>
            </w:r>
            <w:r>
              <w:rPr>
                <w:rFonts w:hint="eastAsia"/>
                <w:b/>
                <w:bCs/>
                <w:color w:val="auto"/>
                <w:sz w:val="26"/>
                <w:szCs w:val="26"/>
                <w:highlight w:val="none"/>
              </w:rPr>
              <w:t>2.</w:t>
            </w:r>
            <w:r>
              <w:rPr>
                <w:b/>
                <w:bCs/>
                <w:color w:val="auto"/>
                <w:sz w:val="26"/>
                <w:szCs w:val="26"/>
                <w:highlight w:val="none"/>
              </w:rPr>
              <w:t>3.1 噪声污染源强</w:t>
            </w:r>
          </w:p>
          <w:p w14:paraId="52CA6688">
            <w:pPr>
              <w:pStyle w:val="71"/>
              <w:spacing w:line="480" w:lineRule="exact"/>
              <w:ind w:firstLine="520" w:firstLineChars="200"/>
              <w:jc w:val="both"/>
              <w:textAlignment w:val="center"/>
              <w:rPr>
                <w:color w:val="auto"/>
                <w:sz w:val="26"/>
                <w:szCs w:val="26"/>
                <w:highlight w:val="none"/>
              </w:rPr>
            </w:pPr>
            <w:r>
              <w:rPr>
                <w:rFonts w:hint="eastAsia"/>
                <w:color w:val="auto"/>
                <w:sz w:val="26"/>
                <w:szCs w:val="26"/>
                <w:highlight w:val="none"/>
              </w:rPr>
              <w:t>本项目噪声来源主要为室内设备噪声，室内噪声主要</w:t>
            </w:r>
            <w:bookmarkStart w:id="87" w:name="hmcheck_9ef35840efd443fe8ce52e743b960ce1"/>
            <w:r>
              <w:rPr>
                <w:rFonts w:hint="eastAsia"/>
                <w:color w:val="auto"/>
                <w:sz w:val="26"/>
                <w:szCs w:val="26"/>
                <w:highlight w:val="none"/>
                <w:shd w:val="clear" w:fill="FFAFAA"/>
              </w:rPr>
              <w:t>来自冲</w:t>
            </w:r>
            <w:bookmarkEnd w:id="87"/>
            <w:r>
              <w:rPr>
                <w:rFonts w:hint="eastAsia"/>
                <w:color w:val="auto"/>
                <w:sz w:val="26"/>
                <w:szCs w:val="26"/>
                <w:highlight w:val="none"/>
              </w:rPr>
              <w:t>液压机、切割设备（其中激光切割设备自带空压机）、焊接设备、打磨机、空压机等；室外噪声源主要来自风机、冷却塔，根据《污染源源强核算技术指南 汽车制造》及类比企业调查，在采取低噪选型、基础减震、建筑隔声等措施后，使噪声值降低15-20dB，将单台设备噪声源强值控制在60-70dB（A）之间。噪声源强调查清单见表4.3-1</w:t>
            </w:r>
            <w:r>
              <w:rPr>
                <w:color w:val="auto"/>
                <w:sz w:val="26"/>
                <w:szCs w:val="26"/>
                <w:highlight w:val="none"/>
              </w:rPr>
              <w:t>。</w:t>
            </w:r>
          </w:p>
          <w:p w14:paraId="0EE1AF51">
            <w:pPr>
              <w:pStyle w:val="71"/>
              <w:ind w:firstLine="520" w:firstLineChars="200"/>
              <w:jc w:val="both"/>
              <w:textAlignment w:val="center"/>
              <w:rPr>
                <w:color w:val="auto"/>
                <w:sz w:val="26"/>
                <w:szCs w:val="26"/>
                <w:highlight w:val="none"/>
              </w:rPr>
            </w:pPr>
          </w:p>
          <w:p w14:paraId="15EB0F00">
            <w:pPr>
              <w:adjustRightInd w:val="0"/>
              <w:snapToGrid w:val="0"/>
              <w:jc w:val="center"/>
              <w:rPr>
                <w:color w:val="auto"/>
                <w:kern w:val="0"/>
                <w:sz w:val="24"/>
                <w:szCs w:val="26"/>
                <w:highlight w:val="none"/>
              </w:rPr>
            </w:pPr>
          </w:p>
          <w:p w14:paraId="47103514">
            <w:pPr>
              <w:adjustRightInd w:val="0"/>
              <w:snapToGrid w:val="0"/>
              <w:jc w:val="center"/>
              <w:rPr>
                <w:color w:val="auto"/>
                <w:kern w:val="0"/>
                <w:sz w:val="24"/>
                <w:szCs w:val="26"/>
                <w:highlight w:val="none"/>
              </w:rPr>
            </w:pPr>
          </w:p>
          <w:p w14:paraId="5E9C8231">
            <w:pPr>
              <w:adjustRightInd w:val="0"/>
              <w:snapToGrid w:val="0"/>
              <w:jc w:val="center"/>
              <w:rPr>
                <w:color w:val="auto"/>
                <w:kern w:val="0"/>
                <w:sz w:val="24"/>
                <w:szCs w:val="26"/>
                <w:highlight w:val="none"/>
              </w:rPr>
            </w:pPr>
          </w:p>
          <w:p w14:paraId="1245F1C9">
            <w:pPr>
              <w:adjustRightInd w:val="0"/>
              <w:snapToGrid w:val="0"/>
              <w:jc w:val="center"/>
              <w:rPr>
                <w:color w:val="auto"/>
                <w:kern w:val="0"/>
                <w:sz w:val="24"/>
                <w:szCs w:val="26"/>
                <w:highlight w:val="none"/>
              </w:rPr>
            </w:pPr>
          </w:p>
          <w:p w14:paraId="2B08317F">
            <w:pPr>
              <w:adjustRightInd w:val="0"/>
              <w:snapToGrid w:val="0"/>
              <w:jc w:val="center"/>
              <w:rPr>
                <w:color w:val="auto"/>
                <w:kern w:val="0"/>
                <w:sz w:val="24"/>
                <w:szCs w:val="26"/>
                <w:highlight w:val="none"/>
              </w:rPr>
            </w:pPr>
          </w:p>
          <w:p w14:paraId="4CC7320C">
            <w:pPr>
              <w:adjustRightInd w:val="0"/>
              <w:snapToGrid w:val="0"/>
              <w:jc w:val="center"/>
              <w:rPr>
                <w:color w:val="auto"/>
                <w:kern w:val="0"/>
                <w:sz w:val="24"/>
                <w:szCs w:val="26"/>
                <w:highlight w:val="none"/>
              </w:rPr>
            </w:pPr>
          </w:p>
          <w:p w14:paraId="36A44DBA">
            <w:pPr>
              <w:adjustRightInd w:val="0"/>
              <w:snapToGrid w:val="0"/>
              <w:jc w:val="center"/>
              <w:rPr>
                <w:color w:val="auto"/>
                <w:kern w:val="0"/>
                <w:sz w:val="26"/>
                <w:szCs w:val="26"/>
                <w:highlight w:val="none"/>
              </w:rPr>
            </w:pPr>
            <w:r>
              <w:rPr>
                <w:color w:val="auto"/>
                <w:kern w:val="0"/>
                <w:sz w:val="24"/>
                <w:szCs w:val="26"/>
                <w:highlight w:val="none"/>
              </w:rPr>
              <w:t>表4.</w:t>
            </w:r>
            <w:r>
              <w:rPr>
                <w:rFonts w:hint="eastAsia"/>
                <w:color w:val="auto"/>
                <w:kern w:val="0"/>
                <w:sz w:val="24"/>
                <w:szCs w:val="26"/>
                <w:highlight w:val="none"/>
              </w:rPr>
              <w:t>2-13</w:t>
            </w:r>
            <w:r>
              <w:rPr>
                <w:color w:val="auto"/>
                <w:kern w:val="0"/>
                <w:sz w:val="24"/>
                <w:szCs w:val="26"/>
                <w:highlight w:val="none"/>
              </w:rPr>
              <w:t xml:space="preserve">  主要设备噪声源源强一览表</w:t>
            </w:r>
            <w:r>
              <w:rPr>
                <w:rFonts w:hint="eastAsia"/>
                <w:color w:val="auto"/>
                <w:kern w:val="0"/>
                <w:sz w:val="24"/>
                <w:szCs w:val="26"/>
                <w:highlight w:val="none"/>
              </w:rPr>
              <w:t>（室内声源）</w:t>
            </w:r>
          </w:p>
          <w:tbl>
            <w:tblPr>
              <w:tblStyle w:val="16"/>
              <w:tblW w:w="7948" w:type="dxa"/>
              <w:jc w:val="center"/>
              <w:tblLayout w:type="fixed"/>
              <w:tblCellMar>
                <w:top w:w="0" w:type="dxa"/>
                <w:left w:w="108" w:type="dxa"/>
                <w:bottom w:w="0" w:type="dxa"/>
                <w:right w:w="108" w:type="dxa"/>
              </w:tblCellMar>
            </w:tblPr>
            <w:tblGrid>
              <w:gridCol w:w="363"/>
              <w:gridCol w:w="388"/>
              <w:gridCol w:w="776"/>
              <w:gridCol w:w="323"/>
              <w:gridCol w:w="800"/>
              <w:gridCol w:w="624"/>
              <w:gridCol w:w="502"/>
              <w:gridCol w:w="593"/>
              <w:gridCol w:w="519"/>
              <w:gridCol w:w="476"/>
              <w:gridCol w:w="571"/>
              <w:gridCol w:w="364"/>
              <w:gridCol w:w="622"/>
              <w:gridCol w:w="663"/>
              <w:gridCol w:w="364"/>
            </w:tblGrid>
            <w:tr w14:paraId="1CF91E07">
              <w:tblPrEx>
                <w:tblCellMar>
                  <w:top w:w="0" w:type="dxa"/>
                  <w:left w:w="108" w:type="dxa"/>
                  <w:bottom w:w="0" w:type="dxa"/>
                  <w:right w:w="108" w:type="dxa"/>
                </w:tblCellMar>
              </w:tblPrEx>
              <w:trPr>
                <w:trHeight w:val="340" w:hRule="atLeast"/>
                <w:jc w:val="center"/>
              </w:trPr>
              <w:tc>
                <w:tcPr>
                  <w:tcW w:w="363" w:type="dxa"/>
                  <w:vMerge w:val="restart"/>
                  <w:tcBorders>
                    <w:top w:val="single" w:color="000000" w:sz="4" w:space="0"/>
                    <w:left w:val="single" w:color="000000" w:sz="4" w:space="0"/>
                    <w:bottom w:val="single" w:color="000000" w:sz="4" w:space="0"/>
                    <w:right w:val="single" w:color="000000" w:sz="4" w:space="0"/>
                  </w:tcBorders>
                  <w:vAlign w:val="center"/>
                </w:tcPr>
                <w:p w14:paraId="5DD6DBFB">
                  <w:pPr>
                    <w:widowControl/>
                    <w:jc w:val="center"/>
                    <w:textAlignment w:val="center"/>
                    <w:rPr>
                      <w:color w:val="auto"/>
                      <w:sz w:val="16"/>
                      <w:szCs w:val="16"/>
                      <w:highlight w:val="none"/>
                    </w:rPr>
                  </w:pPr>
                  <w:r>
                    <w:rPr>
                      <w:color w:val="auto"/>
                      <w:kern w:val="0"/>
                      <w:sz w:val="16"/>
                      <w:szCs w:val="16"/>
                      <w:highlight w:val="none"/>
                      <w:lang w:bidi="ar"/>
                    </w:rPr>
                    <w:t>序号</w:t>
                  </w:r>
                </w:p>
              </w:tc>
              <w:tc>
                <w:tcPr>
                  <w:tcW w:w="388" w:type="dxa"/>
                  <w:vMerge w:val="restart"/>
                  <w:tcBorders>
                    <w:top w:val="single" w:color="000000" w:sz="4" w:space="0"/>
                    <w:left w:val="single" w:color="000000" w:sz="4" w:space="0"/>
                    <w:bottom w:val="single" w:color="000000" w:sz="4" w:space="0"/>
                    <w:right w:val="single" w:color="000000" w:sz="4" w:space="0"/>
                  </w:tcBorders>
                  <w:vAlign w:val="center"/>
                </w:tcPr>
                <w:p w14:paraId="614402C4">
                  <w:pPr>
                    <w:widowControl/>
                    <w:jc w:val="center"/>
                    <w:textAlignment w:val="center"/>
                    <w:rPr>
                      <w:color w:val="auto"/>
                      <w:sz w:val="16"/>
                      <w:szCs w:val="16"/>
                      <w:highlight w:val="none"/>
                    </w:rPr>
                  </w:pPr>
                  <w:r>
                    <w:rPr>
                      <w:color w:val="auto"/>
                      <w:kern w:val="0"/>
                      <w:sz w:val="16"/>
                      <w:szCs w:val="16"/>
                      <w:highlight w:val="none"/>
                      <w:lang w:bidi="ar"/>
                    </w:rPr>
                    <w:t>建筑物名称</w:t>
                  </w:r>
                </w:p>
              </w:tc>
              <w:tc>
                <w:tcPr>
                  <w:tcW w:w="776" w:type="dxa"/>
                  <w:vMerge w:val="restart"/>
                  <w:tcBorders>
                    <w:top w:val="single" w:color="000000" w:sz="4" w:space="0"/>
                    <w:left w:val="single" w:color="000000" w:sz="4" w:space="0"/>
                    <w:bottom w:val="single" w:color="000000" w:sz="4" w:space="0"/>
                    <w:right w:val="single" w:color="000000" w:sz="4" w:space="0"/>
                  </w:tcBorders>
                  <w:vAlign w:val="center"/>
                </w:tcPr>
                <w:p w14:paraId="0AE617DC">
                  <w:pPr>
                    <w:widowControl/>
                    <w:jc w:val="center"/>
                    <w:textAlignment w:val="center"/>
                    <w:rPr>
                      <w:color w:val="auto"/>
                      <w:sz w:val="16"/>
                      <w:szCs w:val="16"/>
                      <w:highlight w:val="none"/>
                    </w:rPr>
                  </w:pPr>
                  <w:r>
                    <w:rPr>
                      <w:color w:val="auto"/>
                      <w:kern w:val="0"/>
                      <w:sz w:val="16"/>
                      <w:szCs w:val="16"/>
                      <w:highlight w:val="none"/>
                      <w:lang w:bidi="ar"/>
                    </w:rPr>
                    <w:t>声源名称</w:t>
                  </w:r>
                </w:p>
              </w:tc>
              <w:tc>
                <w:tcPr>
                  <w:tcW w:w="323" w:type="dxa"/>
                  <w:vMerge w:val="restart"/>
                  <w:tcBorders>
                    <w:top w:val="single" w:color="000000" w:sz="4" w:space="0"/>
                    <w:left w:val="single" w:color="000000" w:sz="4" w:space="0"/>
                    <w:bottom w:val="single" w:color="000000" w:sz="4" w:space="0"/>
                    <w:right w:val="single" w:color="000000" w:sz="4" w:space="0"/>
                  </w:tcBorders>
                  <w:vAlign w:val="center"/>
                </w:tcPr>
                <w:p w14:paraId="5D3F9E7E">
                  <w:pPr>
                    <w:widowControl/>
                    <w:jc w:val="center"/>
                    <w:textAlignment w:val="center"/>
                    <w:rPr>
                      <w:color w:val="auto"/>
                      <w:sz w:val="16"/>
                      <w:szCs w:val="16"/>
                      <w:highlight w:val="none"/>
                    </w:rPr>
                  </w:pPr>
                  <w:r>
                    <w:rPr>
                      <w:color w:val="auto"/>
                      <w:kern w:val="0"/>
                      <w:sz w:val="16"/>
                      <w:szCs w:val="16"/>
                      <w:highlight w:val="none"/>
                      <w:lang w:bidi="ar"/>
                    </w:rPr>
                    <w:t>数量</w:t>
                  </w:r>
                </w:p>
              </w:tc>
              <w:tc>
                <w:tcPr>
                  <w:tcW w:w="800" w:type="dxa"/>
                  <w:tcBorders>
                    <w:top w:val="single" w:color="000000" w:sz="4" w:space="0"/>
                    <w:left w:val="single" w:color="000000" w:sz="4" w:space="0"/>
                    <w:bottom w:val="single" w:color="000000" w:sz="4" w:space="0"/>
                    <w:right w:val="single" w:color="000000" w:sz="4" w:space="0"/>
                  </w:tcBorders>
                  <w:vAlign w:val="center"/>
                </w:tcPr>
                <w:p w14:paraId="5B8DFAAE">
                  <w:pPr>
                    <w:widowControl/>
                    <w:jc w:val="center"/>
                    <w:textAlignment w:val="center"/>
                    <w:rPr>
                      <w:color w:val="auto"/>
                      <w:sz w:val="16"/>
                      <w:szCs w:val="16"/>
                      <w:highlight w:val="none"/>
                    </w:rPr>
                  </w:pPr>
                  <w:r>
                    <w:rPr>
                      <w:color w:val="auto"/>
                      <w:kern w:val="0"/>
                      <w:sz w:val="16"/>
                      <w:szCs w:val="16"/>
                      <w:highlight w:val="none"/>
                      <w:lang w:bidi="ar"/>
                    </w:rPr>
                    <w:t>声</w:t>
                  </w:r>
                  <w:bookmarkStart w:id="88" w:name="hmcheck_512bd5969b2b424b8052ca0d572e30a3"/>
                  <w:r>
                    <w:rPr>
                      <w:color w:val="auto"/>
                      <w:kern w:val="0"/>
                      <w:sz w:val="16"/>
                      <w:szCs w:val="16"/>
                      <w:highlight w:val="none"/>
                      <w:shd w:val="clear" w:fill="FFAFAA"/>
                      <w:lang w:bidi="ar"/>
                    </w:rPr>
                    <w:t>源源</w:t>
                  </w:r>
                  <w:bookmarkEnd w:id="88"/>
                  <w:r>
                    <w:rPr>
                      <w:color w:val="auto"/>
                      <w:kern w:val="0"/>
                      <w:sz w:val="16"/>
                      <w:szCs w:val="16"/>
                      <w:highlight w:val="none"/>
                      <w:lang w:bidi="ar"/>
                    </w:rPr>
                    <w:t>强</w:t>
                  </w:r>
                </w:p>
              </w:tc>
              <w:tc>
                <w:tcPr>
                  <w:tcW w:w="624" w:type="dxa"/>
                  <w:vMerge w:val="restart"/>
                  <w:tcBorders>
                    <w:top w:val="single" w:color="000000" w:sz="4" w:space="0"/>
                    <w:left w:val="single" w:color="000000" w:sz="4" w:space="0"/>
                    <w:bottom w:val="single" w:color="000000" w:sz="4" w:space="0"/>
                    <w:right w:val="single" w:color="000000" w:sz="4" w:space="0"/>
                  </w:tcBorders>
                  <w:vAlign w:val="center"/>
                </w:tcPr>
                <w:p w14:paraId="4132E121">
                  <w:pPr>
                    <w:widowControl/>
                    <w:jc w:val="center"/>
                    <w:textAlignment w:val="center"/>
                    <w:rPr>
                      <w:color w:val="auto"/>
                      <w:sz w:val="16"/>
                      <w:szCs w:val="16"/>
                      <w:highlight w:val="none"/>
                    </w:rPr>
                  </w:pPr>
                  <w:r>
                    <w:rPr>
                      <w:color w:val="auto"/>
                      <w:kern w:val="0"/>
                      <w:sz w:val="16"/>
                      <w:szCs w:val="16"/>
                      <w:highlight w:val="none"/>
                      <w:lang w:bidi="ar"/>
                    </w:rPr>
                    <w:t>声源控制措施</w:t>
                  </w:r>
                </w:p>
              </w:tc>
              <w:tc>
                <w:tcPr>
                  <w:tcW w:w="1614" w:type="dxa"/>
                  <w:gridSpan w:val="3"/>
                  <w:tcBorders>
                    <w:top w:val="single" w:color="000000" w:sz="4" w:space="0"/>
                    <w:left w:val="single" w:color="000000" w:sz="4" w:space="0"/>
                    <w:bottom w:val="single" w:color="000000" w:sz="4" w:space="0"/>
                    <w:right w:val="single" w:color="000000" w:sz="4" w:space="0"/>
                  </w:tcBorders>
                  <w:vAlign w:val="center"/>
                </w:tcPr>
                <w:p w14:paraId="60D72995">
                  <w:pPr>
                    <w:widowControl/>
                    <w:jc w:val="center"/>
                    <w:textAlignment w:val="center"/>
                    <w:rPr>
                      <w:color w:val="auto"/>
                      <w:sz w:val="16"/>
                      <w:szCs w:val="16"/>
                      <w:highlight w:val="none"/>
                    </w:rPr>
                  </w:pPr>
                  <w:r>
                    <w:rPr>
                      <w:color w:val="auto"/>
                      <w:kern w:val="0"/>
                      <w:sz w:val="16"/>
                      <w:szCs w:val="16"/>
                      <w:highlight w:val="none"/>
                      <w:lang w:bidi="ar"/>
                    </w:rPr>
                    <w:t>空间相对位置/m</w:t>
                  </w:r>
                </w:p>
              </w:tc>
              <w:tc>
                <w:tcPr>
                  <w:tcW w:w="476" w:type="dxa"/>
                  <w:vMerge w:val="restart"/>
                  <w:tcBorders>
                    <w:top w:val="single" w:color="000000" w:sz="4" w:space="0"/>
                    <w:left w:val="single" w:color="000000" w:sz="4" w:space="0"/>
                    <w:bottom w:val="single" w:color="000000" w:sz="4" w:space="0"/>
                    <w:right w:val="single" w:color="000000" w:sz="4" w:space="0"/>
                  </w:tcBorders>
                  <w:vAlign w:val="center"/>
                </w:tcPr>
                <w:p w14:paraId="542D1737">
                  <w:pPr>
                    <w:widowControl/>
                    <w:jc w:val="center"/>
                    <w:textAlignment w:val="center"/>
                    <w:rPr>
                      <w:color w:val="auto"/>
                      <w:sz w:val="16"/>
                      <w:szCs w:val="16"/>
                      <w:highlight w:val="none"/>
                    </w:rPr>
                  </w:pPr>
                  <w:r>
                    <w:rPr>
                      <w:color w:val="auto"/>
                      <w:kern w:val="0"/>
                      <w:sz w:val="16"/>
                      <w:szCs w:val="16"/>
                      <w:highlight w:val="none"/>
                      <w:lang w:bidi="ar"/>
                    </w:rPr>
                    <w:t>距室内边界距离/m</w:t>
                  </w:r>
                </w:p>
              </w:tc>
              <w:tc>
                <w:tcPr>
                  <w:tcW w:w="571" w:type="dxa"/>
                  <w:vMerge w:val="restart"/>
                  <w:tcBorders>
                    <w:top w:val="single" w:color="000000" w:sz="4" w:space="0"/>
                    <w:left w:val="single" w:color="000000" w:sz="4" w:space="0"/>
                    <w:bottom w:val="single" w:color="000000" w:sz="4" w:space="0"/>
                    <w:right w:val="single" w:color="000000" w:sz="4" w:space="0"/>
                  </w:tcBorders>
                  <w:vAlign w:val="center"/>
                </w:tcPr>
                <w:p w14:paraId="5CE179AD">
                  <w:pPr>
                    <w:widowControl/>
                    <w:jc w:val="center"/>
                    <w:textAlignment w:val="center"/>
                    <w:rPr>
                      <w:color w:val="auto"/>
                      <w:sz w:val="16"/>
                      <w:szCs w:val="16"/>
                      <w:highlight w:val="none"/>
                    </w:rPr>
                  </w:pPr>
                  <w:r>
                    <w:rPr>
                      <w:color w:val="auto"/>
                      <w:kern w:val="0"/>
                      <w:sz w:val="16"/>
                      <w:szCs w:val="16"/>
                      <w:highlight w:val="none"/>
                      <w:lang w:bidi="ar"/>
                    </w:rPr>
                    <w:t>室内边界声级/dB(A)</w:t>
                  </w:r>
                </w:p>
              </w:tc>
              <w:tc>
                <w:tcPr>
                  <w:tcW w:w="364" w:type="dxa"/>
                  <w:vMerge w:val="restart"/>
                  <w:tcBorders>
                    <w:top w:val="single" w:color="000000" w:sz="4" w:space="0"/>
                    <w:left w:val="single" w:color="000000" w:sz="4" w:space="0"/>
                    <w:bottom w:val="single" w:color="000000" w:sz="4" w:space="0"/>
                    <w:right w:val="single" w:color="000000" w:sz="4" w:space="0"/>
                  </w:tcBorders>
                  <w:vAlign w:val="center"/>
                </w:tcPr>
                <w:p w14:paraId="5ADF3715">
                  <w:pPr>
                    <w:widowControl/>
                    <w:jc w:val="center"/>
                    <w:textAlignment w:val="center"/>
                    <w:rPr>
                      <w:color w:val="auto"/>
                      <w:sz w:val="16"/>
                      <w:szCs w:val="16"/>
                      <w:highlight w:val="none"/>
                    </w:rPr>
                  </w:pPr>
                  <w:r>
                    <w:rPr>
                      <w:color w:val="auto"/>
                      <w:kern w:val="0"/>
                      <w:sz w:val="16"/>
                      <w:szCs w:val="16"/>
                      <w:highlight w:val="none"/>
                      <w:lang w:bidi="ar"/>
                    </w:rPr>
                    <w:t>运行时段</w:t>
                  </w:r>
                </w:p>
              </w:tc>
              <w:tc>
                <w:tcPr>
                  <w:tcW w:w="622" w:type="dxa"/>
                  <w:vMerge w:val="restart"/>
                  <w:tcBorders>
                    <w:top w:val="single" w:color="000000" w:sz="4" w:space="0"/>
                    <w:left w:val="single" w:color="000000" w:sz="4" w:space="0"/>
                    <w:bottom w:val="single" w:color="000000" w:sz="4" w:space="0"/>
                    <w:right w:val="single" w:color="000000" w:sz="4" w:space="0"/>
                  </w:tcBorders>
                  <w:vAlign w:val="center"/>
                </w:tcPr>
                <w:p w14:paraId="38F74790">
                  <w:pPr>
                    <w:widowControl/>
                    <w:jc w:val="center"/>
                    <w:textAlignment w:val="center"/>
                    <w:rPr>
                      <w:color w:val="auto"/>
                      <w:sz w:val="16"/>
                      <w:szCs w:val="16"/>
                      <w:highlight w:val="none"/>
                    </w:rPr>
                  </w:pPr>
                  <w:r>
                    <w:rPr>
                      <w:color w:val="auto"/>
                      <w:kern w:val="0"/>
                      <w:sz w:val="16"/>
                      <w:szCs w:val="16"/>
                      <w:highlight w:val="none"/>
                      <w:lang w:bidi="ar"/>
                    </w:rPr>
                    <w:t>建筑物插入损失 / dB(A)</w:t>
                  </w:r>
                </w:p>
              </w:tc>
              <w:tc>
                <w:tcPr>
                  <w:tcW w:w="1027" w:type="dxa"/>
                  <w:gridSpan w:val="2"/>
                  <w:tcBorders>
                    <w:top w:val="single" w:color="000000" w:sz="4" w:space="0"/>
                    <w:left w:val="single" w:color="000000" w:sz="4" w:space="0"/>
                    <w:bottom w:val="single" w:color="000000" w:sz="4" w:space="0"/>
                    <w:right w:val="single" w:color="000000" w:sz="4" w:space="0"/>
                  </w:tcBorders>
                  <w:vAlign w:val="center"/>
                </w:tcPr>
                <w:p w14:paraId="0238E417">
                  <w:pPr>
                    <w:widowControl/>
                    <w:jc w:val="center"/>
                    <w:textAlignment w:val="center"/>
                    <w:rPr>
                      <w:color w:val="auto"/>
                      <w:sz w:val="16"/>
                      <w:szCs w:val="16"/>
                      <w:highlight w:val="none"/>
                    </w:rPr>
                  </w:pPr>
                  <w:r>
                    <w:rPr>
                      <w:color w:val="auto"/>
                      <w:kern w:val="0"/>
                      <w:sz w:val="16"/>
                      <w:szCs w:val="16"/>
                      <w:highlight w:val="none"/>
                      <w:lang w:bidi="ar"/>
                    </w:rPr>
                    <w:t>建筑物外噪声</w:t>
                  </w:r>
                </w:p>
              </w:tc>
            </w:tr>
            <w:tr w14:paraId="4C35F808">
              <w:tblPrEx>
                <w:tblCellMar>
                  <w:top w:w="0" w:type="dxa"/>
                  <w:left w:w="108" w:type="dxa"/>
                  <w:bottom w:w="0" w:type="dxa"/>
                  <w:right w:w="108" w:type="dxa"/>
                </w:tblCellMar>
              </w:tblPrEx>
              <w:trPr>
                <w:trHeight w:val="340" w:hRule="atLeast"/>
                <w:jc w:val="center"/>
              </w:trPr>
              <w:tc>
                <w:tcPr>
                  <w:tcW w:w="3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A7EBC">
                  <w:pPr>
                    <w:jc w:val="center"/>
                    <w:rPr>
                      <w:color w:val="auto"/>
                      <w:sz w:val="16"/>
                      <w:szCs w:val="16"/>
                      <w:highlight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B3124">
                  <w:pPr>
                    <w:jc w:val="center"/>
                    <w:rPr>
                      <w:color w:val="auto"/>
                      <w:sz w:val="16"/>
                      <w:szCs w:val="16"/>
                      <w:highlight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6BFC1">
                  <w:pPr>
                    <w:jc w:val="center"/>
                    <w:rPr>
                      <w:color w:val="auto"/>
                      <w:sz w:val="16"/>
                      <w:szCs w:val="16"/>
                      <w:highlight w:val="none"/>
                    </w:rPr>
                  </w:pP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AB892">
                  <w:pPr>
                    <w:jc w:val="center"/>
                    <w:rPr>
                      <w:color w:val="auto"/>
                      <w:sz w:val="16"/>
                      <w:szCs w:val="16"/>
                      <w:highlight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A8338A">
                  <w:pPr>
                    <w:widowControl/>
                    <w:jc w:val="center"/>
                    <w:textAlignment w:val="center"/>
                    <w:rPr>
                      <w:color w:val="auto"/>
                      <w:sz w:val="16"/>
                      <w:szCs w:val="16"/>
                      <w:highlight w:val="none"/>
                    </w:rPr>
                  </w:pPr>
                  <w:r>
                    <w:rPr>
                      <w:color w:val="auto"/>
                      <w:kern w:val="0"/>
                      <w:sz w:val="16"/>
                      <w:szCs w:val="16"/>
                      <w:highlight w:val="none"/>
                      <w:lang w:bidi="ar"/>
                    </w:rPr>
                    <w:t>声压级/距声源距离</w:t>
                  </w:r>
                  <w:bookmarkStart w:id="89" w:name="hmcheck_6c68365ea8074e51ad89941612f6be82"/>
                  <w:r>
                    <w:rPr>
                      <w:color w:val="auto"/>
                      <w:kern w:val="0"/>
                      <w:sz w:val="16"/>
                      <w:szCs w:val="16"/>
                      <w:highlight w:val="none"/>
                      <w:shd w:val="clear" w:fill="FFAFAA"/>
                      <w:lang w:bidi="ar"/>
                    </w:rPr>
                    <w:t>）</w:t>
                  </w:r>
                  <w:bookmarkEnd w:id="89"/>
                  <w:r>
                    <w:rPr>
                      <w:color w:val="auto"/>
                      <w:kern w:val="0"/>
                      <w:sz w:val="16"/>
                      <w:szCs w:val="16"/>
                      <w:highlight w:val="none"/>
                      <w:lang w:bidi="ar"/>
                    </w:rPr>
                    <w:t>/dB(A)/m</w:t>
                  </w:r>
                </w:p>
              </w:tc>
              <w:tc>
                <w:tcPr>
                  <w:tcW w:w="6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E5474">
                  <w:pPr>
                    <w:jc w:val="center"/>
                    <w:rPr>
                      <w:color w:val="auto"/>
                      <w:sz w:val="16"/>
                      <w:szCs w:val="16"/>
                      <w:highlight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84E691">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X</w:t>
                  </w: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7E4B5F">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Y</w:t>
                  </w:r>
                </w:p>
              </w:tc>
              <w:tc>
                <w:tcPr>
                  <w:tcW w:w="5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2D6EF6">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Z</w:t>
                  </w:r>
                </w:p>
              </w:tc>
              <w:tc>
                <w:tcPr>
                  <w:tcW w:w="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1E2CB">
                  <w:pPr>
                    <w:jc w:val="center"/>
                    <w:rPr>
                      <w:color w:val="auto"/>
                      <w:sz w:val="16"/>
                      <w:szCs w:val="16"/>
                      <w:highlight w:val="none"/>
                    </w:rPr>
                  </w:pPr>
                </w:p>
              </w:tc>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AC11D">
                  <w:pPr>
                    <w:jc w:val="center"/>
                    <w:rPr>
                      <w:color w:val="auto"/>
                      <w:sz w:val="16"/>
                      <w:szCs w:val="16"/>
                      <w:highlight w:val="none"/>
                    </w:rPr>
                  </w:pPr>
                </w:p>
              </w:tc>
              <w:tc>
                <w:tcPr>
                  <w:tcW w:w="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4DAFF">
                  <w:pPr>
                    <w:jc w:val="center"/>
                    <w:rPr>
                      <w:color w:val="auto"/>
                      <w:sz w:val="16"/>
                      <w:szCs w:val="16"/>
                      <w:highlight w:val="none"/>
                    </w:rPr>
                  </w:pPr>
                </w:p>
              </w:tc>
              <w:tc>
                <w:tcPr>
                  <w:tcW w:w="6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61BB0">
                  <w:pPr>
                    <w:jc w:val="center"/>
                    <w:rPr>
                      <w:color w:val="auto"/>
                      <w:sz w:val="16"/>
                      <w:szCs w:val="16"/>
                      <w:highlight w:val="none"/>
                    </w:rPr>
                  </w:pPr>
                </w:p>
              </w:tc>
              <w:tc>
                <w:tcPr>
                  <w:tcW w:w="6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AFE7C3">
                  <w:pPr>
                    <w:widowControl/>
                    <w:jc w:val="center"/>
                    <w:textAlignment w:val="center"/>
                    <w:rPr>
                      <w:color w:val="auto"/>
                      <w:sz w:val="16"/>
                      <w:szCs w:val="16"/>
                      <w:highlight w:val="none"/>
                    </w:rPr>
                  </w:pPr>
                  <w:r>
                    <w:rPr>
                      <w:color w:val="auto"/>
                      <w:kern w:val="0"/>
                      <w:sz w:val="16"/>
                      <w:szCs w:val="16"/>
                      <w:highlight w:val="none"/>
                      <w:lang w:bidi="ar"/>
                    </w:rPr>
                    <w:t>声压级/dB(A)</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1A9C8">
                  <w:pPr>
                    <w:widowControl/>
                    <w:jc w:val="center"/>
                    <w:textAlignment w:val="center"/>
                    <w:rPr>
                      <w:color w:val="auto"/>
                      <w:sz w:val="16"/>
                      <w:szCs w:val="16"/>
                      <w:highlight w:val="none"/>
                    </w:rPr>
                  </w:pPr>
                  <w:r>
                    <w:rPr>
                      <w:color w:val="auto"/>
                      <w:kern w:val="0"/>
                      <w:sz w:val="16"/>
                      <w:szCs w:val="16"/>
                      <w:highlight w:val="none"/>
                      <w:lang w:bidi="ar"/>
                    </w:rPr>
                    <w:t>建筑物外距离</w:t>
                  </w:r>
                </w:p>
              </w:tc>
            </w:tr>
            <w:tr w14:paraId="3FC43FDB">
              <w:tblPrEx>
                <w:tblCellMar>
                  <w:top w:w="0" w:type="dxa"/>
                  <w:left w:w="108" w:type="dxa"/>
                  <w:bottom w:w="0" w:type="dxa"/>
                  <w:right w:w="108" w:type="dxa"/>
                </w:tblCellMar>
              </w:tblPrEx>
              <w:trPr>
                <w:trHeight w:val="340" w:hRule="atLeast"/>
                <w:jc w:val="center"/>
              </w:trPr>
              <w:tc>
                <w:tcPr>
                  <w:tcW w:w="3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F85C9B">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1</w:t>
                  </w:r>
                </w:p>
              </w:tc>
              <w:tc>
                <w:tcPr>
                  <w:tcW w:w="388" w:type="dxa"/>
                  <w:vMerge w:val="restart"/>
                  <w:tcBorders>
                    <w:top w:val="single" w:color="000000" w:sz="4" w:space="0"/>
                    <w:left w:val="single" w:color="000000" w:sz="4" w:space="0"/>
                    <w:right w:val="single" w:color="000000" w:sz="4" w:space="0"/>
                  </w:tcBorders>
                  <w:shd w:val="clear" w:color="auto" w:fill="auto"/>
                  <w:vAlign w:val="center"/>
                </w:tcPr>
                <w:p w14:paraId="65C9F329">
                  <w:pPr>
                    <w:widowControl/>
                    <w:jc w:val="center"/>
                    <w:textAlignment w:val="center"/>
                    <w:rPr>
                      <w:color w:val="auto"/>
                      <w:sz w:val="16"/>
                      <w:szCs w:val="16"/>
                      <w:highlight w:val="none"/>
                    </w:rPr>
                  </w:pPr>
                  <w:r>
                    <w:rPr>
                      <w:rFonts w:hint="eastAsia"/>
                      <w:color w:val="auto"/>
                      <w:kern w:val="0"/>
                      <w:sz w:val="16"/>
                      <w:szCs w:val="16"/>
                      <w:highlight w:val="none"/>
                      <w:lang w:bidi="ar"/>
                    </w:rPr>
                    <w:t>生产厂房</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FD3AC">
                  <w:pPr>
                    <w:widowControl/>
                    <w:jc w:val="center"/>
                    <w:textAlignment w:val="center"/>
                    <w:rPr>
                      <w:color w:val="auto"/>
                      <w:sz w:val="16"/>
                      <w:szCs w:val="16"/>
                      <w:highlight w:val="none"/>
                    </w:rPr>
                  </w:pPr>
                  <w:r>
                    <w:rPr>
                      <w:rFonts w:hint="eastAsia"/>
                      <w:color w:val="auto"/>
                      <w:sz w:val="16"/>
                      <w:szCs w:val="16"/>
                      <w:highlight w:val="none"/>
                    </w:rPr>
                    <w:t>剪板机</w:t>
                  </w:r>
                </w:p>
              </w:tc>
              <w:tc>
                <w:tcPr>
                  <w:tcW w:w="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6C553">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B852BB">
                  <w:pPr>
                    <w:widowControl/>
                    <w:jc w:val="center"/>
                    <w:textAlignment w:val="center"/>
                    <w:rPr>
                      <w:rFonts w:hint="default" w:eastAsia="宋体"/>
                      <w:color w:val="auto"/>
                      <w:kern w:val="0"/>
                      <w:sz w:val="16"/>
                      <w:szCs w:val="16"/>
                      <w:highlight w:val="none"/>
                      <w:lang w:val="en-US" w:eastAsia="zh-CN" w:bidi="ar"/>
                    </w:rPr>
                  </w:pPr>
                  <w:r>
                    <w:rPr>
                      <w:rFonts w:hint="eastAsia"/>
                      <w:color w:val="auto"/>
                      <w:kern w:val="0"/>
                      <w:sz w:val="16"/>
                      <w:szCs w:val="16"/>
                      <w:highlight w:val="none"/>
                      <w:lang w:val="en-US" w:eastAsia="zh-CN" w:bidi="ar"/>
                    </w:rPr>
                    <w:t>75</w:t>
                  </w:r>
                </w:p>
              </w:tc>
              <w:tc>
                <w:tcPr>
                  <w:tcW w:w="624" w:type="dxa"/>
                  <w:vMerge w:val="restart"/>
                  <w:tcBorders>
                    <w:top w:val="single" w:color="000000" w:sz="4" w:space="0"/>
                    <w:left w:val="single" w:color="000000" w:sz="4" w:space="0"/>
                    <w:right w:val="single" w:color="000000" w:sz="4" w:space="0"/>
                  </w:tcBorders>
                  <w:shd w:val="clear" w:color="auto" w:fill="FFFFFF"/>
                  <w:vAlign w:val="center"/>
                </w:tcPr>
                <w:p w14:paraId="027A1B8F">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优先低噪声设备，</w:t>
                  </w:r>
                  <w:r>
                    <w:rPr>
                      <w:color w:val="auto"/>
                      <w:kern w:val="0"/>
                      <w:sz w:val="16"/>
                      <w:szCs w:val="16"/>
                      <w:highlight w:val="none"/>
                      <w:lang w:bidi="ar"/>
                    </w:rPr>
                    <w:t>基座减震、建筑隔声</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114A70">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-60</w:t>
                  </w: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ADEEFA">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-20</w:t>
                  </w:r>
                </w:p>
              </w:tc>
              <w:tc>
                <w:tcPr>
                  <w:tcW w:w="5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12635B">
                  <w:pPr>
                    <w:widowControl/>
                    <w:jc w:val="center"/>
                    <w:textAlignment w:val="center"/>
                    <w:rPr>
                      <w:color w:val="auto"/>
                      <w:kern w:val="0"/>
                      <w:sz w:val="16"/>
                      <w:szCs w:val="16"/>
                      <w:highlight w:val="none"/>
                      <w:lang w:bidi="ar"/>
                    </w:rPr>
                  </w:pPr>
                  <w:r>
                    <w:rPr>
                      <w:rFonts w:eastAsia="等线"/>
                      <w:color w:val="auto"/>
                      <w:kern w:val="0"/>
                      <w:sz w:val="16"/>
                      <w:szCs w:val="16"/>
                      <w:highlight w:val="none"/>
                      <w:lang w:bidi="ar"/>
                    </w:rPr>
                    <w:t>1</w:t>
                  </w:r>
                </w:p>
              </w:tc>
              <w:tc>
                <w:tcPr>
                  <w:tcW w:w="4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6E38F">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5 </w:t>
                  </w: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86CC4">
                  <w:pPr>
                    <w:widowControl/>
                    <w:jc w:val="center"/>
                    <w:textAlignment w:val="center"/>
                    <w:rPr>
                      <w:color w:val="auto"/>
                      <w:kern w:val="0"/>
                      <w:sz w:val="16"/>
                      <w:szCs w:val="16"/>
                      <w:highlight w:val="none"/>
                      <w:lang w:bidi="ar"/>
                    </w:rPr>
                  </w:pPr>
                  <w:r>
                    <w:rPr>
                      <w:rFonts w:hint="eastAsia"/>
                      <w:color w:val="auto"/>
                      <w:kern w:val="0"/>
                      <w:sz w:val="16"/>
                      <w:szCs w:val="16"/>
                      <w:highlight w:val="none"/>
                      <w:lang w:val="en-US" w:eastAsia="zh-CN" w:bidi="ar"/>
                    </w:rPr>
                    <w:t>61</w:t>
                  </w:r>
                  <w:r>
                    <w:rPr>
                      <w:color w:val="auto"/>
                      <w:kern w:val="0"/>
                      <w:sz w:val="16"/>
                      <w:szCs w:val="16"/>
                      <w:highlight w:val="none"/>
                      <w:lang w:bidi="ar"/>
                    </w:rPr>
                    <w:t xml:space="preserve">.0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3CB29C">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昼夜</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AE41">
                  <w:pPr>
                    <w:widowControl/>
                    <w:jc w:val="center"/>
                    <w:textAlignment w:val="center"/>
                    <w:rPr>
                      <w:color w:val="auto"/>
                      <w:kern w:val="0"/>
                      <w:sz w:val="16"/>
                      <w:szCs w:val="16"/>
                      <w:highlight w:val="none"/>
                      <w:lang w:bidi="ar"/>
                    </w:rPr>
                  </w:pPr>
                  <w:r>
                    <w:rPr>
                      <w:color w:val="auto"/>
                      <w:kern w:val="0"/>
                      <w:sz w:val="16"/>
                      <w:szCs w:val="16"/>
                      <w:highlight w:val="none"/>
                      <w:lang w:bidi="ar"/>
                    </w:rPr>
                    <w:t>20</w:t>
                  </w:r>
                </w:p>
              </w:tc>
              <w:tc>
                <w:tcPr>
                  <w:tcW w:w="6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A482F">
                  <w:pPr>
                    <w:widowControl/>
                    <w:jc w:val="center"/>
                    <w:textAlignment w:val="center"/>
                    <w:rPr>
                      <w:color w:val="auto"/>
                      <w:kern w:val="0"/>
                      <w:sz w:val="16"/>
                      <w:szCs w:val="16"/>
                      <w:highlight w:val="none"/>
                      <w:lang w:bidi="ar"/>
                    </w:rPr>
                  </w:pPr>
                  <w:r>
                    <w:rPr>
                      <w:rFonts w:hint="eastAsia"/>
                      <w:color w:val="auto"/>
                      <w:kern w:val="0"/>
                      <w:sz w:val="16"/>
                      <w:szCs w:val="16"/>
                      <w:highlight w:val="none"/>
                      <w:lang w:val="en-US" w:eastAsia="zh-CN" w:bidi="ar"/>
                    </w:rPr>
                    <w:t>35</w:t>
                  </w:r>
                  <w:r>
                    <w:rPr>
                      <w:color w:val="auto"/>
                      <w:kern w:val="0"/>
                      <w:sz w:val="16"/>
                      <w:szCs w:val="16"/>
                      <w:highlight w:val="none"/>
                      <w:lang w:bidi="ar"/>
                    </w:rPr>
                    <w:t xml:space="preserve">.0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F813DD">
                  <w:pPr>
                    <w:widowControl/>
                    <w:jc w:val="center"/>
                    <w:textAlignment w:val="center"/>
                    <w:rPr>
                      <w:color w:val="auto"/>
                      <w:kern w:val="0"/>
                      <w:sz w:val="16"/>
                      <w:szCs w:val="16"/>
                      <w:highlight w:val="none"/>
                      <w:lang w:bidi="ar"/>
                    </w:rPr>
                  </w:pPr>
                  <w:r>
                    <w:rPr>
                      <w:color w:val="auto"/>
                      <w:kern w:val="0"/>
                      <w:sz w:val="16"/>
                      <w:szCs w:val="16"/>
                      <w:highlight w:val="none"/>
                      <w:lang w:bidi="ar"/>
                    </w:rPr>
                    <w:t>1</w:t>
                  </w:r>
                </w:p>
              </w:tc>
            </w:tr>
            <w:tr w14:paraId="32DC6985">
              <w:tblPrEx>
                <w:tblCellMar>
                  <w:top w:w="0" w:type="dxa"/>
                  <w:left w:w="108" w:type="dxa"/>
                  <w:bottom w:w="0" w:type="dxa"/>
                  <w:right w:w="108" w:type="dxa"/>
                </w:tblCellMar>
              </w:tblPrEx>
              <w:trPr>
                <w:trHeight w:val="340" w:hRule="atLeast"/>
                <w:jc w:val="center"/>
              </w:trPr>
              <w:tc>
                <w:tcPr>
                  <w:tcW w:w="3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5672B4">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2</w:t>
                  </w:r>
                </w:p>
              </w:tc>
              <w:tc>
                <w:tcPr>
                  <w:tcW w:w="388" w:type="dxa"/>
                  <w:vMerge w:val="continue"/>
                  <w:tcBorders>
                    <w:left w:val="single" w:color="000000" w:sz="4" w:space="0"/>
                    <w:right w:val="single" w:color="000000" w:sz="4" w:space="0"/>
                  </w:tcBorders>
                  <w:shd w:val="clear" w:color="auto" w:fill="auto"/>
                  <w:noWrap/>
                  <w:vAlign w:val="center"/>
                </w:tcPr>
                <w:p w14:paraId="06D71F70">
                  <w:pPr>
                    <w:widowControl/>
                    <w:jc w:val="center"/>
                    <w:textAlignment w:val="center"/>
                    <w:rPr>
                      <w:color w:val="auto"/>
                      <w:sz w:val="16"/>
                      <w:szCs w:val="16"/>
                      <w:highlight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0D67">
                  <w:pPr>
                    <w:widowControl/>
                    <w:jc w:val="center"/>
                    <w:textAlignment w:val="center"/>
                    <w:rPr>
                      <w:color w:val="auto"/>
                      <w:sz w:val="16"/>
                      <w:szCs w:val="16"/>
                      <w:highlight w:val="none"/>
                    </w:rPr>
                  </w:pPr>
                  <w:r>
                    <w:rPr>
                      <w:rFonts w:hint="eastAsia"/>
                      <w:color w:val="auto"/>
                      <w:sz w:val="16"/>
                      <w:szCs w:val="16"/>
                      <w:highlight w:val="none"/>
                    </w:rPr>
                    <w:t>开卷机</w:t>
                  </w:r>
                </w:p>
              </w:tc>
              <w:tc>
                <w:tcPr>
                  <w:tcW w:w="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8B019">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FCBAE9">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85</w:t>
                  </w:r>
                </w:p>
              </w:tc>
              <w:tc>
                <w:tcPr>
                  <w:tcW w:w="624" w:type="dxa"/>
                  <w:vMerge w:val="continue"/>
                  <w:tcBorders>
                    <w:left w:val="single" w:color="000000" w:sz="4" w:space="0"/>
                    <w:right w:val="single" w:color="000000" w:sz="4" w:space="0"/>
                  </w:tcBorders>
                  <w:shd w:val="clear" w:color="auto" w:fill="FFFFFF"/>
                  <w:vAlign w:val="center"/>
                </w:tcPr>
                <w:p w14:paraId="2635B22B">
                  <w:pPr>
                    <w:widowControl/>
                    <w:jc w:val="center"/>
                    <w:textAlignment w:val="center"/>
                    <w:rPr>
                      <w:color w:val="auto"/>
                      <w:kern w:val="0"/>
                      <w:sz w:val="16"/>
                      <w:szCs w:val="16"/>
                      <w:highlight w:val="none"/>
                      <w:lang w:bidi="ar"/>
                    </w:rPr>
                  </w:pP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643B9">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-60</w:t>
                  </w: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FAA2FB">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-40</w:t>
                  </w:r>
                </w:p>
              </w:tc>
              <w:tc>
                <w:tcPr>
                  <w:tcW w:w="5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7FABD">
                  <w:pPr>
                    <w:widowControl/>
                    <w:jc w:val="center"/>
                    <w:textAlignment w:val="center"/>
                    <w:rPr>
                      <w:color w:val="auto"/>
                      <w:kern w:val="0"/>
                      <w:sz w:val="16"/>
                      <w:szCs w:val="16"/>
                      <w:highlight w:val="none"/>
                      <w:lang w:bidi="ar"/>
                    </w:rPr>
                  </w:pPr>
                  <w:r>
                    <w:rPr>
                      <w:rFonts w:eastAsia="等线"/>
                      <w:color w:val="auto"/>
                      <w:kern w:val="0"/>
                      <w:sz w:val="16"/>
                      <w:szCs w:val="16"/>
                      <w:highlight w:val="none"/>
                      <w:lang w:bidi="ar"/>
                    </w:rPr>
                    <w:t>1</w:t>
                  </w:r>
                </w:p>
              </w:tc>
              <w:tc>
                <w:tcPr>
                  <w:tcW w:w="4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E31889">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5 </w:t>
                  </w: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EEAEA1">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71.0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5C66B">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昼夜</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45D88">
                  <w:pPr>
                    <w:widowControl/>
                    <w:jc w:val="center"/>
                    <w:textAlignment w:val="center"/>
                    <w:rPr>
                      <w:color w:val="auto"/>
                      <w:kern w:val="0"/>
                      <w:sz w:val="16"/>
                      <w:szCs w:val="16"/>
                      <w:highlight w:val="none"/>
                      <w:lang w:bidi="ar"/>
                    </w:rPr>
                  </w:pPr>
                  <w:r>
                    <w:rPr>
                      <w:color w:val="auto"/>
                      <w:kern w:val="0"/>
                      <w:sz w:val="16"/>
                      <w:szCs w:val="16"/>
                      <w:highlight w:val="none"/>
                      <w:lang w:bidi="ar"/>
                    </w:rPr>
                    <w:t>20</w:t>
                  </w:r>
                </w:p>
              </w:tc>
              <w:tc>
                <w:tcPr>
                  <w:tcW w:w="6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ECE0A4">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45.0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A9A65">
                  <w:pPr>
                    <w:widowControl/>
                    <w:jc w:val="center"/>
                    <w:textAlignment w:val="center"/>
                    <w:rPr>
                      <w:color w:val="auto"/>
                      <w:kern w:val="0"/>
                      <w:sz w:val="16"/>
                      <w:szCs w:val="16"/>
                      <w:highlight w:val="none"/>
                      <w:lang w:bidi="ar"/>
                    </w:rPr>
                  </w:pPr>
                  <w:r>
                    <w:rPr>
                      <w:color w:val="auto"/>
                      <w:kern w:val="0"/>
                      <w:sz w:val="16"/>
                      <w:szCs w:val="16"/>
                      <w:highlight w:val="none"/>
                      <w:lang w:bidi="ar"/>
                    </w:rPr>
                    <w:t>1</w:t>
                  </w:r>
                </w:p>
              </w:tc>
            </w:tr>
            <w:tr w14:paraId="5894535B">
              <w:tblPrEx>
                <w:tblCellMar>
                  <w:top w:w="0" w:type="dxa"/>
                  <w:left w:w="108" w:type="dxa"/>
                  <w:bottom w:w="0" w:type="dxa"/>
                  <w:right w:w="108" w:type="dxa"/>
                </w:tblCellMar>
              </w:tblPrEx>
              <w:trPr>
                <w:trHeight w:val="340" w:hRule="atLeast"/>
                <w:jc w:val="center"/>
              </w:trPr>
              <w:tc>
                <w:tcPr>
                  <w:tcW w:w="3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0EAA9B">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3</w:t>
                  </w:r>
                </w:p>
              </w:tc>
              <w:tc>
                <w:tcPr>
                  <w:tcW w:w="388" w:type="dxa"/>
                  <w:vMerge w:val="continue"/>
                  <w:tcBorders>
                    <w:left w:val="single" w:color="000000" w:sz="4" w:space="0"/>
                    <w:right w:val="single" w:color="000000" w:sz="4" w:space="0"/>
                  </w:tcBorders>
                  <w:shd w:val="clear" w:color="auto" w:fill="auto"/>
                  <w:noWrap/>
                  <w:vAlign w:val="center"/>
                </w:tcPr>
                <w:p w14:paraId="7B1830A1">
                  <w:pPr>
                    <w:jc w:val="center"/>
                    <w:rPr>
                      <w:color w:val="auto"/>
                      <w:sz w:val="16"/>
                      <w:szCs w:val="16"/>
                      <w:highlight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5FD7B">
                  <w:pPr>
                    <w:widowControl/>
                    <w:jc w:val="center"/>
                    <w:textAlignment w:val="center"/>
                    <w:rPr>
                      <w:color w:val="auto"/>
                      <w:sz w:val="16"/>
                      <w:szCs w:val="16"/>
                      <w:highlight w:val="none"/>
                    </w:rPr>
                  </w:pPr>
                  <w:r>
                    <w:rPr>
                      <w:rFonts w:hint="eastAsia"/>
                      <w:color w:val="auto"/>
                      <w:sz w:val="16"/>
                      <w:szCs w:val="16"/>
                      <w:highlight w:val="none"/>
                    </w:rPr>
                    <w:t>二维激光切割</w:t>
                  </w:r>
                </w:p>
              </w:tc>
              <w:tc>
                <w:tcPr>
                  <w:tcW w:w="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26C6">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28A031">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80</w:t>
                  </w:r>
                </w:p>
              </w:tc>
              <w:tc>
                <w:tcPr>
                  <w:tcW w:w="624" w:type="dxa"/>
                  <w:vMerge w:val="continue"/>
                  <w:tcBorders>
                    <w:left w:val="single" w:color="000000" w:sz="4" w:space="0"/>
                    <w:right w:val="single" w:color="000000" w:sz="4" w:space="0"/>
                  </w:tcBorders>
                  <w:shd w:val="clear" w:color="auto" w:fill="FFFFFF"/>
                  <w:vAlign w:val="center"/>
                </w:tcPr>
                <w:p w14:paraId="47579C57">
                  <w:pPr>
                    <w:widowControl/>
                    <w:jc w:val="center"/>
                    <w:textAlignment w:val="center"/>
                    <w:rPr>
                      <w:color w:val="auto"/>
                      <w:kern w:val="0"/>
                      <w:sz w:val="16"/>
                      <w:szCs w:val="16"/>
                      <w:highlight w:val="none"/>
                      <w:lang w:bidi="ar"/>
                    </w:rPr>
                  </w:pP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D81E3">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-50</w:t>
                  </w: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86FB0B">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-20</w:t>
                  </w:r>
                </w:p>
              </w:tc>
              <w:tc>
                <w:tcPr>
                  <w:tcW w:w="5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449DB8">
                  <w:pPr>
                    <w:widowControl/>
                    <w:jc w:val="center"/>
                    <w:textAlignment w:val="center"/>
                    <w:rPr>
                      <w:color w:val="auto"/>
                      <w:kern w:val="0"/>
                      <w:sz w:val="16"/>
                      <w:szCs w:val="16"/>
                      <w:highlight w:val="none"/>
                      <w:lang w:bidi="ar"/>
                    </w:rPr>
                  </w:pPr>
                  <w:r>
                    <w:rPr>
                      <w:rFonts w:eastAsia="等线"/>
                      <w:color w:val="auto"/>
                      <w:kern w:val="0"/>
                      <w:sz w:val="16"/>
                      <w:szCs w:val="16"/>
                      <w:highlight w:val="none"/>
                      <w:lang w:bidi="ar"/>
                    </w:rPr>
                    <w:t>0.5</w:t>
                  </w:r>
                </w:p>
              </w:tc>
              <w:tc>
                <w:tcPr>
                  <w:tcW w:w="4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D48EC7">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18 </w:t>
                  </w: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3111A7">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54.9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5DC1A3">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昼夜</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1626E">
                  <w:pPr>
                    <w:widowControl/>
                    <w:jc w:val="center"/>
                    <w:textAlignment w:val="center"/>
                    <w:rPr>
                      <w:color w:val="auto"/>
                      <w:kern w:val="0"/>
                      <w:sz w:val="16"/>
                      <w:szCs w:val="16"/>
                      <w:highlight w:val="none"/>
                      <w:lang w:bidi="ar"/>
                    </w:rPr>
                  </w:pPr>
                  <w:r>
                    <w:rPr>
                      <w:color w:val="auto"/>
                      <w:kern w:val="0"/>
                      <w:sz w:val="16"/>
                      <w:szCs w:val="16"/>
                      <w:highlight w:val="none"/>
                      <w:lang w:bidi="ar"/>
                    </w:rPr>
                    <w:t>20</w:t>
                  </w:r>
                </w:p>
              </w:tc>
              <w:tc>
                <w:tcPr>
                  <w:tcW w:w="6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865CCC">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28.9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E95D40">
                  <w:pPr>
                    <w:widowControl/>
                    <w:jc w:val="center"/>
                    <w:textAlignment w:val="center"/>
                    <w:rPr>
                      <w:color w:val="auto"/>
                      <w:kern w:val="0"/>
                      <w:sz w:val="16"/>
                      <w:szCs w:val="16"/>
                      <w:highlight w:val="none"/>
                      <w:lang w:bidi="ar"/>
                    </w:rPr>
                  </w:pPr>
                  <w:r>
                    <w:rPr>
                      <w:color w:val="auto"/>
                      <w:kern w:val="0"/>
                      <w:sz w:val="16"/>
                      <w:szCs w:val="16"/>
                      <w:highlight w:val="none"/>
                      <w:lang w:bidi="ar"/>
                    </w:rPr>
                    <w:t>1</w:t>
                  </w:r>
                </w:p>
              </w:tc>
            </w:tr>
            <w:tr w14:paraId="209A12E2">
              <w:tblPrEx>
                <w:tblCellMar>
                  <w:top w:w="0" w:type="dxa"/>
                  <w:left w:w="108" w:type="dxa"/>
                  <w:bottom w:w="0" w:type="dxa"/>
                  <w:right w:w="108" w:type="dxa"/>
                </w:tblCellMar>
              </w:tblPrEx>
              <w:trPr>
                <w:trHeight w:val="340" w:hRule="atLeast"/>
                <w:jc w:val="center"/>
              </w:trPr>
              <w:tc>
                <w:tcPr>
                  <w:tcW w:w="3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B1BF5">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4</w:t>
                  </w:r>
                </w:p>
              </w:tc>
              <w:tc>
                <w:tcPr>
                  <w:tcW w:w="388" w:type="dxa"/>
                  <w:vMerge w:val="continue"/>
                  <w:tcBorders>
                    <w:left w:val="single" w:color="000000" w:sz="4" w:space="0"/>
                    <w:right w:val="single" w:color="000000" w:sz="4" w:space="0"/>
                  </w:tcBorders>
                  <w:shd w:val="clear" w:color="auto" w:fill="auto"/>
                  <w:noWrap/>
                  <w:vAlign w:val="center"/>
                </w:tcPr>
                <w:p w14:paraId="3170FA5E">
                  <w:pPr>
                    <w:jc w:val="center"/>
                    <w:rPr>
                      <w:color w:val="auto"/>
                      <w:sz w:val="16"/>
                      <w:szCs w:val="16"/>
                      <w:highlight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5FF10">
                  <w:pPr>
                    <w:widowControl/>
                    <w:jc w:val="center"/>
                    <w:textAlignment w:val="center"/>
                    <w:rPr>
                      <w:color w:val="auto"/>
                      <w:sz w:val="16"/>
                      <w:szCs w:val="16"/>
                      <w:highlight w:val="none"/>
                    </w:rPr>
                  </w:pPr>
                  <w:r>
                    <w:rPr>
                      <w:rFonts w:hint="eastAsia"/>
                      <w:color w:val="auto"/>
                      <w:sz w:val="16"/>
                      <w:szCs w:val="16"/>
                      <w:highlight w:val="none"/>
                    </w:rPr>
                    <w:t>三维激光切割</w:t>
                  </w:r>
                </w:p>
              </w:tc>
              <w:tc>
                <w:tcPr>
                  <w:tcW w:w="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1E851">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C4DDDF">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80</w:t>
                  </w:r>
                </w:p>
              </w:tc>
              <w:tc>
                <w:tcPr>
                  <w:tcW w:w="624" w:type="dxa"/>
                  <w:vMerge w:val="continue"/>
                  <w:tcBorders>
                    <w:left w:val="single" w:color="000000" w:sz="4" w:space="0"/>
                    <w:right w:val="single" w:color="000000" w:sz="4" w:space="0"/>
                  </w:tcBorders>
                  <w:shd w:val="clear" w:color="auto" w:fill="FFFFFF"/>
                  <w:vAlign w:val="center"/>
                </w:tcPr>
                <w:p w14:paraId="33CB6785">
                  <w:pPr>
                    <w:widowControl/>
                    <w:jc w:val="center"/>
                    <w:textAlignment w:val="center"/>
                    <w:rPr>
                      <w:color w:val="auto"/>
                      <w:kern w:val="0"/>
                      <w:sz w:val="16"/>
                      <w:szCs w:val="16"/>
                      <w:highlight w:val="none"/>
                      <w:lang w:bidi="ar"/>
                    </w:rPr>
                  </w:pP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A4178F">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60</w:t>
                  </w: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35794E">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50</w:t>
                  </w:r>
                </w:p>
              </w:tc>
              <w:tc>
                <w:tcPr>
                  <w:tcW w:w="5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7D65A6">
                  <w:pPr>
                    <w:widowControl/>
                    <w:jc w:val="center"/>
                    <w:textAlignment w:val="center"/>
                    <w:rPr>
                      <w:color w:val="auto"/>
                      <w:kern w:val="0"/>
                      <w:sz w:val="16"/>
                      <w:szCs w:val="16"/>
                      <w:highlight w:val="none"/>
                      <w:lang w:bidi="ar"/>
                    </w:rPr>
                  </w:pPr>
                  <w:r>
                    <w:rPr>
                      <w:rFonts w:eastAsia="等线"/>
                      <w:color w:val="auto"/>
                      <w:kern w:val="0"/>
                      <w:sz w:val="16"/>
                      <w:szCs w:val="16"/>
                      <w:highlight w:val="none"/>
                      <w:lang w:bidi="ar"/>
                    </w:rPr>
                    <w:t>0.5</w:t>
                  </w:r>
                </w:p>
              </w:tc>
              <w:tc>
                <w:tcPr>
                  <w:tcW w:w="4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D14CF">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3 </w:t>
                  </w: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3759E4">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70.5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46C882">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昼夜</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603D">
                  <w:pPr>
                    <w:widowControl/>
                    <w:jc w:val="center"/>
                    <w:textAlignment w:val="center"/>
                    <w:rPr>
                      <w:color w:val="auto"/>
                      <w:kern w:val="0"/>
                      <w:sz w:val="16"/>
                      <w:szCs w:val="16"/>
                      <w:highlight w:val="none"/>
                      <w:lang w:bidi="ar"/>
                    </w:rPr>
                  </w:pPr>
                  <w:r>
                    <w:rPr>
                      <w:color w:val="auto"/>
                      <w:kern w:val="0"/>
                      <w:sz w:val="16"/>
                      <w:szCs w:val="16"/>
                      <w:highlight w:val="none"/>
                      <w:lang w:bidi="ar"/>
                    </w:rPr>
                    <w:t>20</w:t>
                  </w:r>
                </w:p>
              </w:tc>
              <w:tc>
                <w:tcPr>
                  <w:tcW w:w="6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479B91">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44.5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31BE8D">
                  <w:pPr>
                    <w:widowControl/>
                    <w:jc w:val="center"/>
                    <w:textAlignment w:val="center"/>
                    <w:rPr>
                      <w:color w:val="auto"/>
                      <w:kern w:val="0"/>
                      <w:sz w:val="16"/>
                      <w:szCs w:val="16"/>
                      <w:highlight w:val="none"/>
                      <w:lang w:bidi="ar"/>
                    </w:rPr>
                  </w:pPr>
                  <w:r>
                    <w:rPr>
                      <w:color w:val="auto"/>
                      <w:kern w:val="0"/>
                      <w:sz w:val="16"/>
                      <w:szCs w:val="16"/>
                      <w:highlight w:val="none"/>
                      <w:lang w:bidi="ar"/>
                    </w:rPr>
                    <w:t>1</w:t>
                  </w:r>
                </w:p>
              </w:tc>
            </w:tr>
            <w:tr w14:paraId="3A1A201D">
              <w:tblPrEx>
                <w:tblCellMar>
                  <w:top w:w="0" w:type="dxa"/>
                  <w:left w:w="108" w:type="dxa"/>
                  <w:bottom w:w="0" w:type="dxa"/>
                  <w:right w:w="108" w:type="dxa"/>
                </w:tblCellMar>
              </w:tblPrEx>
              <w:trPr>
                <w:trHeight w:val="340" w:hRule="atLeast"/>
                <w:jc w:val="center"/>
              </w:trPr>
              <w:tc>
                <w:tcPr>
                  <w:tcW w:w="3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2A2118">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5</w:t>
                  </w:r>
                </w:p>
              </w:tc>
              <w:tc>
                <w:tcPr>
                  <w:tcW w:w="388" w:type="dxa"/>
                  <w:vMerge w:val="continue"/>
                  <w:tcBorders>
                    <w:left w:val="single" w:color="000000" w:sz="4" w:space="0"/>
                    <w:right w:val="single" w:color="000000" w:sz="4" w:space="0"/>
                  </w:tcBorders>
                  <w:shd w:val="clear" w:color="auto" w:fill="auto"/>
                  <w:noWrap/>
                  <w:vAlign w:val="center"/>
                </w:tcPr>
                <w:p w14:paraId="59A2F1F3">
                  <w:pPr>
                    <w:jc w:val="center"/>
                    <w:rPr>
                      <w:color w:val="auto"/>
                      <w:sz w:val="16"/>
                      <w:szCs w:val="16"/>
                      <w:highlight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023A3">
                  <w:pPr>
                    <w:widowControl/>
                    <w:jc w:val="center"/>
                    <w:textAlignment w:val="center"/>
                    <w:rPr>
                      <w:color w:val="auto"/>
                      <w:sz w:val="16"/>
                      <w:szCs w:val="16"/>
                      <w:highlight w:val="none"/>
                    </w:rPr>
                  </w:pPr>
                  <w:r>
                    <w:rPr>
                      <w:rFonts w:hint="eastAsia"/>
                      <w:color w:val="auto"/>
                      <w:sz w:val="16"/>
                      <w:szCs w:val="16"/>
                      <w:highlight w:val="none"/>
                    </w:rPr>
                    <w:t>小型冲压机</w:t>
                  </w:r>
                </w:p>
              </w:tc>
              <w:tc>
                <w:tcPr>
                  <w:tcW w:w="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2053C">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10</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EF2C26">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90</w:t>
                  </w:r>
                </w:p>
              </w:tc>
              <w:tc>
                <w:tcPr>
                  <w:tcW w:w="624" w:type="dxa"/>
                  <w:vMerge w:val="continue"/>
                  <w:tcBorders>
                    <w:left w:val="single" w:color="000000" w:sz="4" w:space="0"/>
                    <w:right w:val="single" w:color="000000" w:sz="4" w:space="0"/>
                  </w:tcBorders>
                  <w:shd w:val="clear" w:color="auto" w:fill="FFFFFF"/>
                  <w:vAlign w:val="center"/>
                </w:tcPr>
                <w:p w14:paraId="77FDEDFD">
                  <w:pPr>
                    <w:widowControl/>
                    <w:jc w:val="center"/>
                    <w:textAlignment w:val="center"/>
                    <w:rPr>
                      <w:color w:val="auto"/>
                      <w:kern w:val="0"/>
                      <w:sz w:val="16"/>
                      <w:szCs w:val="16"/>
                      <w:highlight w:val="none"/>
                      <w:lang w:bidi="ar"/>
                    </w:rPr>
                  </w:pP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77E7BD">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-50</w:t>
                  </w: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83C05">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50</w:t>
                  </w:r>
                </w:p>
              </w:tc>
              <w:tc>
                <w:tcPr>
                  <w:tcW w:w="5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080E6A">
                  <w:pPr>
                    <w:widowControl/>
                    <w:jc w:val="center"/>
                    <w:textAlignment w:val="center"/>
                    <w:rPr>
                      <w:color w:val="auto"/>
                      <w:kern w:val="0"/>
                      <w:sz w:val="16"/>
                      <w:szCs w:val="16"/>
                      <w:highlight w:val="none"/>
                      <w:lang w:bidi="ar"/>
                    </w:rPr>
                  </w:pPr>
                  <w:r>
                    <w:rPr>
                      <w:rFonts w:eastAsia="等线"/>
                      <w:color w:val="auto"/>
                      <w:kern w:val="0"/>
                      <w:sz w:val="16"/>
                      <w:szCs w:val="16"/>
                      <w:highlight w:val="none"/>
                      <w:lang w:bidi="ar"/>
                    </w:rPr>
                    <w:t>1</w:t>
                  </w:r>
                </w:p>
              </w:tc>
              <w:tc>
                <w:tcPr>
                  <w:tcW w:w="4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85B14">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2 </w:t>
                  </w: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6C0F6D">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84.0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D242CB">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昼夜</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32F9D">
                  <w:pPr>
                    <w:widowControl/>
                    <w:jc w:val="center"/>
                    <w:textAlignment w:val="center"/>
                    <w:rPr>
                      <w:color w:val="auto"/>
                      <w:kern w:val="0"/>
                      <w:sz w:val="16"/>
                      <w:szCs w:val="16"/>
                      <w:highlight w:val="none"/>
                      <w:lang w:bidi="ar"/>
                    </w:rPr>
                  </w:pPr>
                  <w:r>
                    <w:rPr>
                      <w:color w:val="auto"/>
                      <w:kern w:val="0"/>
                      <w:sz w:val="16"/>
                      <w:szCs w:val="16"/>
                      <w:highlight w:val="none"/>
                      <w:lang w:bidi="ar"/>
                    </w:rPr>
                    <w:t>20</w:t>
                  </w:r>
                </w:p>
              </w:tc>
              <w:tc>
                <w:tcPr>
                  <w:tcW w:w="6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88F295">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58.0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ED216">
                  <w:pPr>
                    <w:widowControl/>
                    <w:jc w:val="center"/>
                    <w:textAlignment w:val="center"/>
                    <w:rPr>
                      <w:color w:val="auto"/>
                      <w:kern w:val="0"/>
                      <w:sz w:val="16"/>
                      <w:szCs w:val="16"/>
                      <w:highlight w:val="none"/>
                      <w:lang w:bidi="ar"/>
                    </w:rPr>
                  </w:pPr>
                  <w:r>
                    <w:rPr>
                      <w:color w:val="auto"/>
                      <w:kern w:val="0"/>
                      <w:sz w:val="16"/>
                      <w:szCs w:val="16"/>
                      <w:highlight w:val="none"/>
                      <w:lang w:bidi="ar"/>
                    </w:rPr>
                    <w:t>1</w:t>
                  </w:r>
                </w:p>
              </w:tc>
            </w:tr>
            <w:tr w14:paraId="2ED05576">
              <w:tblPrEx>
                <w:tblCellMar>
                  <w:top w:w="0" w:type="dxa"/>
                  <w:left w:w="108" w:type="dxa"/>
                  <w:bottom w:w="0" w:type="dxa"/>
                  <w:right w:w="108" w:type="dxa"/>
                </w:tblCellMar>
              </w:tblPrEx>
              <w:trPr>
                <w:trHeight w:val="340" w:hRule="atLeast"/>
                <w:jc w:val="center"/>
              </w:trPr>
              <w:tc>
                <w:tcPr>
                  <w:tcW w:w="3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070BD2">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6</w:t>
                  </w:r>
                </w:p>
              </w:tc>
              <w:tc>
                <w:tcPr>
                  <w:tcW w:w="388" w:type="dxa"/>
                  <w:vMerge w:val="continue"/>
                  <w:tcBorders>
                    <w:left w:val="single" w:color="000000" w:sz="4" w:space="0"/>
                    <w:right w:val="single" w:color="000000" w:sz="4" w:space="0"/>
                  </w:tcBorders>
                  <w:shd w:val="clear" w:color="auto" w:fill="auto"/>
                  <w:noWrap/>
                  <w:vAlign w:val="center"/>
                </w:tcPr>
                <w:p w14:paraId="32841BB1">
                  <w:pPr>
                    <w:widowControl/>
                    <w:jc w:val="center"/>
                    <w:textAlignment w:val="center"/>
                    <w:rPr>
                      <w:color w:val="auto"/>
                      <w:sz w:val="16"/>
                      <w:szCs w:val="16"/>
                      <w:highlight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76E27">
                  <w:pPr>
                    <w:widowControl/>
                    <w:jc w:val="center"/>
                    <w:textAlignment w:val="center"/>
                    <w:rPr>
                      <w:color w:val="auto"/>
                      <w:sz w:val="16"/>
                      <w:szCs w:val="16"/>
                      <w:highlight w:val="none"/>
                    </w:rPr>
                  </w:pPr>
                  <w:r>
                    <w:rPr>
                      <w:rFonts w:hint="eastAsia"/>
                      <w:color w:val="auto"/>
                      <w:sz w:val="16"/>
                      <w:szCs w:val="16"/>
                      <w:highlight w:val="none"/>
                    </w:rPr>
                    <w:t>中型冲压机</w:t>
                  </w:r>
                </w:p>
              </w:tc>
              <w:tc>
                <w:tcPr>
                  <w:tcW w:w="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7452">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AAA599">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90</w:t>
                  </w:r>
                </w:p>
              </w:tc>
              <w:tc>
                <w:tcPr>
                  <w:tcW w:w="624" w:type="dxa"/>
                  <w:vMerge w:val="continue"/>
                  <w:tcBorders>
                    <w:left w:val="single" w:color="000000" w:sz="4" w:space="0"/>
                    <w:right w:val="single" w:color="000000" w:sz="4" w:space="0"/>
                  </w:tcBorders>
                  <w:shd w:val="clear" w:color="auto" w:fill="FFFFFF"/>
                  <w:vAlign w:val="center"/>
                </w:tcPr>
                <w:p w14:paraId="00ACA519">
                  <w:pPr>
                    <w:widowControl/>
                    <w:jc w:val="center"/>
                    <w:textAlignment w:val="center"/>
                    <w:rPr>
                      <w:color w:val="auto"/>
                      <w:kern w:val="0"/>
                      <w:sz w:val="16"/>
                      <w:szCs w:val="16"/>
                      <w:highlight w:val="none"/>
                      <w:lang w:bidi="ar"/>
                    </w:rPr>
                  </w:pP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7BC15E">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-15</w:t>
                  </w: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F3326B">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-2</w:t>
                  </w:r>
                </w:p>
              </w:tc>
              <w:tc>
                <w:tcPr>
                  <w:tcW w:w="5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DEA77F">
                  <w:pPr>
                    <w:widowControl/>
                    <w:jc w:val="center"/>
                    <w:textAlignment w:val="center"/>
                    <w:rPr>
                      <w:color w:val="auto"/>
                      <w:kern w:val="0"/>
                      <w:sz w:val="16"/>
                      <w:szCs w:val="16"/>
                      <w:highlight w:val="none"/>
                      <w:lang w:bidi="ar"/>
                    </w:rPr>
                  </w:pPr>
                  <w:r>
                    <w:rPr>
                      <w:rFonts w:eastAsia="等线"/>
                      <w:color w:val="auto"/>
                      <w:kern w:val="0"/>
                      <w:sz w:val="16"/>
                      <w:szCs w:val="16"/>
                      <w:highlight w:val="none"/>
                      <w:lang w:bidi="ar"/>
                    </w:rPr>
                    <w:t>1</w:t>
                  </w:r>
                </w:p>
              </w:tc>
              <w:tc>
                <w:tcPr>
                  <w:tcW w:w="4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1E6A2F">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10 </w:t>
                  </w: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56D2C">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70.0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C32845">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昼夜</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E690F">
                  <w:pPr>
                    <w:widowControl/>
                    <w:jc w:val="center"/>
                    <w:textAlignment w:val="center"/>
                    <w:rPr>
                      <w:color w:val="auto"/>
                      <w:kern w:val="0"/>
                      <w:sz w:val="16"/>
                      <w:szCs w:val="16"/>
                      <w:highlight w:val="none"/>
                      <w:lang w:bidi="ar"/>
                    </w:rPr>
                  </w:pPr>
                  <w:r>
                    <w:rPr>
                      <w:color w:val="auto"/>
                      <w:kern w:val="0"/>
                      <w:sz w:val="16"/>
                      <w:szCs w:val="16"/>
                      <w:highlight w:val="none"/>
                      <w:lang w:bidi="ar"/>
                    </w:rPr>
                    <w:t>20</w:t>
                  </w:r>
                </w:p>
              </w:tc>
              <w:tc>
                <w:tcPr>
                  <w:tcW w:w="6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56C839">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44.0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1B3D1B">
                  <w:pPr>
                    <w:widowControl/>
                    <w:jc w:val="center"/>
                    <w:textAlignment w:val="center"/>
                    <w:rPr>
                      <w:color w:val="auto"/>
                      <w:kern w:val="0"/>
                      <w:sz w:val="16"/>
                      <w:szCs w:val="16"/>
                      <w:highlight w:val="none"/>
                      <w:lang w:bidi="ar"/>
                    </w:rPr>
                  </w:pPr>
                  <w:r>
                    <w:rPr>
                      <w:color w:val="auto"/>
                      <w:kern w:val="0"/>
                      <w:sz w:val="16"/>
                      <w:szCs w:val="16"/>
                      <w:highlight w:val="none"/>
                      <w:lang w:bidi="ar"/>
                    </w:rPr>
                    <w:t>1</w:t>
                  </w:r>
                </w:p>
              </w:tc>
            </w:tr>
            <w:tr w14:paraId="10CB3B0C">
              <w:tblPrEx>
                <w:tblCellMar>
                  <w:top w:w="0" w:type="dxa"/>
                  <w:left w:w="108" w:type="dxa"/>
                  <w:bottom w:w="0" w:type="dxa"/>
                  <w:right w:w="108" w:type="dxa"/>
                </w:tblCellMar>
              </w:tblPrEx>
              <w:trPr>
                <w:trHeight w:val="340" w:hRule="atLeast"/>
                <w:jc w:val="center"/>
              </w:trPr>
              <w:tc>
                <w:tcPr>
                  <w:tcW w:w="3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E31909">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7</w:t>
                  </w:r>
                </w:p>
              </w:tc>
              <w:tc>
                <w:tcPr>
                  <w:tcW w:w="388" w:type="dxa"/>
                  <w:vMerge w:val="continue"/>
                  <w:tcBorders>
                    <w:left w:val="single" w:color="000000" w:sz="4" w:space="0"/>
                    <w:right w:val="single" w:color="000000" w:sz="4" w:space="0"/>
                  </w:tcBorders>
                  <w:shd w:val="clear" w:color="auto" w:fill="auto"/>
                  <w:noWrap/>
                  <w:vAlign w:val="center"/>
                </w:tcPr>
                <w:p w14:paraId="29AE0B20">
                  <w:pPr>
                    <w:widowControl/>
                    <w:jc w:val="center"/>
                    <w:textAlignment w:val="center"/>
                    <w:rPr>
                      <w:color w:val="auto"/>
                      <w:sz w:val="16"/>
                      <w:szCs w:val="16"/>
                      <w:highlight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5C8FD">
                  <w:pPr>
                    <w:widowControl/>
                    <w:jc w:val="center"/>
                    <w:textAlignment w:val="center"/>
                    <w:rPr>
                      <w:color w:val="auto"/>
                      <w:sz w:val="16"/>
                      <w:szCs w:val="16"/>
                      <w:highlight w:val="none"/>
                    </w:rPr>
                  </w:pPr>
                  <w:r>
                    <w:rPr>
                      <w:rFonts w:hint="eastAsia"/>
                      <w:color w:val="auto"/>
                      <w:sz w:val="16"/>
                      <w:szCs w:val="16"/>
                      <w:highlight w:val="none"/>
                    </w:rPr>
                    <w:t>中型液压机</w:t>
                  </w:r>
                </w:p>
              </w:tc>
              <w:tc>
                <w:tcPr>
                  <w:tcW w:w="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F583D">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09678">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90</w:t>
                  </w:r>
                </w:p>
              </w:tc>
              <w:tc>
                <w:tcPr>
                  <w:tcW w:w="624" w:type="dxa"/>
                  <w:vMerge w:val="continue"/>
                  <w:tcBorders>
                    <w:left w:val="single" w:color="000000" w:sz="4" w:space="0"/>
                    <w:right w:val="single" w:color="000000" w:sz="4" w:space="0"/>
                  </w:tcBorders>
                  <w:shd w:val="clear" w:color="auto" w:fill="FFFFFF"/>
                  <w:vAlign w:val="center"/>
                </w:tcPr>
                <w:p w14:paraId="088F4CEC">
                  <w:pPr>
                    <w:widowControl/>
                    <w:jc w:val="center"/>
                    <w:textAlignment w:val="center"/>
                    <w:rPr>
                      <w:color w:val="auto"/>
                      <w:kern w:val="0"/>
                      <w:sz w:val="16"/>
                      <w:szCs w:val="16"/>
                      <w:highlight w:val="none"/>
                      <w:lang w:bidi="ar"/>
                    </w:rPr>
                  </w:pP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9135A1">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-15</w:t>
                  </w: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EF7BA4">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25</w:t>
                  </w:r>
                </w:p>
              </w:tc>
              <w:tc>
                <w:tcPr>
                  <w:tcW w:w="5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11D4FE">
                  <w:pPr>
                    <w:widowControl/>
                    <w:jc w:val="center"/>
                    <w:textAlignment w:val="center"/>
                    <w:rPr>
                      <w:color w:val="auto"/>
                      <w:kern w:val="0"/>
                      <w:sz w:val="16"/>
                      <w:szCs w:val="16"/>
                      <w:highlight w:val="none"/>
                      <w:lang w:bidi="ar"/>
                    </w:rPr>
                  </w:pPr>
                  <w:r>
                    <w:rPr>
                      <w:rFonts w:eastAsia="等线"/>
                      <w:color w:val="auto"/>
                      <w:kern w:val="0"/>
                      <w:sz w:val="16"/>
                      <w:szCs w:val="16"/>
                      <w:highlight w:val="none"/>
                      <w:lang w:bidi="ar"/>
                    </w:rPr>
                    <w:t>1</w:t>
                  </w:r>
                </w:p>
              </w:tc>
              <w:tc>
                <w:tcPr>
                  <w:tcW w:w="4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D5BB78">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30 </w:t>
                  </w: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666004">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60.5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BD8399">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昼夜</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EB81">
                  <w:pPr>
                    <w:widowControl/>
                    <w:jc w:val="center"/>
                    <w:textAlignment w:val="center"/>
                    <w:rPr>
                      <w:color w:val="auto"/>
                      <w:kern w:val="0"/>
                      <w:sz w:val="16"/>
                      <w:szCs w:val="16"/>
                      <w:highlight w:val="none"/>
                      <w:lang w:bidi="ar"/>
                    </w:rPr>
                  </w:pPr>
                  <w:r>
                    <w:rPr>
                      <w:color w:val="auto"/>
                      <w:kern w:val="0"/>
                      <w:sz w:val="16"/>
                      <w:szCs w:val="16"/>
                      <w:highlight w:val="none"/>
                      <w:lang w:bidi="ar"/>
                    </w:rPr>
                    <w:t>20</w:t>
                  </w:r>
                </w:p>
              </w:tc>
              <w:tc>
                <w:tcPr>
                  <w:tcW w:w="6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ED707">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34.5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6A37C5">
                  <w:pPr>
                    <w:widowControl/>
                    <w:jc w:val="center"/>
                    <w:textAlignment w:val="center"/>
                    <w:rPr>
                      <w:color w:val="auto"/>
                      <w:kern w:val="0"/>
                      <w:sz w:val="16"/>
                      <w:szCs w:val="16"/>
                      <w:highlight w:val="none"/>
                      <w:lang w:bidi="ar"/>
                    </w:rPr>
                  </w:pPr>
                  <w:r>
                    <w:rPr>
                      <w:color w:val="auto"/>
                      <w:kern w:val="0"/>
                      <w:sz w:val="16"/>
                      <w:szCs w:val="16"/>
                      <w:highlight w:val="none"/>
                      <w:lang w:bidi="ar"/>
                    </w:rPr>
                    <w:t>1</w:t>
                  </w:r>
                </w:p>
              </w:tc>
            </w:tr>
            <w:tr w14:paraId="02B58EE1">
              <w:tblPrEx>
                <w:tblCellMar>
                  <w:top w:w="0" w:type="dxa"/>
                  <w:left w:w="108" w:type="dxa"/>
                  <w:bottom w:w="0" w:type="dxa"/>
                  <w:right w:w="108" w:type="dxa"/>
                </w:tblCellMar>
              </w:tblPrEx>
              <w:trPr>
                <w:trHeight w:val="340" w:hRule="atLeast"/>
                <w:jc w:val="center"/>
              </w:trPr>
              <w:tc>
                <w:tcPr>
                  <w:tcW w:w="3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A6087">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8</w:t>
                  </w:r>
                </w:p>
              </w:tc>
              <w:tc>
                <w:tcPr>
                  <w:tcW w:w="388" w:type="dxa"/>
                  <w:vMerge w:val="continue"/>
                  <w:tcBorders>
                    <w:left w:val="single" w:color="000000" w:sz="4" w:space="0"/>
                    <w:right w:val="single" w:color="000000" w:sz="4" w:space="0"/>
                  </w:tcBorders>
                  <w:shd w:val="clear" w:color="auto" w:fill="auto"/>
                  <w:noWrap/>
                  <w:vAlign w:val="center"/>
                </w:tcPr>
                <w:p w14:paraId="27B6864D">
                  <w:pPr>
                    <w:widowControl/>
                    <w:jc w:val="center"/>
                    <w:textAlignment w:val="center"/>
                    <w:rPr>
                      <w:color w:val="auto"/>
                      <w:sz w:val="16"/>
                      <w:szCs w:val="16"/>
                      <w:highlight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E5E0">
                  <w:pPr>
                    <w:widowControl/>
                    <w:jc w:val="center"/>
                    <w:textAlignment w:val="center"/>
                    <w:rPr>
                      <w:color w:val="auto"/>
                      <w:sz w:val="16"/>
                      <w:szCs w:val="16"/>
                      <w:highlight w:val="none"/>
                    </w:rPr>
                  </w:pPr>
                  <w:r>
                    <w:rPr>
                      <w:rFonts w:hint="eastAsia"/>
                      <w:color w:val="auto"/>
                      <w:sz w:val="16"/>
                      <w:szCs w:val="16"/>
                      <w:highlight w:val="none"/>
                    </w:rPr>
                    <w:t>油压液压机</w:t>
                  </w:r>
                </w:p>
              </w:tc>
              <w:tc>
                <w:tcPr>
                  <w:tcW w:w="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5E945">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8FEB19">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90</w:t>
                  </w:r>
                </w:p>
              </w:tc>
              <w:tc>
                <w:tcPr>
                  <w:tcW w:w="624" w:type="dxa"/>
                  <w:vMerge w:val="continue"/>
                  <w:tcBorders>
                    <w:left w:val="single" w:color="000000" w:sz="4" w:space="0"/>
                    <w:right w:val="single" w:color="000000" w:sz="4" w:space="0"/>
                  </w:tcBorders>
                  <w:shd w:val="clear" w:color="auto" w:fill="FFFFFF"/>
                  <w:vAlign w:val="center"/>
                </w:tcPr>
                <w:p w14:paraId="09F55976">
                  <w:pPr>
                    <w:widowControl/>
                    <w:jc w:val="center"/>
                    <w:textAlignment w:val="center"/>
                    <w:rPr>
                      <w:color w:val="auto"/>
                      <w:kern w:val="0"/>
                      <w:sz w:val="16"/>
                      <w:szCs w:val="16"/>
                      <w:highlight w:val="none"/>
                      <w:lang w:bidi="ar"/>
                    </w:rPr>
                  </w:pP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5305E3">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18</w:t>
                  </w: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F81F2">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20</w:t>
                  </w:r>
                </w:p>
              </w:tc>
              <w:tc>
                <w:tcPr>
                  <w:tcW w:w="5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EF785">
                  <w:pPr>
                    <w:widowControl/>
                    <w:jc w:val="center"/>
                    <w:textAlignment w:val="center"/>
                    <w:rPr>
                      <w:color w:val="auto"/>
                      <w:kern w:val="0"/>
                      <w:sz w:val="16"/>
                      <w:szCs w:val="16"/>
                      <w:highlight w:val="none"/>
                      <w:lang w:bidi="ar"/>
                    </w:rPr>
                  </w:pPr>
                  <w:r>
                    <w:rPr>
                      <w:rFonts w:eastAsia="等线"/>
                      <w:color w:val="auto"/>
                      <w:kern w:val="0"/>
                      <w:sz w:val="16"/>
                      <w:szCs w:val="16"/>
                      <w:highlight w:val="none"/>
                      <w:lang w:bidi="ar"/>
                    </w:rPr>
                    <w:t>0</w:t>
                  </w:r>
                </w:p>
              </w:tc>
              <w:tc>
                <w:tcPr>
                  <w:tcW w:w="4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B945FE">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23 </w:t>
                  </w: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AD2DAF">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62.8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81F8F">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昼夜</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5B0D">
                  <w:pPr>
                    <w:widowControl/>
                    <w:jc w:val="center"/>
                    <w:textAlignment w:val="center"/>
                    <w:rPr>
                      <w:color w:val="auto"/>
                      <w:kern w:val="0"/>
                      <w:sz w:val="16"/>
                      <w:szCs w:val="16"/>
                      <w:highlight w:val="none"/>
                      <w:lang w:bidi="ar"/>
                    </w:rPr>
                  </w:pPr>
                  <w:r>
                    <w:rPr>
                      <w:color w:val="auto"/>
                      <w:kern w:val="0"/>
                      <w:sz w:val="16"/>
                      <w:szCs w:val="16"/>
                      <w:highlight w:val="none"/>
                      <w:lang w:bidi="ar"/>
                    </w:rPr>
                    <w:t>20</w:t>
                  </w:r>
                </w:p>
              </w:tc>
              <w:tc>
                <w:tcPr>
                  <w:tcW w:w="6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E464ED">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36.8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75BDF">
                  <w:pPr>
                    <w:widowControl/>
                    <w:jc w:val="center"/>
                    <w:textAlignment w:val="center"/>
                    <w:rPr>
                      <w:color w:val="auto"/>
                      <w:kern w:val="0"/>
                      <w:sz w:val="16"/>
                      <w:szCs w:val="16"/>
                      <w:highlight w:val="none"/>
                      <w:lang w:bidi="ar"/>
                    </w:rPr>
                  </w:pPr>
                  <w:r>
                    <w:rPr>
                      <w:color w:val="auto"/>
                      <w:kern w:val="0"/>
                      <w:sz w:val="16"/>
                      <w:szCs w:val="16"/>
                      <w:highlight w:val="none"/>
                      <w:lang w:bidi="ar"/>
                    </w:rPr>
                    <w:t>1</w:t>
                  </w:r>
                </w:p>
              </w:tc>
            </w:tr>
            <w:tr w14:paraId="438A508E">
              <w:tblPrEx>
                <w:tblCellMar>
                  <w:top w:w="0" w:type="dxa"/>
                  <w:left w:w="108" w:type="dxa"/>
                  <w:bottom w:w="0" w:type="dxa"/>
                  <w:right w:w="108" w:type="dxa"/>
                </w:tblCellMar>
              </w:tblPrEx>
              <w:trPr>
                <w:trHeight w:val="340" w:hRule="atLeast"/>
                <w:jc w:val="center"/>
              </w:trPr>
              <w:tc>
                <w:tcPr>
                  <w:tcW w:w="3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6A6F6">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9</w:t>
                  </w:r>
                </w:p>
              </w:tc>
              <w:tc>
                <w:tcPr>
                  <w:tcW w:w="388" w:type="dxa"/>
                  <w:vMerge w:val="continue"/>
                  <w:tcBorders>
                    <w:left w:val="single" w:color="000000" w:sz="4" w:space="0"/>
                    <w:right w:val="single" w:color="000000" w:sz="4" w:space="0"/>
                  </w:tcBorders>
                  <w:shd w:val="clear" w:color="auto" w:fill="auto"/>
                  <w:noWrap/>
                  <w:vAlign w:val="center"/>
                </w:tcPr>
                <w:p w14:paraId="6A2035F3">
                  <w:pPr>
                    <w:widowControl/>
                    <w:jc w:val="center"/>
                    <w:textAlignment w:val="center"/>
                    <w:rPr>
                      <w:color w:val="auto"/>
                      <w:sz w:val="16"/>
                      <w:szCs w:val="16"/>
                      <w:highlight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E79A2">
                  <w:pPr>
                    <w:widowControl/>
                    <w:jc w:val="center"/>
                    <w:textAlignment w:val="center"/>
                    <w:rPr>
                      <w:color w:val="auto"/>
                      <w:sz w:val="16"/>
                      <w:szCs w:val="16"/>
                      <w:highlight w:val="none"/>
                    </w:rPr>
                  </w:pPr>
                  <w:r>
                    <w:rPr>
                      <w:rFonts w:hint="eastAsia"/>
                      <w:color w:val="auto"/>
                      <w:sz w:val="16"/>
                      <w:szCs w:val="16"/>
                      <w:highlight w:val="none"/>
                    </w:rPr>
                    <w:t>悬点焊机</w:t>
                  </w:r>
                </w:p>
              </w:tc>
              <w:tc>
                <w:tcPr>
                  <w:tcW w:w="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CC6E0">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9969E7">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75</w:t>
                  </w:r>
                </w:p>
              </w:tc>
              <w:tc>
                <w:tcPr>
                  <w:tcW w:w="624" w:type="dxa"/>
                  <w:vMerge w:val="continue"/>
                  <w:tcBorders>
                    <w:left w:val="single" w:color="000000" w:sz="4" w:space="0"/>
                    <w:right w:val="single" w:color="000000" w:sz="4" w:space="0"/>
                  </w:tcBorders>
                  <w:shd w:val="clear" w:color="auto" w:fill="FFFFFF"/>
                  <w:vAlign w:val="center"/>
                </w:tcPr>
                <w:p w14:paraId="332A03E5">
                  <w:pPr>
                    <w:widowControl/>
                    <w:jc w:val="center"/>
                    <w:textAlignment w:val="center"/>
                    <w:rPr>
                      <w:color w:val="auto"/>
                      <w:kern w:val="0"/>
                      <w:sz w:val="16"/>
                      <w:szCs w:val="16"/>
                      <w:highlight w:val="none"/>
                      <w:lang w:bidi="ar"/>
                    </w:rPr>
                  </w:pP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A0BF8">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-65</w:t>
                  </w: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62843">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18</w:t>
                  </w:r>
                </w:p>
              </w:tc>
              <w:tc>
                <w:tcPr>
                  <w:tcW w:w="5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75905">
                  <w:pPr>
                    <w:widowControl/>
                    <w:jc w:val="center"/>
                    <w:textAlignment w:val="center"/>
                    <w:rPr>
                      <w:color w:val="auto"/>
                      <w:kern w:val="0"/>
                      <w:sz w:val="16"/>
                      <w:szCs w:val="16"/>
                      <w:highlight w:val="none"/>
                      <w:lang w:bidi="ar"/>
                    </w:rPr>
                  </w:pPr>
                  <w:r>
                    <w:rPr>
                      <w:rFonts w:eastAsia="等线"/>
                      <w:color w:val="auto"/>
                      <w:kern w:val="0"/>
                      <w:sz w:val="16"/>
                      <w:szCs w:val="16"/>
                      <w:highlight w:val="none"/>
                      <w:lang w:bidi="ar"/>
                    </w:rPr>
                    <w:t>1.2</w:t>
                  </w:r>
                </w:p>
              </w:tc>
              <w:tc>
                <w:tcPr>
                  <w:tcW w:w="4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86521">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4 </w:t>
                  </w: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74085">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63.0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C44DB">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昼夜</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1C614">
                  <w:pPr>
                    <w:widowControl/>
                    <w:jc w:val="center"/>
                    <w:textAlignment w:val="center"/>
                    <w:rPr>
                      <w:color w:val="auto"/>
                      <w:kern w:val="0"/>
                      <w:sz w:val="16"/>
                      <w:szCs w:val="16"/>
                      <w:highlight w:val="none"/>
                      <w:lang w:bidi="ar"/>
                    </w:rPr>
                  </w:pPr>
                  <w:r>
                    <w:rPr>
                      <w:color w:val="auto"/>
                      <w:kern w:val="0"/>
                      <w:sz w:val="16"/>
                      <w:szCs w:val="16"/>
                      <w:highlight w:val="none"/>
                      <w:lang w:bidi="ar"/>
                    </w:rPr>
                    <w:t>20</w:t>
                  </w:r>
                </w:p>
              </w:tc>
              <w:tc>
                <w:tcPr>
                  <w:tcW w:w="6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D0558">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37.0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9E9FBE">
                  <w:pPr>
                    <w:widowControl/>
                    <w:jc w:val="center"/>
                    <w:textAlignment w:val="center"/>
                    <w:rPr>
                      <w:color w:val="auto"/>
                      <w:kern w:val="0"/>
                      <w:sz w:val="16"/>
                      <w:szCs w:val="16"/>
                      <w:highlight w:val="none"/>
                      <w:lang w:bidi="ar"/>
                    </w:rPr>
                  </w:pPr>
                  <w:r>
                    <w:rPr>
                      <w:color w:val="auto"/>
                      <w:kern w:val="0"/>
                      <w:sz w:val="16"/>
                      <w:szCs w:val="16"/>
                      <w:highlight w:val="none"/>
                      <w:lang w:bidi="ar"/>
                    </w:rPr>
                    <w:t>1</w:t>
                  </w:r>
                </w:p>
              </w:tc>
            </w:tr>
            <w:tr w14:paraId="3AA2BC91">
              <w:tblPrEx>
                <w:tblCellMar>
                  <w:top w:w="0" w:type="dxa"/>
                  <w:left w:w="108" w:type="dxa"/>
                  <w:bottom w:w="0" w:type="dxa"/>
                  <w:right w:w="108" w:type="dxa"/>
                </w:tblCellMar>
              </w:tblPrEx>
              <w:trPr>
                <w:trHeight w:val="340" w:hRule="atLeast"/>
                <w:jc w:val="center"/>
              </w:trPr>
              <w:tc>
                <w:tcPr>
                  <w:tcW w:w="3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392E6">
                  <w:pPr>
                    <w:widowControl/>
                    <w:jc w:val="center"/>
                    <w:textAlignment w:val="center"/>
                    <w:rPr>
                      <w:rFonts w:eastAsia="等线"/>
                      <w:color w:val="auto"/>
                      <w:kern w:val="0"/>
                      <w:sz w:val="16"/>
                      <w:szCs w:val="16"/>
                      <w:highlight w:val="none"/>
                      <w:lang w:bidi="ar"/>
                    </w:rPr>
                  </w:pPr>
                  <w:r>
                    <w:rPr>
                      <w:rFonts w:hint="eastAsia" w:eastAsia="等线"/>
                      <w:color w:val="auto"/>
                      <w:kern w:val="0"/>
                      <w:sz w:val="16"/>
                      <w:szCs w:val="16"/>
                      <w:highlight w:val="none"/>
                      <w:lang w:bidi="ar"/>
                    </w:rPr>
                    <w:t>10</w:t>
                  </w:r>
                </w:p>
              </w:tc>
              <w:tc>
                <w:tcPr>
                  <w:tcW w:w="388" w:type="dxa"/>
                  <w:vMerge w:val="continue"/>
                  <w:tcBorders>
                    <w:left w:val="single" w:color="000000" w:sz="4" w:space="0"/>
                    <w:right w:val="single" w:color="000000" w:sz="4" w:space="0"/>
                  </w:tcBorders>
                  <w:shd w:val="clear" w:color="auto" w:fill="auto"/>
                  <w:noWrap/>
                  <w:vAlign w:val="center"/>
                </w:tcPr>
                <w:p w14:paraId="3BEE6F0D">
                  <w:pPr>
                    <w:widowControl/>
                    <w:jc w:val="center"/>
                    <w:textAlignment w:val="center"/>
                    <w:rPr>
                      <w:color w:val="auto"/>
                      <w:sz w:val="16"/>
                      <w:szCs w:val="16"/>
                      <w:highlight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EEF16">
                  <w:pPr>
                    <w:widowControl/>
                    <w:jc w:val="center"/>
                    <w:textAlignment w:val="center"/>
                    <w:rPr>
                      <w:color w:val="auto"/>
                      <w:sz w:val="16"/>
                      <w:szCs w:val="16"/>
                      <w:highlight w:val="none"/>
                    </w:rPr>
                  </w:pPr>
                  <w:r>
                    <w:rPr>
                      <w:rFonts w:hint="eastAsia"/>
                      <w:color w:val="auto"/>
                      <w:sz w:val="16"/>
                      <w:szCs w:val="16"/>
                      <w:highlight w:val="none"/>
                    </w:rPr>
                    <w:t>固定弧焊机</w:t>
                  </w:r>
                </w:p>
              </w:tc>
              <w:tc>
                <w:tcPr>
                  <w:tcW w:w="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2C3D6">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477DAC">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75</w:t>
                  </w:r>
                </w:p>
              </w:tc>
              <w:tc>
                <w:tcPr>
                  <w:tcW w:w="624" w:type="dxa"/>
                  <w:vMerge w:val="continue"/>
                  <w:tcBorders>
                    <w:left w:val="single" w:color="000000" w:sz="4" w:space="0"/>
                    <w:right w:val="single" w:color="000000" w:sz="4" w:space="0"/>
                  </w:tcBorders>
                  <w:shd w:val="clear" w:color="auto" w:fill="FFFFFF"/>
                  <w:vAlign w:val="center"/>
                </w:tcPr>
                <w:p w14:paraId="39AFCA10">
                  <w:pPr>
                    <w:widowControl/>
                    <w:jc w:val="center"/>
                    <w:textAlignment w:val="center"/>
                    <w:rPr>
                      <w:color w:val="auto"/>
                      <w:kern w:val="0"/>
                      <w:sz w:val="16"/>
                      <w:szCs w:val="16"/>
                      <w:highlight w:val="none"/>
                      <w:lang w:bidi="ar"/>
                    </w:rPr>
                  </w:pP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A00372">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-50</w:t>
                  </w: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7B7802">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18</w:t>
                  </w:r>
                </w:p>
              </w:tc>
              <w:tc>
                <w:tcPr>
                  <w:tcW w:w="5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46EE15">
                  <w:pPr>
                    <w:widowControl/>
                    <w:jc w:val="center"/>
                    <w:textAlignment w:val="center"/>
                    <w:rPr>
                      <w:color w:val="auto"/>
                      <w:kern w:val="0"/>
                      <w:sz w:val="16"/>
                      <w:szCs w:val="16"/>
                      <w:highlight w:val="none"/>
                      <w:lang w:bidi="ar"/>
                    </w:rPr>
                  </w:pPr>
                  <w:r>
                    <w:rPr>
                      <w:rFonts w:eastAsia="等线"/>
                      <w:color w:val="auto"/>
                      <w:kern w:val="0"/>
                      <w:sz w:val="16"/>
                      <w:szCs w:val="16"/>
                      <w:highlight w:val="none"/>
                      <w:lang w:bidi="ar"/>
                    </w:rPr>
                    <w:t>1.5</w:t>
                  </w:r>
                </w:p>
              </w:tc>
              <w:tc>
                <w:tcPr>
                  <w:tcW w:w="4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34A552">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16 </w:t>
                  </w: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4E9B7">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50.9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3EDBDB">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昼夜</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56E97">
                  <w:pPr>
                    <w:widowControl/>
                    <w:jc w:val="center"/>
                    <w:textAlignment w:val="center"/>
                    <w:rPr>
                      <w:color w:val="auto"/>
                      <w:kern w:val="0"/>
                      <w:sz w:val="16"/>
                      <w:szCs w:val="16"/>
                      <w:highlight w:val="none"/>
                      <w:lang w:bidi="ar"/>
                    </w:rPr>
                  </w:pPr>
                  <w:r>
                    <w:rPr>
                      <w:color w:val="auto"/>
                      <w:kern w:val="0"/>
                      <w:sz w:val="16"/>
                      <w:szCs w:val="16"/>
                      <w:highlight w:val="none"/>
                      <w:lang w:bidi="ar"/>
                    </w:rPr>
                    <w:t>20</w:t>
                  </w:r>
                </w:p>
              </w:tc>
              <w:tc>
                <w:tcPr>
                  <w:tcW w:w="6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AC65B7">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24.9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4F300">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1</w:t>
                  </w:r>
                </w:p>
              </w:tc>
            </w:tr>
            <w:tr w14:paraId="05A590A7">
              <w:tblPrEx>
                <w:tblCellMar>
                  <w:top w:w="0" w:type="dxa"/>
                  <w:left w:w="108" w:type="dxa"/>
                  <w:bottom w:w="0" w:type="dxa"/>
                  <w:right w:w="108" w:type="dxa"/>
                </w:tblCellMar>
              </w:tblPrEx>
              <w:trPr>
                <w:trHeight w:val="340" w:hRule="atLeast"/>
                <w:jc w:val="center"/>
              </w:trPr>
              <w:tc>
                <w:tcPr>
                  <w:tcW w:w="3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98888">
                  <w:pPr>
                    <w:widowControl/>
                    <w:jc w:val="center"/>
                    <w:textAlignment w:val="center"/>
                    <w:rPr>
                      <w:rFonts w:eastAsia="等线"/>
                      <w:color w:val="auto"/>
                      <w:kern w:val="0"/>
                      <w:sz w:val="16"/>
                      <w:szCs w:val="16"/>
                      <w:highlight w:val="none"/>
                      <w:lang w:bidi="ar"/>
                    </w:rPr>
                  </w:pPr>
                  <w:r>
                    <w:rPr>
                      <w:rFonts w:hint="eastAsia" w:eastAsia="等线"/>
                      <w:color w:val="auto"/>
                      <w:kern w:val="0"/>
                      <w:sz w:val="16"/>
                      <w:szCs w:val="16"/>
                      <w:highlight w:val="none"/>
                      <w:lang w:bidi="ar"/>
                    </w:rPr>
                    <w:t>11</w:t>
                  </w:r>
                </w:p>
              </w:tc>
              <w:tc>
                <w:tcPr>
                  <w:tcW w:w="388" w:type="dxa"/>
                  <w:vMerge w:val="continue"/>
                  <w:tcBorders>
                    <w:left w:val="single" w:color="000000" w:sz="4" w:space="0"/>
                    <w:right w:val="single" w:color="000000" w:sz="4" w:space="0"/>
                  </w:tcBorders>
                  <w:shd w:val="clear" w:color="auto" w:fill="auto"/>
                  <w:noWrap/>
                  <w:vAlign w:val="center"/>
                </w:tcPr>
                <w:p w14:paraId="3FAE8C95">
                  <w:pPr>
                    <w:widowControl/>
                    <w:jc w:val="center"/>
                    <w:textAlignment w:val="center"/>
                    <w:rPr>
                      <w:color w:val="auto"/>
                      <w:sz w:val="16"/>
                      <w:szCs w:val="16"/>
                      <w:highlight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16E03">
                  <w:pPr>
                    <w:widowControl/>
                    <w:jc w:val="center"/>
                    <w:textAlignment w:val="center"/>
                    <w:rPr>
                      <w:color w:val="auto"/>
                      <w:sz w:val="16"/>
                      <w:szCs w:val="16"/>
                      <w:highlight w:val="none"/>
                    </w:rPr>
                  </w:pPr>
                  <w:r>
                    <w:rPr>
                      <w:rFonts w:hint="eastAsia"/>
                      <w:color w:val="auto"/>
                      <w:sz w:val="16"/>
                      <w:szCs w:val="16"/>
                      <w:highlight w:val="none"/>
                    </w:rPr>
                    <w:t>点焊机</w:t>
                  </w:r>
                </w:p>
              </w:tc>
              <w:tc>
                <w:tcPr>
                  <w:tcW w:w="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F7714">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62D98C">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75</w:t>
                  </w:r>
                </w:p>
              </w:tc>
              <w:tc>
                <w:tcPr>
                  <w:tcW w:w="624" w:type="dxa"/>
                  <w:vMerge w:val="continue"/>
                  <w:tcBorders>
                    <w:left w:val="single" w:color="000000" w:sz="4" w:space="0"/>
                    <w:right w:val="single" w:color="000000" w:sz="4" w:space="0"/>
                  </w:tcBorders>
                  <w:shd w:val="clear" w:color="auto" w:fill="FFFFFF"/>
                  <w:vAlign w:val="center"/>
                </w:tcPr>
                <w:p w14:paraId="6D70C124">
                  <w:pPr>
                    <w:widowControl/>
                    <w:jc w:val="center"/>
                    <w:textAlignment w:val="center"/>
                    <w:rPr>
                      <w:color w:val="auto"/>
                      <w:kern w:val="0"/>
                      <w:sz w:val="16"/>
                      <w:szCs w:val="16"/>
                      <w:highlight w:val="none"/>
                      <w:lang w:bidi="ar"/>
                    </w:rPr>
                  </w:pP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70B096">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40</w:t>
                  </w: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BDD1E5">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25</w:t>
                  </w:r>
                </w:p>
              </w:tc>
              <w:tc>
                <w:tcPr>
                  <w:tcW w:w="5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04C407">
                  <w:pPr>
                    <w:widowControl/>
                    <w:jc w:val="center"/>
                    <w:textAlignment w:val="center"/>
                    <w:rPr>
                      <w:color w:val="auto"/>
                      <w:kern w:val="0"/>
                      <w:sz w:val="16"/>
                      <w:szCs w:val="16"/>
                      <w:highlight w:val="none"/>
                      <w:lang w:bidi="ar"/>
                    </w:rPr>
                  </w:pPr>
                  <w:r>
                    <w:rPr>
                      <w:rFonts w:eastAsia="等线"/>
                      <w:color w:val="auto"/>
                      <w:kern w:val="0"/>
                      <w:sz w:val="16"/>
                      <w:szCs w:val="16"/>
                      <w:highlight w:val="none"/>
                      <w:lang w:bidi="ar"/>
                    </w:rPr>
                    <w:t>1.2</w:t>
                  </w:r>
                </w:p>
              </w:tc>
              <w:tc>
                <w:tcPr>
                  <w:tcW w:w="4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C4D50">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13 </w:t>
                  </w: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39CC0">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52.7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13C4C">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昼夜</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16233">
                  <w:pPr>
                    <w:widowControl/>
                    <w:jc w:val="center"/>
                    <w:textAlignment w:val="center"/>
                    <w:rPr>
                      <w:color w:val="auto"/>
                      <w:kern w:val="0"/>
                      <w:sz w:val="16"/>
                      <w:szCs w:val="16"/>
                      <w:highlight w:val="none"/>
                      <w:lang w:bidi="ar"/>
                    </w:rPr>
                  </w:pPr>
                  <w:r>
                    <w:rPr>
                      <w:color w:val="auto"/>
                      <w:kern w:val="0"/>
                      <w:sz w:val="16"/>
                      <w:szCs w:val="16"/>
                      <w:highlight w:val="none"/>
                      <w:lang w:bidi="ar"/>
                    </w:rPr>
                    <w:t>20</w:t>
                  </w:r>
                </w:p>
              </w:tc>
              <w:tc>
                <w:tcPr>
                  <w:tcW w:w="6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D6332">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26.7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32DB4">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1</w:t>
                  </w:r>
                </w:p>
              </w:tc>
            </w:tr>
            <w:tr w14:paraId="011A235F">
              <w:tblPrEx>
                <w:tblCellMar>
                  <w:top w:w="0" w:type="dxa"/>
                  <w:left w:w="108" w:type="dxa"/>
                  <w:bottom w:w="0" w:type="dxa"/>
                  <w:right w:w="108" w:type="dxa"/>
                </w:tblCellMar>
              </w:tblPrEx>
              <w:trPr>
                <w:trHeight w:val="340" w:hRule="atLeast"/>
                <w:jc w:val="center"/>
              </w:trPr>
              <w:tc>
                <w:tcPr>
                  <w:tcW w:w="3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123EBE">
                  <w:pPr>
                    <w:widowControl/>
                    <w:jc w:val="center"/>
                    <w:textAlignment w:val="center"/>
                    <w:rPr>
                      <w:rFonts w:eastAsia="等线"/>
                      <w:color w:val="auto"/>
                      <w:kern w:val="0"/>
                      <w:sz w:val="16"/>
                      <w:szCs w:val="16"/>
                      <w:highlight w:val="none"/>
                      <w:lang w:bidi="ar"/>
                    </w:rPr>
                  </w:pPr>
                  <w:r>
                    <w:rPr>
                      <w:rFonts w:hint="eastAsia" w:eastAsia="等线"/>
                      <w:color w:val="auto"/>
                      <w:kern w:val="0"/>
                      <w:sz w:val="16"/>
                      <w:szCs w:val="16"/>
                      <w:highlight w:val="none"/>
                      <w:lang w:bidi="ar"/>
                    </w:rPr>
                    <w:t>12</w:t>
                  </w:r>
                </w:p>
              </w:tc>
              <w:tc>
                <w:tcPr>
                  <w:tcW w:w="388" w:type="dxa"/>
                  <w:vMerge w:val="continue"/>
                  <w:tcBorders>
                    <w:left w:val="single" w:color="000000" w:sz="4" w:space="0"/>
                    <w:right w:val="single" w:color="000000" w:sz="4" w:space="0"/>
                  </w:tcBorders>
                  <w:shd w:val="clear" w:color="auto" w:fill="auto"/>
                  <w:noWrap/>
                  <w:vAlign w:val="center"/>
                </w:tcPr>
                <w:p w14:paraId="07EE895A">
                  <w:pPr>
                    <w:widowControl/>
                    <w:jc w:val="center"/>
                    <w:textAlignment w:val="center"/>
                    <w:rPr>
                      <w:color w:val="auto"/>
                      <w:sz w:val="16"/>
                      <w:szCs w:val="16"/>
                      <w:highlight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166DA">
                  <w:pPr>
                    <w:widowControl/>
                    <w:jc w:val="center"/>
                    <w:textAlignment w:val="center"/>
                    <w:rPr>
                      <w:color w:val="auto"/>
                      <w:sz w:val="16"/>
                      <w:szCs w:val="16"/>
                      <w:highlight w:val="none"/>
                    </w:rPr>
                  </w:pPr>
                  <w:r>
                    <w:rPr>
                      <w:rFonts w:hint="eastAsia"/>
                      <w:color w:val="auto"/>
                      <w:sz w:val="16"/>
                      <w:szCs w:val="16"/>
                      <w:highlight w:val="none"/>
                    </w:rPr>
                    <w:t>打胶机</w:t>
                  </w:r>
                </w:p>
              </w:tc>
              <w:tc>
                <w:tcPr>
                  <w:tcW w:w="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7FCF4">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67B8C">
                  <w:pPr>
                    <w:widowControl/>
                    <w:jc w:val="center"/>
                    <w:textAlignment w:val="center"/>
                    <w:rPr>
                      <w:rFonts w:hint="default" w:eastAsia="宋体"/>
                      <w:color w:val="auto"/>
                      <w:kern w:val="0"/>
                      <w:sz w:val="16"/>
                      <w:szCs w:val="16"/>
                      <w:highlight w:val="none"/>
                      <w:lang w:val="en-US" w:eastAsia="zh-CN" w:bidi="ar"/>
                    </w:rPr>
                  </w:pPr>
                  <w:r>
                    <w:rPr>
                      <w:rFonts w:hint="eastAsia"/>
                      <w:color w:val="auto"/>
                      <w:kern w:val="0"/>
                      <w:sz w:val="16"/>
                      <w:szCs w:val="16"/>
                      <w:highlight w:val="none"/>
                      <w:lang w:val="en-US" w:eastAsia="zh-CN" w:bidi="ar"/>
                    </w:rPr>
                    <w:t>65</w:t>
                  </w:r>
                </w:p>
              </w:tc>
              <w:tc>
                <w:tcPr>
                  <w:tcW w:w="624" w:type="dxa"/>
                  <w:vMerge w:val="continue"/>
                  <w:tcBorders>
                    <w:left w:val="single" w:color="000000" w:sz="4" w:space="0"/>
                    <w:right w:val="single" w:color="000000" w:sz="4" w:space="0"/>
                  </w:tcBorders>
                  <w:shd w:val="clear" w:color="auto" w:fill="FFFFFF"/>
                  <w:vAlign w:val="center"/>
                </w:tcPr>
                <w:p w14:paraId="1F3BE369">
                  <w:pPr>
                    <w:widowControl/>
                    <w:jc w:val="center"/>
                    <w:textAlignment w:val="center"/>
                    <w:rPr>
                      <w:color w:val="auto"/>
                      <w:kern w:val="0"/>
                      <w:sz w:val="16"/>
                      <w:szCs w:val="16"/>
                      <w:highlight w:val="none"/>
                      <w:lang w:bidi="ar"/>
                    </w:rPr>
                  </w:pP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523456">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40</w:t>
                  </w: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5262CB">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-35</w:t>
                  </w:r>
                </w:p>
              </w:tc>
              <w:tc>
                <w:tcPr>
                  <w:tcW w:w="5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643B8">
                  <w:pPr>
                    <w:widowControl/>
                    <w:jc w:val="center"/>
                    <w:textAlignment w:val="center"/>
                    <w:rPr>
                      <w:color w:val="auto"/>
                      <w:kern w:val="0"/>
                      <w:sz w:val="16"/>
                      <w:szCs w:val="16"/>
                      <w:highlight w:val="none"/>
                      <w:lang w:bidi="ar"/>
                    </w:rPr>
                  </w:pPr>
                  <w:r>
                    <w:rPr>
                      <w:rFonts w:eastAsia="等线"/>
                      <w:color w:val="auto"/>
                      <w:kern w:val="0"/>
                      <w:sz w:val="16"/>
                      <w:szCs w:val="16"/>
                      <w:highlight w:val="none"/>
                      <w:lang w:bidi="ar"/>
                    </w:rPr>
                    <w:t>1.2</w:t>
                  </w:r>
                </w:p>
              </w:tc>
              <w:tc>
                <w:tcPr>
                  <w:tcW w:w="4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88DD4">
                  <w:pPr>
                    <w:widowControl/>
                    <w:jc w:val="center"/>
                    <w:textAlignment w:val="center"/>
                    <w:rPr>
                      <w:color w:val="auto"/>
                      <w:kern w:val="0"/>
                      <w:sz w:val="16"/>
                      <w:szCs w:val="16"/>
                      <w:highlight w:val="none"/>
                      <w:lang w:bidi="ar"/>
                    </w:rPr>
                  </w:pPr>
                  <w:r>
                    <w:rPr>
                      <w:color w:val="auto"/>
                      <w:kern w:val="0"/>
                      <w:sz w:val="16"/>
                      <w:szCs w:val="16"/>
                      <w:highlight w:val="none"/>
                      <w:lang w:bidi="ar"/>
                    </w:rPr>
                    <w:t>11</w:t>
                  </w: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C56C08">
                  <w:pPr>
                    <w:widowControl/>
                    <w:jc w:val="center"/>
                    <w:textAlignment w:val="center"/>
                    <w:rPr>
                      <w:color w:val="auto"/>
                      <w:kern w:val="0"/>
                      <w:sz w:val="16"/>
                      <w:szCs w:val="16"/>
                      <w:highlight w:val="none"/>
                      <w:lang w:bidi="ar"/>
                    </w:rPr>
                  </w:pPr>
                  <w:r>
                    <w:rPr>
                      <w:rFonts w:hint="eastAsia"/>
                      <w:color w:val="auto"/>
                      <w:kern w:val="0"/>
                      <w:sz w:val="16"/>
                      <w:szCs w:val="16"/>
                      <w:highlight w:val="none"/>
                      <w:lang w:val="en-US" w:eastAsia="zh-CN" w:bidi="ar"/>
                    </w:rPr>
                    <w:t>4</w:t>
                  </w:r>
                  <w:r>
                    <w:rPr>
                      <w:color w:val="auto"/>
                      <w:kern w:val="0"/>
                      <w:sz w:val="16"/>
                      <w:szCs w:val="16"/>
                      <w:highlight w:val="none"/>
                      <w:lang w:bidi="ar"/>
                    </w:rPr>
                    <w:t xml:space="preserve">4.2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E9DE2">
                  <w:pPr>
                    <w:widowControl/>
                    <w:jc w:val="center"/>
                    <w:textAlignment w:val="center"/>
                    <w:rPr>
                      <w:color w:val="auto"/>
                      <w:kern w:val="0"/>
                      <w:sz w:val="16"/>
                      <w:szCs w:val="16"/>
                      <w:highlight w:val="none"/>
                      <w:lang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B43BE">
                  <w:pPr>
                    <w:widowControl/>
                    <w:jc w:val="center"/>
                    <w:textAlignment w:val="center"/>
                    <w:rPr>
                      <w:color w:val="auto"/>
                      <w:kern w:val="0"/>
                      <w:sz w:val="16"/>
                      <w:szCs w:val="16"/>
                      <w:highlight w:val="none"/>
                      <w:lang w:bidi="ar"/>
                    </w:rPr>
                  </w:pPr>
                </w:p>
              </w:tc>
              <w:tc>
                <w:tcPr>
                  <w:tcW w:w="6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2D2BEA">
                  <w:pPr>
                    <w:widowControl/>
                    <w:jc w:val="center"/>
                    <w:textAlignment w:val="center"/>
                    <w:rPr>
                      <w:color w:val="auto"/>
                      <w:kern w:val="0"/>
                      <w:sz w:val="16"/>
                      <w:szCs w:val="16"/>
                      <w:highlight w:val="none"/>
                      <w:lang w:bidi="ar"/>
                    </w:rPr>
                  </w:pPr>
                  <w:r>
                    <w:rPr>
                      <w:rFonts w:hint="eastAsia"/>
                      <w:color w:val="auto"/>
                      <w:kern w:val="0"/>
                      <w:sz w:val="16"/>
                      <w:szCs w:val="16"/>
                      <w:highlight w:val="none"/>
                      <w:lang w:val="en-US" w:eastAsia="zh-CN" w:bidi="ar"/>
                    </w:rPr>
                    <w:t>1</w:t>
                  </w:r>
                  <w:r>
                    <w:rPr>
                      <w:color w:val="auto"/>
                      <w:kern w:val="0"/>
                      <w:sz w:val="16"/>
                      <w:szCs w:val="16"/>
                      <w:highlight w:val="none"/>
                      <w:lang w:bidi="ar"/>
                    </w:rPr>
                    <w:t xml:space="preserve">8.2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2993F0">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1</w:t>
                  </w:r>
                </w:p>
              </w:tc>
            </w:tr>
            <w:tr w14:paraId="1B6C69F9">
              <w:tblPrEx>
                <w:tblCellMar>
                  <w:top w:w="0" w:type="dxa"/>
                  <w:left w:w="108" w:type="dxa"/>
                  <w:bottom w:w="0" w:type="dxa"/>
                  <w:right w:w="108" w:type="dxa"/>
                </w:tblCellMar>
              </w:tblPrEx>
              <w:trPr>
                <w:trHeight w:val="340" w:hRule="atLeast"/>
                <w:jc w:val="center"/>
              </w:trPr>
              <w:tc>
                <w:tcPr>
                  <w:tcW w:w="3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79EE52">
                  <w:pPr>
                    <w:widowControl/>
                    <w:jc w:val="center"/>
                    <w:textAlignment w:val="center"/>
                    <w:rPr>
                      <w:rFonts w:eastAsia="等线"/>
                      <w:color w:val="auto"/>
                      <w:kern w:val="0"/>
                      <w:sz w:val="16"/>
                      <w:szCs w:val="16"/>
                      <w:highlight w:val="none"/>
                      <w:lang w:bidi="ar"/>
                    </w:rPr>
                  </w:pPr>
                  <w:r>
                    <w:rPr>
                      <w:rFonts w:hint="eastAsia" w:eastAsia="等线"/>
                      <w:color w:val="auto"/>
                      <w:kern w:val="0"/>
                      <w:sz w:val="16"/>
                      <w:szCs w:val="16"/>
                      <w:highlight w:val="none"/>
                      <w:lang w:bidi="ar"/>
                    </w:rPr>
                    <w:t>13</w:t>
                  </w:r>
                </w:p>
              </w:tc>
              <w:tc>
                <w:tcPr>
                  <w:tcW w:w="388" w:type="dxa"/>
                  <w:vMerge w:val="continue"/>
                  <w:tcBorders>
                    <w:left w:val="single" w:color="000000" w:sz="4" w:space="0"/>
                    <w:right w:val="single" w:color="000000" w:sz="4" w:space="0"/>
                  </w:tcBorders>
                  <w:shd w:val="clear" w:color="auto" w:fill="auto"/>
                  <w:noWrap/>
                  <w:vAlign w:val="center"/>
                </w:tcPr>
                <w:p w14:paraId="755AD008">
                  <w:pPr>
                    <w:widowControl/>
                    <w:jc w:val="center"/>
                    <w:textAlignment w:val="center"/>
                    <w:rPr>
                      <w:color w:val="auto"/>
                      <w:sz w:val="16"/>
                      <w:szCs w:val="16"/>
                      <w:highlight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72DC">
                  <w:pPr>
                    <w:widowControl/>
                    <w:jc w:val="center"/>
                    <w:textAlignment w:val="center"/>
                    <w:rPr>
                      <w:color w:val="auto"/>
                      <w:sz w:val="16"/>
                      <w:szCs w:val="16"/>
                      <w:highlight w:val="none"/>
                    </w:rPr>
                  </w:pPr>
                  <w:r>
                    <w:rPr>
                      <w:rFonts w:hint="eastAsia"/>
                      <w:color w:val="auto"/>
                      <w:sz w:val="16"/>
                      <w:szCs w:val="16"/>
                      <w:highlight w:val="none"/>
                    </w:rPr>
                    <w:t>打磨器</w:t>
                  </w:r>
                </w:p>
              </w:tc>
              <w:tc>
                <w:tcPr>
                  <w:tcW w:w="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8EB8C">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03C89">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80</w:t>
                  </w:r>
                </w:p>
              </w:tc>
              <w:tc>
                <w:tcPr>
                  <w:tcW w:w="624" w:type="dxa"/>
                  <w:vMerge w:val="continue"/>
                  <w:tcBorders>
                    <w:left w:val="single" w:color="000000" w:sz="4" w:space="0"/>
                    <w:right w:val="single" w:color="000000" w:sz="4" w:space="0"/>
                  </w:tcBorders>
                  <w:shd w:val="clear" w:color="auto" w:fill="FFFFFF"/>
                  <w:vAlign w:val="center"/>
                </w:tcPr>
                <w:p w14:paraId="77D74694">
                  <w:pPr>
                    <w:widowControl/>
                    <w:jc w:val="center"/>
                    <w:textAlignment w:val="center"/>
                    <w:rPr>
                      <w:color w:val="auto"/>
                      <w:kern w:val="0"/>
                      <w:sz w:val="16"/>
                      <w:szCs w:val="16"/>
                      <w:highlight w:val="none"/>
                      <w:lang w:bidi="ar"/>
                    </w:rPr>
                  </w:pP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04871">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40</w:t>
                  </w: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374BE">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-30</w:t>
                  </w:r>
                </w:p>
              </w:tc>
              <w:tc>
                <w:tcPr>
                  <w:tcW w:w="5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2BF3D">
                  <w:pPr>
                    <w:widowControl/>
                    <w:jc w:val="center"/>
                    <w:textAlignment w:val="center"/>
                    <w:rPr>
                      <w:color w:val="auto"/>
                      <w:kern w:val="0"/>
                      <w:sz w:val="16"/>
                      <w:szCs w:val="16"/>
                      <w:highlight w:val="none"/>
                      <w:lang w:bidi="ar"/>
                    </w:rPr>
                  </w:pPr>
                  <w:r>
                    <w:rPr>
                      <w:rFonts w:eastAsia="等线"/>
                      <w:color w:val="auto"/>
                      <w:kern w:val="0"/>
                      <w:sz w:val="16"/>
                      <w:szCs w:val="16"/>
                      <w:highlight w:val="none"/>
                      <w:lang w:bidi="ar"/>
                    </w:rPr>
                    <w:t>1</w:t>
                  </w:r>
                </w:p>
              </w:tc>
              <w:tc>
                <w:tcPr>
                  <w:tcW w:w="4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6BED7D">
                  <w:pPr>
                    <w:widowControl/>
                    <w:jc w:val="center"/>
                    <w:textAlignment w:val="center"/>
                    <w:rPr>
                      <w:color w:val="auto"/>
                      <w:kern w:val="0"/>
                      <w:sz w:val="16"/>
                      <w:szCs w:val="16"/>
                      <w:highlight w:val="none"/>
                      <w:lang w:bidi="ar"/>
                    </w:rPr>
                  </w:pPr>
                  <w:r>
                    <w:rPr>
                      <w:color w:val="auto"/>
                      <w:kern w:val="0"/>
                      <w:sz w:val="16"/>
                      <w:szCs w:val="16"/>
                      <w:highlight w:val="none"/>
                      <w:lang w:bidi="ar"/>
                    </w:rPr>
                    <w:t>5</w:t>
                  </w: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E3664">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66.0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C4CEC6">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昼夜</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10DB1">
                  <w:pPr>
                    <w:widowControl/>
                    <w:jc w:val="center"/>
                    <w:textAlignment w:val="center"/>
                    <w:rPr>
                      <w:color w:val="auto"/>
                      <w:kern w:val="0"/>
                      <w:sz w:val="16"/>
                      <w:szCs w:val="16"/>
                      <w:highlight w:val="none"/>
                      <w:lang w:bidi="ar"/>
                    </w:rPr>
                  </w:pPr>
                  <w:r>
                    <w:rPr>
                      <w:color w:val="auto"/>
                      <w:kern w:val="0"/>
                      <w:sz w:val="16"/>
                      <w:szCs w:val="16"/>
                      <w:highlight w:val="none"/>
                      <w:lang w:bidi="ar"/>
                    </w:rPr>
                    <w:t>20</w:t>
                  </w:r>
                </w:p>
              </w:tc>
              <w:tc>
                <w:tcPr>
                  <w:tcW w:w="6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3C2D3F">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40.0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0CBE8">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1</w:t>
                  </w:r>
                </w:p>
              </w:tc>
            </w:tr>
            <w:tr w14:paraId="26E7DEC5">
              <w:tblPrEx>
                <w:tblCellMar>
                  <w:top w:w="0" w:type="dxa"/>
                  <w:left w:w="108" w:type="dxa"/>
                  <w:bottom w:w="0" w:type="dxa"/>
                  <w:right w:w="108" w:type="dxa"/>
                </w:tblCellMar>
              </w:tblPrEx>
              <w:trPr>
                <w:trHeight w:val="340" w:hRule="atLeast"/>
                <w:jc w:val="center"/>
              </w:trPr>
              <w:tc>
                <w:tcPr>
                  <w:tcW w:w="3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0F5637">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1</w:t>
                  </w:r>
                  <w:r>
                    <w:rPr>
                      <w:rFonts w:hint="eastAsia" w:eastAsia="等线"/>
                      <w:color w:val="auto"/>
                      <w:kern w:val="0"/>
                      <w:sz w:val="16"/>
                      <w:szCs w:val="16"/>
                      <w:highlight w:val="none"/>
                      <w:lang w:bidi="ar"/>
                    </w:rPr>
                    <w:t>14</w:t>
                  </w:r>
                </w:p>
              </w:tc>
              <w:tc>
                <w:tcPr>
                  <w:tcW w:w="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4F87F">
                  <w:pPr>
                    <w:widowControl/>
                    <w:jc w:val="center"/>
                    <w:textAlignment w:val="center"/>
                    <w:rPr>
                      <w:color w:val="auto"/>
                      <w:sz w:val="16"/>
                      <w:szCs w:val="16"/>
                      <w:highlight w:val="none"/>
                    </w:rPr>
                  </w:pPr>
                  <w:r>
                    <w:rPr>
                      <w:color w:val="auto"/>
                      <w:kern w:val="0"/>
                      <w:sz w:val="16"/>
                      <w:szCs w:val="16"/>
                      <w:highlight w:val="none"/>
                      <w:lang w:bidi="ar"/>
                    </w:rPr>
                    <w:t>空压机房</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168A5">
                  <w:pPr>
                    <w:widowControl/>
                    <w:jc w:val="center"/>
                    <w:textAlignment w:val="center"/>
                    <w:rPr>
                      <w:color w:val="auto"/>
                      <w:sz w:val="16"/>
                      <w:szCs w:val="16"/>
                      <w:highlight w:val="none"/>
                    </w:rPr>
                  </w:pPr>
                  <w:r>
                    <w:rPr>
                      <w:color w:val="auto"/>
                      <w:kern w:val="0"/>
                      <w:sz w:val="16"/>
                      <w:szCs w:val="16"/>
                      <w:highlight w:val="none"/>
                      <w:lang w:bidi="ar"/>
                    </w:rPr>
                    <w:t>空压机</w:t>
                  </w:r>
                </w:p>
              </w:tc>
              <w:tc>
                <w:tcPr>
                  <w:tcW w:w="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8A34C">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F1F49">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85</w:t>
                  </w:r>
                </w:p>
              </w:tc>
              <w:tc>
                <w:tcPr>
                  <w:tcW w:w="624" w:type="dxa"/>
                  <w:vMerge w:val="continue"/>
                  <w:tcBorders>
                    <w:left w:val="single" w:color="000000" w:sz="4" w:space="0"/>
                    <w:bottom w:val="single" w:color="000000" w:sz="4" w:space="0"/>
                    <w:right w:val="single" w:color="000000" w:sz="4" w:space="0"/>
                  </w:tcBorders>
                  <w:shd w:val="clear" w:color="auto" w:fill="FFFFFF"/>
                  <w:vAlign w:val="center"/>
                </w:tcPr>
                <w:p w14:paraId="3A6C54FF">
                  <w:pPr>
                    <w:widowControl/>
                    <w:jc w:val="center"/>
                    <w:textAlignment w:val="center"/>
                    <w:rPr>
                      <w:color w:val="auto"/>
                      <w:kern w:val="0"/>
                      <w:sz w:val="16"/>
                      <w:szCs w:val="16"/>
                      <w:highlight w:val="none"/>
                      <w:lang w:bidi="ar"/>
                    </w:rPr>
                  </w:pP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6A2CE8">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10</w:t>
                  </w:r>
                </w:p>
              </w:tc>
              <w:tc>
                <w:tcPr>
                  <w:tcW w:w="5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AF531C">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55</w:t>
                  </w:r>
                </w:p>
              </w:tc>
              <w:tc>
                <w:tcPr>
                  <w:tcW w:w="5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CEE9E">
                  <w:pPr>
                    <w:widowControl/>
                    <w:jc w:val="center"/>
                    <w:textAlignment w:val="center"/>
                    <w:rPr>
                      <w:color w:val="auto"/>
                      <w:kern w:val="0"/>
                      <w:sz w:val="16"/>
                      <w:szCs w:val="16"/>
                      <w:highlight w:val="none"/>
                      <w:lang w:bidi="ar"/>
                    </w:rPr>
                  </w:pPr>
                  <w:r>
                    <w:rPr>
                      <w:rFonts w:eastAsia="等线"/>
                      <w:color w:val="auto"/>
                      <w:kern w:val="0"/>
                      <w:sz w:val="16"/>
                      <w:szCs w:val="16"/>
                      <w:highlight w:val="none"/>
                      <w:lang w:bidi="ar"/>
                    </w:rPr>
                    <w:t>0</w:t>
                  </w:r>
                </w:p>
              </w:tc>
              <w:tc>
                <w:tcPr>
                  <w:tcW w:w="4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4CD08">
                  <w:pPr>
                    <w:widowControl/>
                    <w:jc w:val="center"/>
                    <w:textAlignment w:val="center"/>
                    <w:rPr>
                      <w:color w:val="auto"/>
                      <w:kern w:val="0"/>
                      <w:sz w:val="16"/>
                      <w:szCs w:val="16"/>
                      <w:highlight w:val="none"/>
                      <w:lang w:bidi="ar"/>
                    </w:rPr>
                  </w:pPr>
                  <w:r>
                    <w:rPr>
                      <w:color w:val="auto"/>
                      <w:kern w:val="0"/>
                      <w:sz w:val="16"/>
                      <w:szCs w:val="16"/>
                      <w:highlight w:val="none"/>
                      <w:lang w:bidi="ar"/>
                    </w:rPr>
                    <w:t>1.5</w:t>
                  </w: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1AFEA">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81.5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84C4DC">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昼夜</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2B98">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20</w:t>
                  </w:r>
                </w:p>
              </w:tc>
              <w:tc>
                <w:tcPr>
                  <w:tcW w:w="6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1186FC">
                  <w:pPr>
                    <w:widowControl/>
                    <w:jc w:val="center"/>
                    <w:textAlignment w:val="center"/>
                    <w:rPr>
                      <w:color w:val="auto"/>
                      <w:kern w:val="0"/>
                      <w:sz w:val="16"/>
                      <w:szCs w:val="16"/>
                      <w:highlight w:val="none"/>
                      <w:lang w:bidi="ar"/>
                    </w:rPr>
                  </w:pPr>
                  <w:r>
                    <w:rPr>
                      <w:color w:val="auto"/>
                      <w:kern w:val="0"/>
                      <w:sz w:val="16"/>
                      <w:szCs w:val="16"/>
                      <w:highlight w:val="none"/>
                      <w:lang w:bidi="ar"/>
                    </w:rPr>
                    <w:t xml:space="preserve">55.5 </w:t>
                  </w:r>
                </w:p>
              </w:tc>
              <w:tc>
                <w:tcPr>
                  <w:tcW w:w="3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4E5BF1">
                  <w:pPr>
                    <w:widowControl/>
                    <w:jc w:val="center"/>
                    <w:textAlignment w:val="center"/>
                    <w:rPr>
                      <w:color w:val="auto"/>
                      <w:kern w:val="0"/>
                      <w:sz w:val="16"/>
                      <w:szCs w:val="16"/>
                      <w:highlight w:val="none"/>
                      <w:lang w:bidi="ar"/>
                    </w:rPr>
                  </w:pPr>
                  <w:r>
                    <w:rPr>
                      <w:color w:val="auto"/>
                      <w:kern w:val="0"/>
                      <w:sz w:val="16"/>
                      <w:szCs w:val="16"/>
                      <w:highlight w:val="none"/>
                      <w:lang w:bidi="ar"/>
                    </w:rPr>
                    <w:t>1</w:t>
                  </w:r>
                </w:p>
              </w:tc>
            </w:tr>
          </w:tbl>
          <w:p w14:paraId="0053B5FA">
            <w:pPr>
              <w:adjustRightInd w:val="0"/>
              <w:snapToGrid w:val="0"/>
              <w:rPr>
                <w:color w:val="auto"/>
                <w:kern w:val="0"/>
                <w:sz w:val="22"/>
                <w:szCs w:val="22"/>
                <w:highlight w:val="none"/>
              </w:rPr>
            </w:pPr>
            <w:r>
              <w:rPr>
                <w:rFonts w:hint="eastAsia"/>
                <w:color w:val="auto"/>
                <w:kern w:val="0"/>
                <w:sz w:val="18"/>
                <w:szCs w:val="20"/>
                <w:highlight w:val="none"/>
              </w:rPr>
              <w:t>注：</w:t>
            </w:r>
            <w:r>
              <w:rPr>
                <w:color w:val="auto"/>
                <w:kern w:val="0"/>
                <w:sz w:val="18"/>
                <w:szCs w:val="20"/>
                <w:highlight w:val="none"/>
              </w:rPr>
              <w:fldChar w:fldCharType="begin"/>
            </w:r>
            <w:r>
              <w:rPr>
                <w:color w:val="auto"/>
                <w:kern w:val="0"/>
                <w:sz w:val="18"/>
                <w:szCs w:val="20"/>
                <w:highlight w:val="none"/>
              </w:rPr>
              <w:instrText xml:space="preserve"> </w:instrText>
            </w:r>
            <w:r>
              <w:rPr>
                <w:rFonts w:hint="eastAsia"/>
                <w:color w:val="auto"/>
                <w:kern w:val="0"/>
                <w:sz w:val="18"/>
                <w:szCs w:val="20"/>
                <w:highlight w:val="none"/>
              </w:rPr>
              <w:instrText xml:space="preserve">= 1 \* GB3</w:instrText>
            </w:r>
            <w:r>
              <w:rPr>
                <w:color w:val="auto"/>
                <w:kern w:val="0"/>
                <w:sz w:val="18"/>
                <w:szCs w:val="20"/>
                <w:highlight w:val="none"/>
              </w:rPr>
              <w:instrText xml:space="preserve"> </w:instrText>
            </w:r>
            <w:r>
              <w:rPr>
                <w:color w:val="auto"/>
                <w:kern w:val="0"/>
                <w:sz w:val="18"/>
                <w:szCs w:val="20"/>
                <w:highlight w:val="none"/>
              </w:rPr>
              <w:fldChar w:fldCharType="separate"/>
            </w:r>
            <w:r>
              <w:rPr>
                <w:rFonts w:hint="eastAsia"/>
                <w:color w:val="auto"/>
                <w:kern w:val="0"/>
                <w:sz w:val="18"/>
                <w:szCs w:val="20"/>
                <w:highlight w:val="none"/>
              </w:rPr>
              <w:t>①</w:t>
            </w:r>
            <w:r>
              <w:rPr>
                <w:color w:val="auto"/>
                <w:kern w:val="0"/>
                <w:sz w:val="18"/>
                <w:szCs w:val="20"/>
                <w:highlight w:val="none"/>
              </w:rPr>
              <w:fldChar w:fldCharType="end"/>
            </w:r>
            <w:r>
              <w:rPr>
                <w:rFonts w:hint="eastAsia"/>
                <w:color w:val="auto"/>
                <w:kern w:val="0"/>
                <w:sz w:val="18"/>
                <w:szCs w:val="20"/>
                <w:highlight w:val="none"/>
              </w:rPr>
              <w:t>表中坐标以生产厂房中心（106°27′56.700″，29°53′27.796″）为三维坐标的原点，以厂区平面布置图东、北、离地分别为X、Y、Z轴的正方向；</w:t>
            </w:r>
            <w:r>
              <w:rPr>
                <w:color w:val="auto"/>
                <w:kern w:val="0"/>
                <w:sz w:val="18"/>
                <w:szCs w:val="20"/>
                <w:highlight w:val="none"/>
              </w:rPr>
              <w:fldChar w:fldCharType="begin"/>
            </w:r>
            <w:r>
              <w:rPr>
                <w:color w:val="auto"/>
                <w:kern w:val="0"/>
                <w:sz w:val="18"/>
                <w:szCs w:val="20"/>
                <w:highlight w:val="none"/>
              </w:rPr>
              <w:instrText xml:space="preserve"> </w:instrText>
            </w:r>
            <w:r>
              <w:rPr>
                <w:rFonts w:hint="eastAsia"/>
                <w:color w:val="auto"/>
                <w:kern w:val="0"/>
                <w:sz w:val="18"/>
                <w:szCs w:val="20"/>
                <w:highlight w:val="none"/>
              </w:rPr>
              <w:instrText xml:space="preserve">= 2 \* GB3</w:instrText>
            </w:r>
            <w:r>
              <w:rPr>
                <w:color w:val="auto"/>
                <w:kern w:val="0"/>
                <w:sz w:val="18"/>
                <w:szCs w:val="20"/>
                <w:highlight w:val="none"/>
              </w:rPr>
              <w:instrText xml:space="preserve"> </w:instrText>
            </w:r>
            <w:r>
              <w:rPr>
                <w:color w:val="auto"/>
                <w:kern w:val="0"/>
                <w:sz w:val="18"/>
                <w:szCs w:val="20"/>
                <w:highlight w:val="none"/>
              </w:rPr>
              <w:fldChar w:fldCharType="separate"/>
            </w:r>
            <w:r>
              <w:rPr>
                <w:rFonts w:hint="eastAsia"/>
                <w:color w:val="auto"/>
                <w:kern w:val="0"/>
                <w:sz w:val="18"/>
                <w:szCs w:val="20"/>
                <w:highlight w:val="none"/>
              </w:rPr>
              <w:t>②</w:t>
            </w:r>
            <w:r>
              <w:rPr>
                <w:color w:val="auto"/>
                <w:kern w:val="0"/>
                <w:sz w:val="18"/>
                <w:szCs w:val="20"/>
                <w:highlight w:val="none"/>
              </w:rPr>
              <w:fldChar w:fldCharType="end"/>
            </w:r>
            <w:r>
              <w:rPr>
                <w:rFonts w:hint="eastAsia"/>
                <w:color w:val="auto"/>
                <w:kern w:val="0"/>
                <w:sz w:val="18"/>
                <w:szCs w:val="20"/>
                <w:highlight w:val="none"/>
              </w:rPr>
              <w:t>位置临近布置的多台相同设备合并表述（表中源强均为单台），坐标取多台设备的中心坐标，距室内边界距离按照设备与最近的室内边界进行取值。</w:t>
            </w:r>
            <w:r>
              <w:rPr>
                <w:color w:val="auto"/>
                <w:kern w:val="0"/>
                <w:sz w:val="22"/>
                <w:szCs w:val="22"/>
                <w:highlight w:val="none"/>
              </w:rPr>
              <w:t xml:space="preserve"> </w:t>
            </w:r>
          </w:p>
          <w:p w14:paraId="57F44B29">
            <w:pPr>
              <w:adjustRightInd w:val="0"/>
              <w:snapToGrid w:val="0"/>
              <w:jc w:val="center"/>
              <w:rPr>
                <w:color w:val="auto"/>
                <w:kern w:val="0"/>
                <w:sz w:val="26"/>
                <w:szCs w:val="26"/>
                <w:highlight w:val="none"/>
              </w:rPr>
            </w:pPr>
          </w:p>
          <w:p w14:paraId="27FA6B5A">
            <w:pPr>
              <w:adjustRightInd w:val="0"/>
              <w:snapToGrid w:val="0"/>
              <w:jc w:val="center"/>
              <w:rPr>
                <w:color w:val="auto"/>
                <w:kern w:val="0"/>
                <w:sz w:val="26"/>
                <w:szCs w:val="26"/>
                <w:highlight w:val="none"/>
              </w:rPr>
            </w:pPr>
            <w:r>
              <w:rPr>
                <w:color w:val="auto"/>
                <w:kern w:val="0"/>
                <w:sz w:val="24"/>
                <w:szCs w:val="26"/>
                <w:highlight w:val="none"/>
              </w:rPr>
              <w:t>表4.</w:t>
            </w:r>
            <w:r>
              <w:rPr>
                <w:rFonts w:hint="eastAsia"/>
                <w:color w:val="auto"/>
                <w:kern w:val="0"/>
                <w:sz w:val="24"/>
                <w:szCs w:val="26"/>
                <w:highlight w:val="none"/>
              </w:rPr>
              <w:t>2-14</w:t>
            </w:r>
            <w:r>
              <w:rPr>
                <w:color w:val="auto"/>
                <w:kern w:val="0"/>
                <w:sz w:val="24"/>
                <w:szCs w:val="26"/>
                <w:highlight w:val="none"/>
              </w:rPr>
              <w:t xml:space="preserve">  主要设备噪声源源强一览表</w:t>
            </w:r>
            <w:r>
              <w:rPr>
                <w:rFonts w:hint="eastAsia"/>
                <w:color w:val="auto"/>
                <w:kern w:val="0"/>
                <w:sz w:val="24"/>
                <w:szCs w:val="26"/>
                <w:highlight w:val="none"/>
              </w:rPr>
              <w:t>（室外声源）</w:t>
            </w:r>
          </w:p>
          <w:tbl>
            <w:tblPr>
              <w:tblStyle w:val="16"/>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2122"/>
              <w:gridCol w:w="519"/>
              <w:gridCol w:w="677"/>
              <w:gridCol w:w="677"/>
              <w:gridCol w:w="649"/>
              <w:gridCol w:w="885"/>
              <w:gridCol w:w="727"/>
              <w:gridCol w:w="962"/>
            </w:tblGrid>
            <w:tr w14:paraId="19DE7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dxa"/>
                  <w:vMerge w:val="restart"/>
                  <w:vAlign w:val="center"/>
                </w:tcPr>
                <w:p w14:paraId="6B0CBDB6">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序号</w:t>
                  </w:r>
                </w:p>
              </w:tc>
              <w:tc>
                <w:tcPr>
                  <w:tcW w:w="2122" w:type="dxa"/>
                  <w:vMerge w:val="restart"/>
                  <w:vAlign w:val="center"/>
                </w:tcPr>
                <w:p w14:paraId="5B20EA57">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声源名称</w:t>
                  </w:r>
                </w:p>
              </w:tc>
              <w:tc>
                <w:tcPr>
                  <w:tcW w:w="519" w:type="dxa"/>
                  <w:vMerge w:val="restart"/>
                  <w:vAlign w:val="center"/>
                </w:tcPr>
                <w:p w14:paraId="79DC5261">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型号</w:t>
                  </w:r>
                </w:p>
              </w:tc>
              <w:tc>
                <w:tcPr>
                  <w:tcW w:w="2003" w:type="dxa"/>
                  <w:gridSpan w:val="3"/>
                  <w:vAlign w:val="center"/>
                </w:tcPr>
                <w:p w14:paraId="4E3A1107">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空间</w:t>
                  </w:r>
                  <w:bookmarkStart w:id="90" w:name="hmcheck_b30af965023d44b39f9af5c7326d70db"/>
                  <w:r>
                    <w:rPr>
                      <w:rFonts w:hint="eastAsia"/>
                      <w:color w:val="auto"/>
                      <w:kern w:val="0"/>
                      <w:szCs w:val="21"/>
                      <w:highlight w:val="none"/>
                      <w:shd w:val="clear" w:fill="FFAFAA"/>
                    </w:rPr>
                    <w:t>相对厂</w:t>
                  </w:r>
                  <w:bookmarkEnd w:id="90"/>
                  <w:r>
                    <w:rPr>
                      <w:rFonts w:hint="eastAsia"/>
                      <w:color w:val="auto"/>
                      <w:kern w:val="0"/>
                      <w:szCs w:val="21"/>
                      <w:highlight w:val="none"/>
                    </w:rPr>
                    <w:t>中心位置</w:t>
                  </w:r>
                  <w:r>
                    <w:rPr>
                      <w:color w:val="auto"/>
                      <w:kern w:val="0"/>
                      <w:szCs w:val="21"/>
                      <w:highlight w:val="none"/>
                    </w:rPr>
                    <w:t>m</w:t>
                  </w:r>
                </w:p>
              </w:tc>
              <w:tc>
                <w:tcPr>
                  <w:tcW w:w="885" w:type="dxa"/>
                  <w:vMerge w:val="restart"/>
                  <w:vAlign w:val="center"/>
                </w:tcPr>
                <w:p w14:paraId="4422B6B0">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声功率级</w:t>
                  </w:r>
                  <w:r>
                    <w:rPr>
                      <w:color w:val="auto"/>
                      <w:kern w:val="0"/>
                      <w:szCs w:val="21"/>
                      <w:highlight w:val="none"/>
                    </w:rPr>
                    <w:t>dB(A)</w:t>
                  </w:r>
                </w:p>
              </w:tc>
              <w:tc>
                <w:tcPr>
                  <w:tcW w:w="727" w:type="dxa"/>
                  <w:vMerge w:val="restart"/>
                  <w:vAlign w:val="center"/>
                </w:tcPr>
                <w:p w14:paraId="36B8E3F1">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运行时段</w:t>
                  </w:r>
                </w:p>
              </w:tc>
              <w:tc>
                <w:tcPr>
                  <w:tcW w:w="962" w:type="dxa"/>
                  <w:vMerge w:val="restart"/>
                  <w:vAlign w:val="center"/>
                </w:tcPr>
                <w:p w14:paraId="496A25DF">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声源控制措施</w:t>
                  </w:r>
                </w:p>
              </w:tc>
            </w:tr>
            <w:tr w14:paraId="3E2EA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dxa"/>
                  <w:vMerge w:val="continue"/>
                  <w:vAlign w:val="center"/>
                </w:tcPr>
                <w:p w14:paraId="18D21667">
                  <w:pPr>
                    <w:adjustRightInd w:val="0"/>
                    <w:snapToGrid w:val="0"/>
                    <w:spacing w:before="20" w:after="20" w:line="320" w:lineRule="exact"/>
                    <w:jc w:val="center"/>
                    <w:rPr>
                      <w:color w:val="auto"/>
                      <w:kern w:val="0"/>
                      <w:szCs w:val="21"/>
                      <w:highlight w:val="none"/>
                    </w:rPr>
                  </w:pPr>
                </w:p>
              </w:tc>
              <w:tc>
                <w:tcPr>
                  <w:tcW w:w="2122" w:type="dxa"/>
                  <w:vMerge w:val="continue"/>
                  <w:vAlign w:val="center"/>
                </w:tcPr>
                <w:p w14:paraId="02A458A1">
                  <w:pPr>
                    <w:adjustRightInd w:val="0"/>
                    <w:snapToGrid w:val="0"/>
                    <w:spacing w:before="20" w:after="20" w:line="320" w:lineRule="exact"/>
                    <w:jc w:val="center"/>
                    <w:rPr>
                      <w:color w:val="auto"/>
                      <w:kern w:val="0"/>
                      <w:szCs w:val="21"/>
                      <w:highlight w:val="none"/>
                    </w:rPr>
                  </w:pPr>
                </w:p>
              </w:tc>
              <w:tc>
                <w:tcPr>
                  <w:tcW w:w="519" w:type="dxa"/>
                  <w:vMerge w:val="continue"/>
                  <w:vAlign w:val="center"/>
                </w:tcPr>
                <w:p w14:paraId="2DE600A4">
                  <w:pPr>
                    <w:adjustRightInd w:val="0"/>
                    <w:snapToGrid w:val="0"/>
                    <w:spacing w:before="20" w:after="20" w:line="320" w:lineRule="exact"/>
                    <w:jc w:val="center"/>
                    <w:rPr>
                      <w:color w:val="auto"/>
                      <w:kern w:val="0"/>
                      <w:szCs w:val="21"/>
                      <w:highlight w:val="none"/>
                    </w:rPr>
                  </w:pPr>
                </w:p>
              </w:tc>
              <w:tc>
                <w:tcPr>
                  <w:tcW w:w="677" w:type="dxa"/>
                  <w:vAlign w:val="center"/>
                </w:tcPr>
                <w:p w14:paraId="02CE51E2">
                  <w:pPr>
                    <w:adjustRightInd w:val="0"/>
                    <w:snapToGrid w:val="0"/>
                    <w:spacing w:before="20" w:after="20" w:line="320" w:lineRule="exact"/>
                    <w:jc w:val="center"/>
                    <w:rPr>
                      <w:color w:val="auto"/>
                      <w:kern w:val="0"/>
                      <w:szCs w:val="21"/>
                      <w:highlight w:val="none"/>
                    </w:rPr>
                  </w:pPr>
                  <w:r>
                    <w:rPr>
                      <w:color w:val="auto"/>
                      <w:kern w:val="0"/>
                      <w:szCs w:val="21"/>
                      <w:highlight w:val="none"/>
                    </w:rPr>
                    <w:t>X</w:t>
                  </w:r>
                </w:p>
              </w:tc>
              <w:tc>
                <w:tcPr>
                  <w:tcW w:w="677" w:type="dxa"/>
                  <w:vAlign w:val="center"/>
                </w:tcPr>
                <w:p w14:paraId="5746A227">
                  <w:pPr>
                    <w:adjustRightInd w:val="0"/>
                    <w:snapToGrid w:val="0"/>
                    <w:spacing w:before="20" w:after="20" w:line="320" w:lineRule="exact"/>
                    <w:jc w:val="center"/>
                    <w:rPr>
                      <w:color w:val="auto"/>
                      <w:kern w:val="0"/>
                      <w:szCs w:val="21"/>
                      <w:highlight w:val="none"/>
                    </w:rPr>
                  </w:pPr>
                  <w:r>
                    <w:rPr>
                      <w:color w:val="auto"/>
                      <w:kern w:val="0"/>
                      <w:szCs w:val="21"/>
                      <w:highlight w:val="none"/>
                    </w:rPr>
                    <w:t>Y</w:t>
                  </w:r>
                </w:p>
              </w:tc>
              <w:tc>
                <w:tcPr>
                  <w:tcW w:w="649" w:type="dxa"/>
                  <w:vAlign w:val="center"/>
                </w:tcPr>
                <w:p w14:paraId="1D8D8598">
                  <w:pPr>
                    <w:adjustRightInd w:val="0"/>
                    <w:snapToGrid w:val="0"/>
                    <w:spacing w:before="20" w:after="20" w:line="320" w:lineRule="exact"/>
                    <w:jc w:val="center"/>
                    <w:rPr>
                      <w:color w:val="auto"/>
                      <w:kern w:val="0"/>
                      <w:szCs w:val="21"/>
                      <w:highlight w:val="none"/>
                    </w:rPr>
                  </w:pPr>
                  <w:r>
                    <w:rPr>
                      <w:color w:val="auto"/>
                      <w:kern w:val="0"/>
                      <w:szCs w:val="21"/>
                      <w:highlight w:val="none"/>
                    </w:rPr>
                    <w:t>Z</w:t>
                  </w:r>
                </w:p>
              </w:tc>
              <w:tc>
                <w:tcPr>
                  <w:tcW w:w="885" w:type="dxa"/>
                  <w:vMerge w:val="continue"/>
                  <w:vAlign w:val="center"/>
                </w:tcPr>
                <w:p w14:paraId="0ED3F5ED">
                  <w:pPr>
                    <w:adjustRightInd w:val="0"/>
                    <w:snapToGrid w:val="0"/>
                    <w:spacing w:before="20" w:after="20" w:line="320" w:lineRule="exact"/>
                    <w:jc w:val="center"/>
                    <w:rPr>
                      <w:color w:val="auto"/>
                      <w:kern w:val="0"/>
                      <w:szCs w:val="21"/>
                      <w:highlight w:val="none"/>
                    </w:rPr>
                  </w:pPr>
                </w:p>
              </w:tc>
              <w:tc>
                <w:tcPr>
                  <w:tcW w:w="727" w:type="dxa"/>
                  <w:vMerge w:val="continue"/>
                  <w:vAlign w:val="center"/>
                </w:tcPr>
                <w:p w14:paraId="2AA59952">
                  <w:pPr>
                    <w:adjustRightInd w:val="0"/>
                    <w:snapToGrid w:val="0"/>
                    <w:spacing w:before="20" w:after="20" w:line="320" w:lineRule="exact"/>
                    <w:jc w:val="center"/>
                    <w:rPr>
                      <w:color w:val="auto"/>
                      <w:kern w:val="0"/>
                      <w:szCs w:val="21"/>
                      <w:highlight w:val="none"/>
                    </w:rPr>
                  </w:pPr>
                </w:p>
              </w:tc>
              <w:tc>
                <w:tcPr>
                  <w:tcW w:w="962" w:type="dxa"/>
                  <w:vMerge w:val="continue"/>
                  <w:vAlign w:val="center"/>
                </w:tcPr>
                <w:p w14:paraId="7A04B5CF">
                  <w:pPr>
                    <w:adjustRightInd w:val="0"/>
                    <w:snapToGrid w:val="0"/>
                    <w:spacing w:before="20" w:after="20" w:line="320" w:lineRule="exact"/>
                    <w:jc w:val="center"/>
                    <w:rPr>
                      <w:color w:val="auto"/>
                      <w:kern w:val="0"/>
                      <w:szCs w:val="21"/>
                      <w:highlight w:val="none"/>
                    </w:rPr>
                  </w:pPr>
                </w:p>
              </w:tc>
            </w:tr>
            <w:tr w14:paraId="59F6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dxa"/>
                  <w:vAlign w:val="center"/>
                </w:tcPr>
                <w:p w14:paraId="490DE0AB">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1</w:t>
                  </w:r>
                </w:p>
              </w:tc>
              <w:tc>
                <w:tcPr>
                  <w:tcW w:w="2122" w:type="dxa"/>
                  <w:vAlign w:val="center"/>
                </w:tcPr>
                <w:p w14:paraId="2270C350">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风机</w:t>
                  </w:r>
                </w:p>
              </w:tc>
              <w:tc>
                <w:tcPr>
                  <w:tcW w:w="519" w:type="dxa"/>
                  <w:vAlign w:val="center"/>
                </w:tcPr>
                <w:p w14:paraId="35707CA4">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w:t>
                  </w:r>
                </w:p>
              </w:tc>
              <w:tc>
                <w:tcPr>
                  <w:tcW w:w="677" w:type="dxa"/>
                  <w:vAlign w:val="center"/>
                </w:tcPr>
                <w:p w14:paraId="6A85EF9E">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-65</w:t>
                  </w:r>
                </w:p>
              </w:tc>
              <w:tc>
                <w:tcPr>
                  <w:tcW w:w="677" w:type="dxa"/>
                  <w:vAlign w:val="center"/>
                </w:tcPr>
                <w:p w14:paraId="56D8D3FC">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24</w:t>
                  </w:r>
                </w:p>
              </w:tc>
              <w:tc>
                <w:tcPr>
                  <w:tcW w:w="649" w:type="dxa"/>
                  <w:vAlign w:val="center"/>
                </w:tcPr>
                <w:p w14:paraId="50BC2C07">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0</w:t>
                  </w:r>
                </w:p>
              </w:tc>
              <w:tc>
                <w:tcPr>
                  <w:tcW w:w="885" w:type="dxa"/>
                  <w:vAlign w:val="center"/>
                </w:tcPr>
                <w:p w14:paraId="11F2015A">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80</w:t>
                  </w:r>
                </w:p>
              </w:tc>
              <w:tc>
                <w:tcPr>
                  <w:tcW w:w="727" w:type="dxa"/>
                  <w:vAlign w:val="center"/>
                </w:tcPr>
                <w:p w14:paraId="721F5633">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昼夜</w:t>
                  </w:r>
                </w:p>
              </w:tc>
              <w:tc>
                <w:tcPr>
                  <w:tcW w:w="962" w:type="dxa"/>
                  <w:vMerge w:val="restart"/>
                  <w:vAlign w:val="center"/>
                </w:tcPr>
                <w:p w14:paraId="760E6DD6">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选用低噪声设备、基础减振等</w:t>
                  </w:r>
                </w:p>
              </w:tc>
            </w:tr>
            <w:tr w14:paraId="4D15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dxa"/>
                  <w:vAlign w:val="center"/>
                </w:tcPr>
                <w:p w14:paraId="50851DC2">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2</w:t>
                  </w:r>
                </w:p>
              </w:tc>
              <w:tc>
                <w:tcPr>
                  <w:tcW w:w="2122" w:type="dxa"/>
                  <w:vAlign w:val="center"/>
                </w:tcPr>
                <w:p w14:paraId="4A81571F">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北侧冷却塔（含水泵</w:t>
                  </w:r>
                  <w:r>
                    <w:rPr>
                      <w:rFonts w:hint="eastAsia"/>
                      <w:color w:val="auto"/>
                      <w:kern w:val="0"/>
                      <w:szCs w:val="21"/>
                      <w:highlight w:val="none"/>
                      <w:lang w:val="en-US" w:eastAsia="zh-CN"/>
                    </w:rPr>
                    <w:t>2台，地面式</w:t>
                  </w:r>
                  <w:r>
                    <w:rPr>
                      <w:rFonts w:hint="eastAsia"/>
                      <w:color w:val="auto"/>
                      <w:kern w:val="0"/>
                      <w:szCs w:val="21"/>
                      <w:highlight w:val="none"/>
                    </w:rPr>
                    <w:t>）</w:t>
                  </w:r>
                </w:p>
              </w:tc>
              <w:tc>
                <w:tcPr>
                  <w:tcW w:w="519" w:type="dxa"/>
                  <w:vAlign w:val="center"/>
                </w:tcPr>
                <w:p w14:paraId="37567FEB">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w:t>
                  </w:r>
                </w:p>
              </w:tc>
              <w:tc>
                <w:tcPr>
                  <w:tcW w:w="677" w:type="dxa"/>
                  <w:vAlign w:val="center"/>
                </w:tcPr>
                <w:p w14:paraId="3517F508">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8</w:t>
                  </w:r>
                </w:p>
              </w:tc>
              <w:tc>
                <w:tcPr>
                  <w:tcW w:w="677" w:type="dxa"/>
                  <w:vAlign w:val="center"/>
                </w:tcPr>
                <w:p w14:paraId="2AFE3E8E">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55</w:t>
                  </w:r>
                </w:p>
              </w:tc>
              <w:tc>
                <w:tcPr>
                  <w:tcW w:w="649" w:type="dxa"/>
                  <w:vAlign w:val="center"/>
                </w:tcPr>
                <w:p w14:paraId="22B00952">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0</w:t>
                  </w:r>
                </w:p>
              </w:tc>
              <w:tc>
                <w:tcPr>
                  <w:tcW w:w="885" w:type="dxa"/>
                  <w:vAlign w:val="center"/>
                </w:tcPr>
                <w:p w14:paraId="31C0FE98">
                  <w:pPr>
                    <w:adjustRightInd w:val="0"/>
                    <w:snapToGrid w:val="0"/>
                    <w:spacing w:before="20" w:after="20" w:line="320" w:lineRule="exact"/>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70</w:t>
                  </w:r>
                </w:p>
              </w:tc>
              <w:tc>
                <w:tcPr>
                  <w:tcW w:w="727" w:type="dxa"/>
                  <w:vAlign w:val="center"/>
                </w:tcPr>
                <w:p w14:paraId="72EB7AA5">
                  <w:pPr>
                    <w:rPr>
                      <w:color w:val="auto"/>
                      <w:highlight w:val="none"/>
                    </w:rPr>
                  </w:pPr>
                  <w:r>
                    <w:rPr>
                      <w:rFonts w:hint="eastAsia"/>
                      <w:color w:val="auto"/>
                      <w:highlight w:val="none"/>
                    </w:rPr>
                    <w:t>昼夜</w:t>
                  </w:r>
                </w:p>
              </w:tc>
              <w:tc>
                <w:tcPr>
                  <w:tcW w:w="962" w:type="dxa"/>
                  <w:vMerge w:val="continue"/>
                  <w:vAlign w:val="center"/>
                </w:tcPr>
                <w:p w14:paraId="477F9DE6">
                  <w:pPr>
                    <w:adjustRightInd w:val="0"/>
                    <w:snapToGrid w:val="0"/>
                    <w:spacing w:before="20" w:after="20" w:line="320" w:lineRule="exact"/>
                    <w:jc w:val="center"/>
                    <w:rPr>
                      <w:color w:val="auto"/>
                      <w:kern w:val="0"/>
                      <w:szCs w:val="21"/>
                      <w:highlight w:val="none"/>
                    </w:rPr>
                  </w:pPr>
                </w:p>
              </w:tc>
            </w:tr>
            <w:tr w14:paraId="4344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dxa"/>
                  <w:vAlign w:val="center"/>
                </w:tcPr>
                <w:p w14:paraId="6C4F96B1">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3</w:t>
                  </w:r>
                </w:p>
              </w:tc>
              <w:tc>
                <w:tcPr>
                  <w:tcW w:w="2122" w:type="dxa"/>
                  <w:vAlign w:val="center"/>
                </w:tcPr>
                <w:p w14:paraId="5E46F486">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西侧冷却塔（含水泵</w:t>
                  </w:r>
                  <w:r>
                    <w:rPr>
                      <w:rFonts w:hint="eastAsia"/>
                      <w:color w:val="auto"/>
                      <w:kern w:val="0"/>
                      <w:szCs w:val="21"/>
                      <w:highlight w:val="none"/>
                      <w:lang w:val="en-US" w:eastAsia="zh-CN"/>
                    </w:rPr>
                    <w:t>2台，地面式</w:t>
                  </w:r>
                  <w:r>
                    <w:rPr>
                      <w:rFonts w:hint="eastAsia"/>
                      <w:color w:val="auto"/>
                      <w:kern w:val="0"/>
                      <w:szCs w:val="21"/>
                      <w:highlight w:val="none"/>
                    </w:rPr>
                    <w:t>）</w:t>
                  </w:r>
                </w:p>
              </w:tc>
              <w:tc>
                <w:tcPr>
                  <w:tcW w:w="519" w:type="dxa"/>
                  <w:vAlign w:val="center"/>
                </w:tcPr>
                <w:p w14:paraId="08F4BB36">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w:t>
                  </w:r>
                </w:p>
              </w:tc>
              <w:tc>
                <w:tcPr>
                  <w:tcW w:w="677" w:type="dxa"/>
                  <w:vAlign w:val="center"/>
                </w:tcPr>
                <w:p w14:paraId="2CBE46FF">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-70</w:t>
                  </w:r>
                </w:p>
              </w:tc>
              <w:tc>
                <w:tcPr>
                  <w:tcW w:w="677" w:type="dxa"/>
                  <w:vAlign w:val="center"/>
                </w:tcPr>
                <w:p w14:paraId="5A77F518">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-18</w:t>
                  </w:r>
                </w:p>
              </w:tc>
              <w:tc>
                <w:tcPr>
                  <w:tcW w:w="649" w:type="dxa"/>
                  <w:vAlign w:val="center"/>
                </w:tcPr>
                <w:p w14:paraId="768D7FE2">
                  <w:pPr>
                    <w:adjustRightInd w:val="0"/>
                    <w:snapToGrid w:val="0"/>
                    <w:spacing w:before="20" w:after="20" w:line="320" w:lineRule="exact"/>
                    <w:jc w:val="center"/>
                    <w:rPr>
                      <w:color w:val="auto"/>
                      <w:kern w:val="0"/>
                      <w:szCs w:val="21"/>
                      <w:highlight w:val="none"/>
                    </w:rPr>
                  </w:pPr>
                  <w:r>
                    <w:rPr>
                      <w:rFonts w:hint="eastAsia"/>
                      <w:color w:val="auto"/>
                      <w:kern w:val="0"/>
                      <w:szCs w:val="21"/>
                      <w:highlight w:val="none"/>
                    </w:rPr>
                    <w:t>0</w:t>
                  </w:r>
                </w:p>
              </w:tc>
              <w:tc>
                <w:tcPr>
                  <w:tcW w:w="885" w:type="dxa"/>
                  <w:vAlign w:val="center"/>
                </w:tcPr>
                <w:p w14:paraId="099BC808">
                  <w:pPr>
                    <w:adjustRightInd w:val="0"/>
                    <w:snapToGrid w:val="0"/>
                    <w:spacing w:before="20" w:after="20" w:line="320" w:lineRule="exact"/>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70</w:t>
                  </w:r>
                </w:p>
              </w:tc>
              <w:tc>
                <w:tcPr>
                  <w:tcW w:w="727" w:type="dxa"/>
                  <w:vAlign w:val="center"/>
                </w:tcPr>
                <w:p w14:paraId="1D006668">
                  <w:pPr>
                    <w:rPr>
                      <w:color w:val="auto"/>
                      <w:highlight w:val="none"/>
                    </w:rPr>
                  </w:pPr>
                  <w:r>
                    <w:rPr>
                      <w:rFonts w:hint="eastAsia"/>
                      <w:color w:val="auto"/>
                      <w:highlight w:val="none"/>
                    </w:rPr>
                    <w:t>昼夜</w:t>
                  </w:r>
                </w:p>
              </w:tc>
              <w:tc>
                <w:tcPr>
                  <w:tcW w:w="962" w:type="dxa"/>
                  <w:vMerge w:val="continue"/>
                  <w:vAlign w:val="center"/>
                </w:tcPr>
                <w:p w14:paraId="05A62306">
                  <w:pPr>
                    <w:adjustRightInd w:val="0"/>
                    <w:snapToGrid w:val="0"/>
                    <w:spacing w:before="20" w:after="20" w:line="320" w:lineRule="exact"/>
                    <w:jc w:val="center"/>
                    <w:rPr>
                      <w:color w:val="auto"/>
                      <w:kern w:val="0"/>
                      <w:szCs w:val="21"/>
                      <w:highlight w:val="none"/>
                    </w:rPr>
                  </w:pPr>
                </w:p>
              </w:tc>
            </w:tr>
          </w:tbl>
          <w:p w14:paraId="0F76955D">
            <w:pPr>
              <w:adjustRightInd w:val="0"/>
              <w:snapToGrid w:val="0"/>
              <w:jc w:val="center"/>
              <w:rPr>
                <w:color w:val="auto"/>
                <w:kern w:val="0"/>
                <w:sz w:val="26"/>
                <w:szCs w:val="26"/>
                <w:highlight w:val="none"/>
              </w:rPr>
            </w:pPr>
          </w:p>
          <w:p w14:paraId="20A1B30C">
            <w:pPr>
              <w:adjustRightInd w:val="0"/>
              <w:snapToGrid w:val="0"/>
              <w:jc w:val="center"/>
              <w:rPr>
                <w:color w:val="auto"/>
                <w:kern w:val="0"/>
                <w:sz w:val="26"/>
                <w:szCs w:val="26"/>
                <w:highlight w:val="none"/>
              </w:rPr>
            </w:pPr>
          </w:p>
          <w:p w14:paraId="043B5C55">
            <w:pPr>
              <w:pStyle w:val="79"/>
              <w:spacing w:line="480" w:lineRule="exact"/>
              <w:ind w:firstLine="522" w:firstLineChars="200"/>
              <w:jc w:val="both"/>
              <w:rPr>
                <w:rFonts w:eastAsiaTheme="minorEastAsia"/>
                <w:color w:val="auto"/>
                <w:sz w:val="26"/>
                <w:szCs w:val="26"/>
                <w:highlight w:val="none"/>
              </w:rPr>
            </w:pPr>
            <w:r>
              <w:rPr>
                <w:color w:val="auto"/>
                <w:sz w:val="26"/>
                <w:szCs w:val="26"/>
                <w:highlight w:val="none"/>
              </w:rPr>
              <w:t>4.</w:t>
            </w:r>
            <w:r>
              <w:rPr>
                <w:rFonts w:hint="eastAsia"/>
                <w:color w:val="auto"/>
                <w:sz w:val="26"/>
                <w:szCs w:val="26"/>
                <w:highlight w:val="none"/>
              </w:rPr>
              <w:t>2.</w:t>
            </w:r>
            <w:r>
              <w:rPr>
                <w:color w:val="auto"/>
                <w:sz w:val="26"/>
                <w:szCs w:val="26"/>
                <w:highlight w:val="none"/>
              </w:rPr>
              <w:t>3.2 厂</w:t>
            </w:r>
            <w:r>
              <w:rPr>
                <w:rFonts w:eastAsiaTheme="minorEastAsia"/>
                <w:color w:val="auto"/>
                <w:sz w:val="26"/>
                <w:szCs w:val="26"/>
                <w:highlight w:val="none"/>
              </w:rPr>
              <w:t>界和环境保护目标达标情况分析</w:t>
            </w:r>
          </w:p>
          <w:p w14:paraId="0A6972BB">
            <w:pPr>
              <w:pStyle w:val="67"/>
              <w:spacing w:line="480" w:lineRule="exact"/>
              <w:ind w:firstLine="520"/>
              <w:jc w:val="both"/>
              <w:rPr>
                <w:color w:val="auto"/>
                <w:sz w:val="26"/>
                <w:szCs w:val="26"/>
                <w:highlight w:val="none"/>
              </w:rPr>
            </w:pPr>
            <w:r>
              <w:rPr>
                <w:color w:val="auto"/>
                <w:sz w:val="26"/>
                <w:szCs w:val="26"/>
                <w:highlight w:val="none"/>
              </w:rPr>
              <w:t>根据调查，本项目</w:t>
            </w:r>
            <w:r>
              <w:rPr>
                <w:rFonts w:hint="eastAsia"/>
                <w:color w:val="auto"/>
                <w:sz w:val="26"/>
                <w:szCs w:val="26"/>
                <w:highlight w:val="none"/>
              </w:rPr>
              <w:t>50m范围内无声环境保护目标存在，因此本次预测厂界噪声达标情况</w:t>
            </w:r>
            <w:r>
              <w:rPr>
                <w:color w:val="auto"/>
                <w:sz w:val="26"/>
                <w:szCs w:val="26"/>
                <w:highlight w:val="none"/>
              </w:rPr>
              <w:t>。预测方法采用点声源距离衰减模式，公式如下：</w:t>
            </w:r>
          </w:p>
          <w:p w14:paraId="066811EC">
            <w:pPr>
              <w:snapToGrid w:val="0"/>
              <w:spacing w:line="480" w:lineRule="atLeast"/>
              <w:jc w:val="center"/>
              <w:rPr>
                <w:color w:val="auto"/>
                <w:sz w:val="26"/>
                <w:szCs w:val="26"/>
                <w:highlight w:val="none"/>
              </w:rPr>
            </w:pPr>
            <w:r>
              <w:rPr>
                <w:color w:val="auto"/>
                <w:position w:val="-30"/>
                <w:highlight w:val="none"/>
              </w:rPr>
              <w:object>
                <v:shape id="_x0000_i1025" o:spt="75" type="#_x0000_t75" style="height:34pt;width:91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89D8575">
            <w:pPr>
              <w:snapToGrid w:val="0"/>
              <w:spacing w:line="480" w:lineRule="atLeast"/>
              <w:ind w:firstLine="522"/>
              <w:rPr>
                <w:color w:val="auto"/>
                <w:sz w:val="26"/>
                <w:szCs w:val="26"/>
                <w:highlight w:val="none"/>
              </w:rPr>
            </w:pPr>
            <w:r>
              <w:rPr>
                <w:rFonts w:hint="eastAsia"/>
                <w:color w:val="auto"/>
                <w:sz w:val="26"/>
                <w:szCs w:val="26"/>
                <w:highlight w:val="none"/>
              </w:rPr>
              <w:t>式中：</w:t>
            </w:r>
            <w:bookmarkStart w:id="91" w:name="hmcheck_b618eb61d51a43f1b6253e3138175ba8"/>
            <w:r>
              <w:rPr>
                <w:color w:val="auto"/>
                <w:sz w:val="26"/>
                <w:szCs w:val="26"/>
                <w:highlight w:val="none"/>
                <w:shd w:val="clear" w:fill="FFAFAA"/>
              </w:rPr>
              <w:t>L</w:t>
            </w:r>
            <w:r>
              <w:rPr>
                <w:color w:val="auto"/>
                <w:sz w:val="26"/>
                <w:szCs w:val="26"/>
                <w:highlight w:val="none"/>
                <w:shd w:val="clear" w:fill="FFAFAA"/>
                <w:vertAlign w:val="subscript"/>
              </w:rPr>
              <w:t>Pi</w:t>
            </w:r>
            <w:bookmarkEnd w:id="91"/>
            <w:r>
              <w:rPr>
                <w:color w:val="auto"/>
                <w:sz w:val="26"/>
                <w:szCs w:val="26"/>
                <w:highlight w:val="none"/>
              </w:rPr>
              <w:t>——第i个噪声源r</w:t>
            </w:r>
            <w:r>
              <w:rPr>
                <w:color w:val="auto"/>
                <w:sz w:val="26"/>
                <w:szCs w:val="26"/>
                <w:highlight w:val="none"/>
                <w:vertAlign w:val="subscript"/>
              </w:rPr>
              <w:t>i</w:t>
            </w:r>
            <w:r>
              <w:rPr>
                <w:color w:val="auto"/>
                <w:sz w:val="26"/>
                <w:szCs w:val="26"/>
                <w:highlight w:val="none"/>
              </w:rPr>
              <w:t>处的噪声贡献值，dB(A)；L</w:t>
            </w:r>
            <w:r>
              <w:rPr>
                <w:color w:val="auto"/>
                <w:sz w:val="26"/>
                <w:szCs w:val="26"/>
                <w:highlight w:val="none"/>
                <w:vertAlign w:val="subscript"/>
              </w:rPr>
              <w:t>0i</w:t>
            </w:r>
            <w:r>
              <w:rPr>
                <w:color w:val="auto"/>
                <w:sz w:val="26"/>
                <w:szCs w:val="26"/>
                <w:highlight w:val="none"/>
              </w:rPr>
              <w:t>——第i个噪声源参考位置r</w:t>
            </w:r>
            <w:r>
              <w:rPr>
                <w:color w:val="auto"/>
                <w:sz w:val="26"/>
                <w:szCs w:val="26"/>
                <w:highlight w:val="none"/>
                <w:vertAlign w:val="subscript"/>
              </w:rPr>
              <w:t>0i</w:t>
            </w:r>
            <w:r>
              <w:rPr>
                <w:color w:val="auto"/>
                <w:sz w:val="26"/>
                <w:szCs w:val="26"/>
                <w:highlight w:val="none"/>
              </w:rPr>
              <w:t>处的噪声贡献值，dB(A)；r</w:t>
            </w:r>
            <w:r>
              <w:rPr>
                <w:color w:val="auto"/>
                <w:sz w:val="26"/>
                <w:szCs w:val="26"/>
                <w:highlight w:val="none"/>
                <w:vertAlign w:val="subscript"/>
              </w:rPr>
              <w:t>i</w:t>
            </w:r>
            <w:r>
              <w:rPr>
                <w:color w:val="auto"/>
                <w:sz w:val="26"/>
                <w:szCs w:val="26"/>
                <w:highlight w:val="none"/>
              </w:rPr>
              <w:t xml:space="preserve"> ——预测点与点声源之间的距离，m；r</w:t>
            </w:r>
            <w:r>
              <w:rPr>
                <w:color w:val="auto"/>
                <w:sz w:val="26"/>
                <w:szCs w:val="26"/>
                <w:highlight w:val="none"/>
                <w:vertAlign w:val="subscript"/>
              </w:rPr>
              <w:t xml:space="preserve">0i </w:t>
            </w:r>
            <w:r>
              <w:rPr>
                <w:color w:val="auto"/>
                <w:sz w:val="26"/>
                <w:szCs w:val="26"/>
                <w:highlight w:val="none"/>
              </w:rPr>
              <w:t>——参考位置与声源之间的距离，1m。</w:t>
            </w:r>
          </w:p>
          <w:p w14:paraId="470B1692">
            <w:pPr>
              <w:snapToGrid w:val="0"/>
              <w:spacing w:line="480" w:lineRule="atLeast"/>
              <w:ind w:firstLine="522"/>
              <w:rPr>
                <w:color w:val="auto"/>
                <w:sz w:val="26"/>
                <w:szCs w:val="26"/>
                <w:highlight w:val="none"/>
              </w:rPr>
            </w:pPr>
            <w:r>
              <w:rPr>
                <w:rFonts w:hint="eastAsia"/>
                <w:color w:val="auto"/>
                <w:sz w:val="26"/>
                <w:szCs w:val="26"/>
                <w:highlight w:val="none"/>
              </w:rPr>
              <w:t>根据上述公式，计算本项目建成后厂界噪声贡献值预测结果详见下表。</w:t>
            </w:r>
          </w:p>
          <w:p w14:paraId="6B0DCEAB">
            <w:pPr>
              <w:rPr>
                <w:color w:val="auto"/>
                <w:sz w:val="26"/>
                <w:szCs w:val="26"/>
                <w:highlight w:val="none"/>
              </w:rPr>
            </w:pPr>
          </w:p>
          <w:p w14:paraId="6AF22C03">
            <w:pPr>
              <w:pStyle w:val="69"/>
              <w:numPr>
                <w:ilvl w:val="0"/>
                <w:numId w:val="0"/>
              </w:numPr>
              <w:spacing w:before="0" w:beforeLines="0"/>
              <w:rPr>
                <w:rFonts w:eastAsia="宋体"/>
                <w:color w:val="auto"/>
                <w:highlight w:val="none"/>
              </w:rPr>
            </w:pPr>
            <w:r>
              <w:rPr>
                <w:rFonts w:hint="eastAsia" w:eastAsia="宋体"/>
                <w:color w:val="auto"/>
                <w:sz w:val="26"/>
                <w:szCs w:val="26"/>
                <w:highlight w:val="none"/>
              </w:rPr>
              <w:t>表4</w:t>
            </w:r>
            <w:r>
              <w:rPr>
                <w:rFonts w:eastAsia="宋体"/>
                <w:color w:val="auto"/>
                <w:sz w:val="26"/>
                <w:szCs w:val="26"/>
                <w:highlight w:val="none"/>
              </w:rPr>
              <w:t>.</w:t>
            </w:r>
            <w:r>
              <w:rPr>
                <w:rFonts w:hint="eastAsia" w:eastAsia="宋体"/>
                <w:color w:val="auto"/>
                <w:sz w:val="26"/>
                <w:szCs w:val="26"/>
                <w:highlight w:val="none"/>
              </w:rPr>
              <w:t>2</w:t>
            </w:r>
            <w:r>
              <w:rPr>
                <w:rFonts w:eastAsia="宋体"/>
                <w:color w:val="auto"/>
                <w:sz w:val="26"/>
                <w:szCs w:val="26"/>
                <w:highlight w:val="none"/>
              </w:rPr>
              <w:t>-</w:t>
            </w:r>
            <w:r>
              <w:rPr>
                <w:rFonts w:hint="eastAsia" w:eastAsia="宋体"/>
                <w:color w:val="auto"/>
                <w:sz w:val="26"/>
                <w:szCs w:val="26"/>
                <w:highlight w:val="none"/>
              </w:rPr>
              <w:t>15</w:t>
            </w:r>
            <w:r>
              <w:rPr>
                <w:rFonts w:eastAsia="宋体"/>
                <w:color w:val="auto"/>
                <w:sz w:val="26"/>
                <w:szCs w:val="26"/>
                <w:highlight w:val="none"/>
              </w:rPr>
              <w:t xml:space="preserve">   项目厂界噪声预测结果  单位：dB(A)</w:t>
            </w:r>
          </w:p>
          <w:tbl>
            <w:tblPr>
              <w:tblStyle w:val="17"/>
              <w:tblW w:w="7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1986"/>
              <w:gridCol w:w="1987"/>
              <w:gridCol w:w="1987"/>
            </w:tblGrid>
            <w:tr w14:paraId="18F7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vMerge w:val="restart"/>
                  <w:vAlign w:val="center"/>
                </w:tcPr>
                <w:p w14:paraId="6AE95788">
                  <w:pPr>
                    <w:pStyle w:val="67"/>
                    <w:spacing w:line="240" w:lineRule="auto"/>
                    <w:ind w:firstLine="0" w:firstLineChars="0"/>
                    <w:jc w:val="center"/>
                    <w:rPr>
                      <w:color w:val="auto"/>
                      <w:sz w:val="26"/>
                      <w:szCs w:val="26"/>
                      <w:highlight w:val="none"/>
                    </w:rPr>
                  </w:pPr>
                  <w:r>
                    <w:rPr>
                      <w:rFonts w:hint="eastAsia"/>
                      <w:color w:val="auto"/>
                      <w:sz w:val="26"/>
                      <w:szCs w:val="26"/>
                      <w:highlight w:val="none"/>
                    </w:rPr>
                    <w:t>预测点</w:t>
                  </w:r>
                </w:p>
              </w:tc>
              <w:tc>
                <w:tcPr>
                  <w:tcW w:w="1986" w:type="dxa"/>
                  <w:vMerge w:val="restart"/>
                  <w:vAlign w:val="center"/>
                </w:tcPr>
                <w:p w14:paraId="0FBE4301">
                  <w:pPr>
                    <w:pStyle w:val="67"/>
                    <w:spacing w:line="240" w:lineRule="auto"/>
                    <w:ind w:firstLine="0" w:firstLineChars="0"/>
                    <w:jc w:val="center"/>
                    <w:rPr>
                      <w:color w:val="auto"/>
                      <w:sz w:val="26"/>
                      <w:szCs w:val="26"/>
                      <w:highlight w:val="none"/>
                    </w:rPr>
                  </w:pPr>
                  <w:r>
                    <w:rPr>
                      <w:rFonts w:hint="eastAsia"/>
                      <w:color w:val="auto"/>
                      <w:sz w:val="26"/>
                      <w:szCs w:val="26"/>
                      <w:highlight w:val="none"/>
                    </w:rPr>
                    <w:t>贡献值</w:t>
                  </w:r>
                </w:p>
              </w:tc>
              <w:tc>
                <w:tcPr>
                  <w:tcW w:w="3974" w:type="dxa"/>
                  <w:gridSpan w:val="2"/>
                  <w:vAlign w:val="center"/>
                </w:tcPr>
                <w:p w14:paraId="51AD1EE4">
                  <w:pPr>
                    <w:pStyle w:val="67"/>
                    <w:spacing w:line="240" w:lineRule="auto"/>
                    <w:ind w:firstLine="0" w:firstLineChars="0"/>
                    <w:jc w:val="center"/>
                    <w:rPr>
                      <w:color w:val="auto"/>
                      <w:sz w:val="26"/>
                      <w:szCs w:val="26"/>
                      <w:highlight w:val="none"/>
                    </w:rPr>
                  </w:pPr>
                  <w:r>
                    <w:rPr>
                      <w:rFonts w:hint="eastAsia"/>
                      <w:color w:val="auto"/>
                      <w:sz w:val="26"/>
                      <w:szCs w:val="26"/>
                      <w:highlight w:val="none"/>
                    </w:rPr>
                    <w:t>标准值</w:t>
                  </w:r>
                </w:p>
              </w:tc>
            </w:tr>
            <w:tr w14:paraId="3A3B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vMerge w:val="continue"/>
                  <w:vAlign w:val="center"/>
                </w:tcPr>
                <w:p w14:paraId="0A6B5778">
                  <w:pPr>
                    <w:pStyle w:val="67"/>
                    <w:spacing w:line="240" w:lineRule="auto"/>
                    <w:ind w:firstLine="0" w:firstLineChars="0"/>
                    <w:jc w:val="center"/>
                    <w:rPr>
                      <w:color w:val="auto"/>
                      <w:sz w:val="26"/>
                      <w:szCs w:val="26"/>
                      <w:highlight w:val="none"/>
                    </w:rPr>
                  </w:pPr>
                </w:p>
              </w:tc>
              <w:tc>
                <w:tcPr>
                  <w:tcW w:w="1986" w:type="dxa"/>
                  <w:vMerge w:val="continue"/>
                  <w:vAlign w:val="center"/>
                </w:tcPr>
                <w:p w14:paraId="24C49B05">
                  <w:pPr>
                    <w:pStyle w:val="67"/>
                    <w:spacing w:line="240" w:lineRule="auto"/>
                    <w:ind w:firstLine="0" w:firstLineChars="0"/>
                    <w:jc w:val="center"/>
                    <w:rPr>
                      <w:color w:val="auto"/>
                      <w:sz w:val="26"/>
                      <w:szCs w:val="26"/>
                      <w:highlight w:val="none"/>
                    </w:rPr>
                  </w:pPr>
                </w:p>
              </w:tc>
              <w:tc>
                <w:tcPr>
                  <w:tcW w:w="1987" w:type="dxa"/>
                  <w:vAlign w:val="center"/>
                </w:tcPr>
                <w:p w14:paraId="5205E081">
                  <w:pPr>
                    <w:pStyle w:val="67"/>
                    <w:spacing w:line="240" w:lineRule="auto"/>
                    <w:ind w:firstLine="0" w:firstLineChars="0"/>
                    <w:jc w:val="center"/>
                    <w:rPr>
                      <w:color w:val="auto"/>
                      <w:sz w:val="26"/>
                      <w:szCs w:val="26"/>
                      <w:highlight w:val="none"/>
                    </w:rPr>
                  </w:pPr>
                  <w:r>
                    <w:rPr>
                      <w:rFonts w:hint="eastAsia"/>
                      <w:color w:val="auto"/>
                      <w:sz w:val="26"/>
                      <w:szCs w:val="26"/>
                      <w:highlight w:val="none"/>
                    </w:rPr>
                    <w:t>昼间</w:t>
                  </w:r>
                </w:p>
              </w:tc>
              <w:tc>
                <w:tcPr>
                  <w:tcW w:w="1987" w:type="dxa"/>
                  <w:vAlign w:val="center"/>
                </w:tcPr>
                <w:p w14:paraId="41F14397">
                  <w:pPr>
                    <w:pStyle w:val="67"/>
                    <w:spacing w:line="240" w:lineRule="auto"/>
                    <w:ind w:firstLine="0" w:firstLineChars="0"/>
                    <w:jc w:val="center"/>
                    <w:rPr>
                      <w:color w:val="auto"/>
                      <w:sz w:val="26"/>
                      <w:szCs w:val="26"/>
                      <w:highlight w:val="none"/>
                    </w:rPr>
                  </w:pPr>
                  <w:r>
                    <w:rPr>
                      <w:rFonts w:hint="eastAsia"/>
                      <w:color w:val="auto"/>
                      <w:sz w:val="26"/>
                      <w:szCs w:val="26"/>
                      <w:highlight w:val="none"/>
                    </w:rPr>
                    <w:t>夜间</w:t>
                  </w:r>
                </w:p>
              </w:tc>
            </w:tr>
            <w:tr w14:paraId="59EB1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vAlign w:val="center"/>
                </w:tcPr>
                <w:p w14:paraId="1D172C51">
                  <w:pPr>
                    <w:pStyle w:val="67"/>
                    <w:spacing w:line="240" w:lineRule="auto"/>
                    <w:ind w:firstLine="0" w:firstLineChars="0"/>
                    <w:jc w:val="center"/>
                    <w:rPr>
                      <w:color w:val="auto"/>
                      <w:sz w:val="26"/>
                      <w:szCs w:val="26"/>
                      <w:highlight w:val="none"/>
                    </w:rPr>
                  </w:pPr>
                  <w:r>
                    <w:rPr>
                      <w:rFonts w:hint="eastAsia"/>
                      <w:color w:val="auto"/>
                      <w:sz w:val="26"/>
                      <w:szCs w:val="26"/>
                      <w:highlight w:val="none"/>
                    </w:rPr>
                    <w:t>东厂界</w:t>
                  </w:r>
                </w:p>
              </w:tc>
              <w:tc>
                <w:tcPr>
                  <w:tcW w:w="1986" w:type="dxa"/>
                  <w:vAlign w:val="center"/>
                </w:tcPr>
                <w:p w14:paraId="1D149711">
                  <w:pPr>
                    <w:pStyle w:val="67"/>
                    <w:spacing w:line="240" w:lineRule="auto"/>
                    <w:ind w:firstLine="0" w:firstLineChars="0"/>
                    <w:jc w:val="center"/>
                    <w:rPr>
                      <w:rFonts w:hint="default" w:eastAsia="宋体"/>
                      <w:color w:val="auto"/>
                      <w:sz w:val="26"/>
                      <w:szCs w:val="26"/>
                      <w:highlight w:val="none"/>
                      <w:lang w:val="en-US" w:eastAsia="zh-CN"/>
                    </w:rPr>
                  </w:pPr>
                  <w:r>
                    <w:rPr>
                      <w:rFonts w:hint="eastAsia"/>
                      <w:color w:val="auto"/>
                      <w:sz w:val="26"/>
                      <w:szCs w:val="26"/>
                      <w:highlight w:val="none"/>
                      <w:lang w:val="en-US" w:eastAsia="zh-CN"/>
                    </w:rPr>
                    <w:t>40.5</w:t>
                  </w:r>
                </w:p>
              </w:tc>
              <w:tc>
                <w:tcPr>
                  <w:tcW w:w="1987" w:type="dxa"/>
                  <w:vAlign w:val="center"/>
                </w:tcPr>
                <w:p w14:paraId="6188FFA8">
                  <w:pPr>
                    <w:pStyle w:val="67"/>
                    <w:spacing w:line="240" w:lineRule="auto"/>
                    <w:ind w:firstLine="0" w:firstLineChars="0"/>
                    <w:jc w:val="center"/>
                    <w:rPr>
                      <w:color w:val="auto"/>
                      <w:sz w:val="26"/>
                      <w:szCs w:val="26"/>
                      <w:highlight w:val="none"/>
                    </w:rPr>
                  </w:pPr>
                  <w:r>
                    <w:rPr>
                      <w:rFonts w:hint="eastAsia"/>
                      <w:color w:val="auto"/>
                      <w:sz w:val="26"/>
                      <w:szCs w:val="26"/>
                      <w:highlight w:val="none"/>
                    </w:rPr>
                    <w:t>65</w:t>
                  </w:r>
                </w:p>
              </w:tc>
              <w:tc>
                <w:tcPr>
                  <w:tcW w:w="1987" w:type="dxa"/>
                  <w:vAlign w:val="center"/>
                </w:tcPr>
                <w:p w14:paraId="22CF4830">
                  <w:pPr>
                    <w:pStyle w:val="67"/>
                    <w:spacing w:line="240" w:lineRule="auto"/>
                    <w:ind w:firstLine="0" w:firstLineChars="0"/>
                    <w:jc w:val="center"/>
                    <w:rPr>
                      <w:color w:val="auto"/>
                      <w:sz w:val="26"/>
                      <w:szCs w:val="26"/>
                      <w:highlight w:val="none"/>
                    </w:rPr>
                  </w:pPr>
                  <w:r>
                    <w:rPr>
                      <w:rFonts w:hint="eastAsia"/>
                      <w:color w:val="auto"/>
                      <w:sz w:val="26"/>
                      <w:szCs w:val="26"/>
                      <w:highlight w:val="none"/>
                    </w:rPr>
                    <w:t>55</w:t>
                  </w:r>
                </w:p>
              </w:tc>
            </w:tr>
            <w:tr w14:paraId="5AA62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vAlign w:val="center"/>
                </w:tcPr>
                <w:p w14:paraId="76CD4041">
                  <w:pPr>
                    <w:pStyle w:val="67"/>
                    <w:spacing w:line="240" w:lineRule="auto"/>
                    <w:ind w:firstLine="0" w:firstLineChars="0"/>
                    <w:jc w:val="center"/>
                    <w:rPr>
                      <w:color w:val="auto"/>
                      <w:sz w:val="26"/>
                      <w:szCs w:val="26"/>
                      <w:highlight w:val="none"/>
                    </w:rPr>
                  </w:pPr>
                  <w:r>
                    <w:rPr>
                      <w:rFonts w:hint="eastAsia"/>
                      <w:color w:val="auto"/>
                      <w:sz w:val="26"/>
                      <w:szCs w:val="26"/>
                      <w:highlight w:val="none"/>
                    </w:rPr>
                    <w:t>西厂界</w:t>
                  </w:r>
                </w:p>
              </w:tc>
              <w:tc>
                <w:tcPr>
                  <w:tcW w:w="1986" w:type="dxa"/>
                  <w:vAlign w:val="center"/>
                </w:tcPr>
                <w:p w14:paraId="387A5128">
                  <w:pPr>
                    <w:pStyle w:val="67"/>
                    <w:spacing w:line="240" w:lineRule="auto"/>
                    <w:ind w:firstLine="0" w:firstLineChars="0"/>
                    <w:jc w:val="center"/>
                    <w:rPr>
                      <w:rFonts w:hint="default" w:eastAsia="宋体"/>
                      <w:color w:val="auto"/>
                      <w:sz w:val="26"/>
                      <w:szCs w:val="26"/>
                      <w:highlight w:val="none"/>
                      <w:lang w:val="en-US" w:eastAsia="zh-CN"/>
                    </w:rPr>
                  </w:pPr>
                  <w:r>
                    <w:rPr>
                      <w:rFonts w:hint="eastAsia"/>
                      <w:color w:val="auto"/>
                      <w:sz w:val="26"/>
                      <w:szCs w:val="26"/>
                      <w:highlight w:val="none"/>
                      <w:lang w:val="en-US" w:eastAsia="zh-CN"/>
                    </w:rPr>
                    <w:t>51.8</w:t>
                  </w:r>
                </w:p>
              </w:tc>
              <w:tc>
                <w:tcPr>
                  <w:tcW w:w="1987" w:type="dxa"/>
                  <w:vAlign w:val="center"/>
                </w:tcPr>
                <w:p w14:paraId="13DA56F6">
                  <w:pPr>
                    <w:pStyle w:val="67"/>
                    <w:spacing w:line="240" w:lineRule="auto"/>
                    <w:ind w:firstLine="0" w:firstLineChars="0"/>
                    <w:jc w:val="center"/>
                    <w:rPr>
                      <w:color w:val="auto"/>
                      <w:sz w:val="26"/>
                      <w:szCs w:val="26"/>
                      <w:highlight w:val="none"/>
                    </w:rPr>
                  </w:pPr>
                  <w:r>
                    <w:rPr>
                      <w:rFonts w:hint="eastAsia"/>
                      <w:color w:val="auto"/>
                      <w:sz w:val="26"/>
                      <w:szCs w:val="26"/>
                      <w:highlight w:val="none"/>
                    </w:rPr>
                    <w:t>65</w:t>
                  </w:r>
                </w:p>
              </w:tc>
              <w:tc>
                <w:tcPr>
                  <w:tcW w:w="1987" w:type="dxa"/>
                  <w:vAlign w:val="center"/>
                </w:tcPr>
                <w:p w14:paraId="09EBABDD">
                  <w:pPr>
                    <w:pStyle w:val="67"/>
                    <w:spacing w:line="240" w:lineRule="auto"/>
                    <w:ind w:firstLine="0" w:firstLineChars="0"/>
                    <w:jc w:val="center"/>
                    <w:rPr>
                      <w:color w:val="auto"/>
                      <w:sz w:val="26"/>
                      <w:szCs w:val="26"/>
                      <w:highlight w:val="none"/>
                    </w:rPr>
                  </w:pPr>
                  <w:r>
                    <w:rPr>
                      <w:rFonts w:hint="eastAsia"/>
                      <w:color w:val="auto"/>
                      <w:sz w:val="26"/>
                      <w:szCs w:val="26"/>
                      <w:highlight w:val="none"/>
                    </w:rPr>
                    <w:t>55</w:t>
                  </w:r>
                </w:p>
              </w:tc>
            </w:tr>
            <w:tr w14:paraId="790CC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vAlign w:val="center"/>
                </w:tcPr>
                <w:p w14:paraId="0F50025E">
                  <w:pPr>
                    <w:pStyle w:val="67"/>
                    <w:spacing w:line="240" w:lineRule="auto"/>
                    <w:ind w:firstLine="0" w:firstLineChars="0"/>
                    <w:jc w:val="center"/>
                    <w:rPr>
                      <w:color w:val="auto"/>
                      <w:sz w:val="26"/>
                      <w:szCs w:val="26"/>
                      <w:highlight w:val="none"/>
                    </w:rPr>
                  </w:pPr>
                  <w:r>
                    <w:rPr>
                      <w:rFonts w:hint="eastAsia"/>
                      <w:color w:val="auto"/>
                      <w:sz w:val="26"/>
                      <w:szCs w:val="26"/>
                      <w:highlight w:val="none"/>
                    </w:rPr>
                    <w:t>南厂界</w:t>
                  </w:r>
                </w:p>
              </w:tc>
              <w:tc>
                <w:tcPr>
                  <w:tcW w:w="1986" w:type="dxa"/>
                  <w:vAlign w:val="center"/>
                </w:tcPr>
                <w:p w14:paraId="6DAD4182">
                  <w:pPr>
                    <w:pStyle w:val="67"/>
                    <w:spacing w:line="240" w:lineRule="auto"/>
                    <w:ind w:firstLine="0" w:firstLineChars="0"/>
                    <w:jc w:val="center"/>
                    <w:rPr>
                      <w:rFonts w:hint="default" w:eastAsia="宋体"/>
                      <w:color w:val="auto"/>
                      <w:sz w:val="26"/>
                      <w:szCs w:val="26"/>
                      <w:highlight w:val="none"/>
                      <w:lang w:val="en-US" w:eastAsia="zh-CN"/>
                    </w:rPr>
                  </w:pPr>
                  <w:r>
                    <w:rPr>
                      <w:rFonts w:hint="eastAsia"/>
                      <w:color w:val="auto"/>
                      <w:sz w:val="26"/>
                      <w:szCs w:val="26"/>
                      <w:highlight w:val="none"/>
                      <w:lang w:val="en-US" w:eastAsia="zh-CN"/>
                    </w:rPr>
                    <w:t>37.9</w:t>
                  </w:r>
                </w:p>
              </w:tc>
              <w:tc>
                <w:tcPr>
                  <w:tcW w:w="1987" w:type="dxa"/>
                  <w:vAlign w:val="center"/>
                </w:tcPr>
                <w:p w14:paraId="56A4F0AA">
                  <w:pPr>
                    <w:pStyle w:val="67"/>
                    <w:spacing w:line="240" w:lineRule="auto"/>
                    <w:ind w:firstLine="0" w:firstLineChars="0"/>
                    <w:jc w:val="center"/>
                    <w:rPr>
                      <w:color w:val="auto"/>
                      <w:sz w:val="26"/>
                      <w:szCs w:val="26"/>
                      <w:highlight w:val="none"/>
                    </w:rPr>
                  </w:pPr>
                  <w:r>
                    <w:rPr>
                      <w:rFonts w:hint="eastAsia"/>
                      <w:color w:val="auto"/>
                      <w:sz w:val="26"/>
                      <w:szCs w:val="26"/>
                      <w:highlight w:val="none"/>
                    </w:rPr>
                    <w:t>65</w:t>
                  </w:r>
                </w:p>
              </w:tc>
              <w:tc>
                <w:tcPr>
                  <w:tcW w:w="1987" w:type="dxa"/>
                  <w:vAlign w:val="center"/>
                </w:tcPr>
                <w:p w14:paraId="656EB006">
                  <w:pPr>
                    <w:pStyle w:val="67"/>
                    <w:spacing w:line="240" w:lineRule="auto"/>
                    <w:ind w:firstLine="0" w:firstLineChars="0"/>
                    <w:jc w:val="center"/>
                    <w:rPr>
                      <w:color w:val="auto"/>
                      <w:sz w:val="26"/>
                      <w:szCs w:val="26"/>
                      <w:highlight w:val="none"/>
                    </w:rPr>
                  </w:pPr>
                  <w:r>
                    <w:rPr>
                      <w:rFonts w:hint="eastAsia"/>
                      <w:color w:val="auto"/>
                      <w:sz w:val="26"/>
                      <w:szCs w:val="26"/>
                      <w:highlight w:val="none"/>
                    </w:rPr>
                    <w:t>55</w:t>
                  </w:r>
                </w:p>
              </w:tc>
            </w:tr>
            <w:tr w14:paraId="7151D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vAlign w:val="center"/>
                </w:tcPr>
                <w:p w14:paraId="1A9A92F0">
                  <w:pPr>
                    <w:pStyle w:val="67"/>
                    <w:spacing w:line="240" w:lineRule="auto"/>
                    <w:ind w:firstLine="0" w:firstLineChars="0"/>
                    <w:jc w:val="center"/>
                    <w:rPr>
                      <w:color w:val="auto"/>
                      <w:sz w:val="26"/>
                      <w:szCs w:val="26"/>
                      <w:highlight w:val="none"/>
                    </w:rPr>
                  </w:pPr>
                  <w:r>
                    <w:rPr>
                      <w:rFonts w:hint="eastAsia"/>
                      <w:color w:val="auto"/>
                      <w:sz w:val="26"/>
                      <w:szCs w:val="26"/>
                      <w:highlight w:val="none"/>
                    </w:rPr>
                    <w:t>北厂界</w:t>
                  </w:r>
                </w:p>
              </w:tc>
              <w:tc>
                <w:tcPr>
                  <w:tcW w:w="1986" w:type="dxa"/>
                  <w:vAlign w:val="center"/>
                </w:tcPr>
                <w:p w14:paraId="644D296B">
                  <w:pPr>
                    <w:pStyle w:val="67"/>
                    <w:spacing w:line="240" w:lineRule="auto"/>
                    <w:ind w:firstLine="0" w:firstLineChars="0"/>
                    <w:jc w:val="center"/>
                    <w:rPr>
                      <w:rFonts w:hint="default" w:eastAsia="宋体"/>
                      <w:color w:val="auto"/>
                      <w:sz w:val="26"/>
                      <w:szCs w:val="26"/>
                      <w:highlight w:val="none"/>
                      <w:lang w:val="en-US" w:eastAsia="zh-CN"/>
                    </w:rPr>
                  </w:pPr>
                  <w:r>
                    <w:rPr>
                      <w:rFonts w:hint="eastAsia"/>
                      <w:color w:val="auto"/>
                      <w:sz w:val="26"/>
                      <w:szCs w:val="26"/>
                      <w:highlight w:val="none"/>
                      <w:lang w:val="en-US" w:eastAsia="zh-CN"/>
                    </w:rPr>
                    <w:t>52.2</w:t>
                  </w:r>
                </w:p>
              </w:tc>
              <w:tc>
                <w:tcPr>
                  <w:tcW w:w="1987" w:type="dxa"/>
                  <w:vAlign w:val="center"/>
                </w:tcPr>
                <w:p w14:paraId="6E5625F8">
                  <w:pPr>
                    <w:pStyle w:val="67"/>
                    <w:spacing w:line="240" w:lineRule="auto"/>
                    <w:ind w:firstLine="0" w:firstLineChars="0"/>
                    <w:jc w:val="center"/>
                    <w:rPr>
                      <w:color w:val="auto"/>
                      <w:sz w:val="26"/>
                      <w:szCs w:val="26"/>
                      <w:highlight w:val="none"/>
                    </w:rPr>
                  </w:pPr>
                  <w:r>
                    <w:rPr>
                      <w:rFonts w:hint="eastAsia"/>
                      <w:color w:val="auto"/>
                      <w:sz w:val="26"/>
                      <w:szCs w:val="26"/>
                      <w:highlight w:val="none"/>
                    </w:rPr>
                    <w:t>65</w:t>
                  </w:r>
                </w:p>
              </w:tc>
              <w:tc>
                <w:tcPr>
                  <w:tcW w:w="1987" w:type="dxa"/>
                  <w:vAlign w:val="center"/>
                </w:tcPr>
                <w:p w14:paraId="4564EBB0">
                  <w:pPr>
                    <w:pStyle w:val="67"/>
                    <w:spacing w:line="240" w:lineRule="auto"/>
                    <w:ind w:firstLine="0" w:firstLineChars="0"/>
                    <w:jc w:val="center"/>
                    <w:rPr>
                      <w:color w:val="auto"/>
                      <w:sz w:val="26"/>
                      <w:szCs w:val="26"/>
                      <w:highlight w:val="none"/>
                    </w:rPr>
                  </w:pPr>
                  <w:r>
                    <w:rPr>
                      <w:rFonts w:hint="eastAsia"/>
                      <w:color w:val="auto"/>
                      <w:sz w:val="26"/>
                      <w:szCs w:val="26"/>
                      <w:highlight w:val="none"/>
                    </w:rPr>
                    <w:t>55</w:t>
                  </w:r>
                </w:p>
              </w:tc>
            </w:tr>
          </w:tbl>
          <w:p w14:paraId="41064DAE">
            <w:pPr>
              <w:pStyle w:val="67"/>
              <w:spacing w:line="240" w:lineRule="auto"/>
              <w:ind w:firstLine="520"/>
              <w:jc w:val="both"/>
              <w:rPr>
                <w:color w:val="auto"/>
                <w:sz w:val="26"/>
                <w:szCs w:val="26"/>
                <w:highlight w:val="none"/>
              </w:rPr>
            </w:pPr>
          </w:p>
          <w:p w14:paraId="33C07987">
            <w:pPr>
              <w:pStyle w:val="67"/>
              <w:spacing w:line="480" w:lineRule="exact"/>
              <w:ind w:firstLine="520"/>
              <w:jc w:val="both"/>
              <w:rPr>
                <w:color w:val="auto"/>
                <w:highlight w:val="none"/>
              </w:rPr>
            </w:pPr>
            <w:r>
              <w:rPr>
                <w:color w:val="auto"/>
                <w:sz w:val="26"/>
                <w:szCs w:val="26"/>
                <w:highlight w:val="none"/>
              </w:rPr>
              <w:t>根据上表分析，项目</w:t>
            </w:r>
            <w:r>
              <w:rPr>
                <w:rFonts w:hint="eastAsia"/>
                <w:color w:val="auto"/>
                <w:sz w:val="26"/>
                <w:szCs w:val="26"/>
                <w:highlight w:val="none"/>
              </w:rPr>
              <w:t>各厂界噪声排放值满足</w:t>
            </w:r>
            <w:r>
              <w:rPr>
                <w:color w:val="auto"/>
                <w:sz w:val="26"/>
                <w:szCs w:val="26"/>
                <w:highlight w:val="none"/>
              </w:rPr>
              <w:t>《工业企业厂界环境噪声排放标准》（GB12348-2008）3类</w:t>
            </w:r>
            <w:r>
              <w:rPr>
                <w:rFonts w:hint="eastAsia"/>
                <w:color w:val="auto"/>
                <w:sz w:val="26"/>
                <w:szCs w:val="26"/>
                <w:highlight w:val="none"/>
              </w:rPr>
              <w:t>标准</w:t>
            </w:r>
            <w:r>
              <w:rPr>
                <w:color w:val="auto"/>
                <w:sz w:val="26"/>
                <w:szCs w:val="26"/>
                <w:highlight w:val="none"/>
              </w:rPr>
              <w:t>限值要求。</w:t>
            </w:r>
          </w:p>
          <w:p w14:paraId="03280222">
            <w:pPr>
              <w:pStyle w:val="79"/>
              <w:spacing w:line="480" w:lineRule="exact"/>
              <w:ind w:firstLine="522" w:firstLineChars="200"/>
              <w:jc w:val="both"/>
              <w:rPr>
                <w:color w:val="auto"/>
                <w:sz w:val="26"/>
                <w:szCs w:val="26"/>
                <w:highlight w:val="none"/>
              </w:rPr>
            </w:pPr>
            <w:r>
              <w:rPr>
                <w:color w:val="auto"/>
                <w:sz w:val="26"/>
                <w:szCs w:val="26"/>
                <w:highlight w:val="none"/>
              </w:rPr>
              <w:t>4.</w:t>
            </w:r>
            <w:r>
              <w:rPr>
                <w:rFonts w:hint="eastAsia"/>
                <w:color w:val="auto"/>
                <w:sz w:val="26"/>
                <w:szCs w:val="26"/>
                <w:highlight w:val="none"/>
              </w:rPr>
              <w:t>2.</w:t>
            </w:r>
            <w:r>
              <w:rPr>
                <w:color w:val="auto"/>
                <w:sz w:val="26"/>
                <w:szCs w:val="26"/>
                <w:highlight w:val="none"/>
              </w:rPr>
              <w:t>3.3 监测要求</w:t>
            </w:r>
          </w:p>
          <w:p w14:paraId="27E97B94">
            <w:pPr>
              <w:pStyle w:val="67"/>
              <w:spacing w:line="480" w:lineRule="exact"/>
              <w:ind w:firstLine="520"/>
              <w:jc w:val="both"/>
              <w:rPr>
                <w:color w:val="auto"/>
                <w:sz w:val="26"/>
                <w:szCs w:val="26"/>
                <w:highlight w:val="none"/>
              </w:rPr>
            </w:pPr>
            <w:r>
              <w:rPr>
                <w:color w:val="auto"/>
                <w:sz w:val="26"/>
                <w:szCs w:val="26"/>
                <w:highlight w:val="none"/>
              </w:rPr>
              <w:t xml:space="preserve">根据《排污许可证申请与核发技术规范 </w:t>
            </w:r>
            <w:r>
              <w:rPr>
                <w:rFonts w:hint="eastAsia"/>
                <w:color w:val="auto"/>
                <w:sz w:val="26"/>
                <w:szCs w:val="26"/>
                <w:highlight w:val="none"/>
              </w:rPr>
              <w:t>汽车制造业</w:t>
            </w:r>
            <w:r>
              <w:rPr>
                <w:color w:val="auto"/>
                <w:sz w:val="26"/>
                <w:szCs w:val="26"/>
                <w:highlight w:val="none"/>
              </w:rPr>
              <w:t>》</w:t>
            </w:r>
            <w:r>
              <w:rPr>
                <w:rFonts w:hint="eastAsia"/>
                <w:color w:val="auto"/>
                <w:sz w:val="26"/>
                <w:szCs w:val="26"/>
                <w:highlight w:val="none"/>
                <w:lang w:eastAsia="zh-CN"/>
              </w:rPr>
              <w:t>（</w:t>
            </w:r>
            <w:r>
              <w:rPr>
                <w:color w:val="auto"/>
                <w:sz w:val="26"/>
                <w:szCs w:val="26"/>
                <w:highlight w:val="none"/>
              </w:rPr>
              <w:t>HJ9</w:t>
            </w:r>
            <w:r>
              <w:rPr>
                <w:rFonts w:hint="eastAsia"/>
                <w:color w:val="auto"/>
                <w:sz w:val="26"/>
                <w:szCs w:val="26"/>
                <w:highlight w:val="none"/>
              </w:rPr>
              <w:t>71</w:t>
            </w:r>
            <w:r>
              <w:rPr>
                <w:color w:val="auto"/>
                <w:sz w:val="26"/>
                <w:szCs w:val="26"/>
                <w:highlight w:val="none"/>
              </w:rPr>
              <w:t>-2018）、《排污单位自行监测技术指南 总则》（HJ 819-2017）等的相关要求提出本项目</w:t>
            </w:r>
            <w:r>
              <w:rPr>
                <w:rFonts w:hint="eastAsia"/>
                <w:color w:val="auto"/>
                <w:sz w:val="26"/>
                <w:szCs w:val="26"/>
                <w:highlight w:val="none"/>
              </w:rPr>
              <w:t>噪声</w:t>
            </w:r>
            <w:r>
              <w:rPr>
                <w:color w:val="auto"/>
                <w:sz w:val="26"/>
                <w:szCs w:val="26"/>
                <w:highlight w:val="none"/>
              </w:rPr>
              <w:t>监测计划。</w:t>
            </w:r>
          </w:p>
          <w:p w14:paraId="6094A933">
            <w:pPr>
              <w:pStyle w:val="69"/>
              <w:numPr>
                <w:ilvl w:val="0"/>
                <w:numId w:val="0"/>
              </w:numPr>
              <w:spacing w:line="480" w:lineRule="exact"/>
              <w:rPr>
                <w:rFonts w:eastAsia="宋体"/>
                <w:color w:val="auto"/>
                <w:sz w:val="26"/>
                <w:szCs w:val="26"/>
                <w:highlight w:val="none"/>
                <w:lang w:val="zh-CN"/>
              </w:rPr>
            </w:pPr>
            <w:r>
              <w:rPr>
                <w:rFonts w:hint="eastAsia" w:eastAsia="宋体"/>
                <w:color w:val="auto"/>
                <w:sz w:val="26"/>
                <w:szCs w:val="26"/>
                <w:highlight w:val="none"/>
              </w:rPr>
              <w:t>表4</w:t>
            </w:r>
            <w:r>
              <w:rPr>
                <w:rFonts w:eastAsia="宋体"/>
                <w:color w:val="auto"/>
                <w:sz w:val="26"/>
                <w:szCs w:val="26"/>
                <w:highlight w:val="none"/>
              </w:rPr>
              <w:t>.</w:t>
            </w:r>
            <w:r>
              <w:rPr>
                <w:rFonts w:hint="eastAsia" w:eastAsia="宋体"/>
                <w:color w:val="auto"/>
                <w:sz w:val="26"/>
                <w:szCs w:val="26"/>
                <w:highlight w:val="none"/>
              </w:rPr>
              <w:t>2</w:t>
            </w:r>
            <w:r>
              <w:rPr>
                <w:rFonts w:eastAsia="宋体"/>
                <w:color w:val="auto"/>
                <w:sz w:val="26"/>
                <w:szCs w:val="26"/>
                <w:highlight w:val="none"/>
              </w:rPr>
              <w:t>-</w:t>
            </w:r>
            <w:r>
              <w:rPr>
                <w:rFonts w:hint="eastAsia" w:eastAsia="宋体"/>
                <w:color w:val="auto"/>
                <w:sz w:val="26"/>
                <w:szCs w:val="26"/>
                <w:highlight w:val="none"/>
              </w:rPr>
              <w:t>16</w:t>
            </w:r>
            <w:r>
              <w:rPr>
                <w:rFonts w:eastAsia="宋体"/>
                <w:color w:val="auto"/>
                <w:sz w:val="26"/>
                <w:szCs w:val="26"/>
                <w:highlight w:val="none"/>
              </w:rPr>
              <w:t xml:space="preserve">     项目噪声监测计划</w:t>
            </w:r>
          </w:p>
          <w:tbl>
            <w:tblPr>
              <w:tblStyle w:val="16"/>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112"/>
              <w:gridCol w:w="2140"/>
              <w:gridCol w:w="595"/>
              <w:gridCol w:w="1612"/>
              <w:gridCol w:w="1102"/>
            </w:tblGrid>
            <w:tr w14:paraId="014C9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137" w:type="dxa"/>
                  <w:noWrap/>
                  <w:vAlign w:val="center"/>
                </w:tcPr>
                <w:p w14:paraId="7C7319EF">
                  <w:pPr>
                    <w:pStyle w:val="82"/>
                    <w:rPr>
                      <w:color w:val="auto"/>
                      <w:sz w:val="22"/>
                      <w:szCs w:val="22"/>
                      <w:highlight w:val="none"/>
                    </w:rPr>
                  </w:pPr>
                  <w:r>
                    <w:rPr>
                      <w:color w:val="auto"/>
                      <w:sz w:val="22"/>
                      <w:szCs w:val="22"/>
                      <w:highlight w:val="none"/>
                    </w:rPr>
                    <w:t>监测点位</w:t>
                  </w:r>
                </w:p>
              </w:tc>
              <w:tc>
                <w:tcPr>
                  <w:tcW w:w="1112" w:type="dxa"/>
                  <w:vAlign w:val="center"/>
                </w:tcPr>
                <w:p w14:paraId="5C624C72">
                  <w:pPr>
                    <w:pStyle w:val="82"/>
                    <w:rPr>
                      <w:color w:val="auto"/>
                      <w:sz w:val="22"/>
                      <w:szCs w:val="22"/>
                      <w:highlight w:val="none"/>
                    </w:rPr>
                  </w:pPr>
                  <w:r>
                    <w:rPr>
                      <w:color w:val="auto"/>
                      <w:sz w:val="22"/>
                      <w:szCs w:val="22"/>
                      <w:highlight w:val="none"/>
                    </w:rPr>
                    <w:t>监测项目</w:t>
                  </w:r>
                </w:p>
              </w:tc>
              <w:tc>
                <w:tcPr>
                  <w:tcW w:w="2735" w:type="dxa"/>
                  <w:gridSpan w:val="2"/>
                  <w:vAlign w:val="center"/>
                </w:tcPr>
                <w:p w14:paraId="458C4197">
                  <w:pPr>
                    <w:pStyle w:val="82"/>
                    <w:rPr>
                      <w:color w:val="auto"/>
                      <w:sz w:val="22"/>
                      <w:szCs w:val="22"/>
                      <w:highlight w:val="none"/>
                    </w:rPr>
                  </w:pPr>
                  <w:r>
                    <w:rPr>
                      <w:color w:val="auto"/>
                      <w:sz w:val="22"/>
                      <w:szCs w:val="22"/>
                      <w:highlight w:val="none"/>
                    </w:rPr>
                    <w:t>执行标准</w:t>
                  </w:r>
                </w:p>
              </w:tc>
              <w:tc>
                <w:tcPr>
                  <w:tcW w:w="1612" w:type="dxa"/>
                  <w:vAlign w:val="center"/>
                </w:tcPr>
                <w:p w14:paraId="6A9CA39C">
                  <w:pPr>
                    <w:pStyle w:val="82"/>
                    <w:rPr>
                      <w:color w:val="auto"/>
                      <w:sz w:val="22"/>
                      <w:szCs w:val="22"/>
                      <w:highlight w:val="none"/>
                    </w:rPr>
                  </w:pPr>
                  <w:r>
                    <w:rPr>
                      <w:color w:val="auto"/>
                      <w:sz w:val="22"/>
                      <w:szCs w:val="22"/>
                      <w:highlight w:val="none"/>
                    </w:rPr>
                    <w:t>标准限值</w:t>
                  </w:r>
                </w:p>
              </w:tc>
              <w:tc>
                <w:tcPr>
                  <w:tcW w:w="1102" w:type="dxa"/>
                  <w:noWrap/>
                  <w:vAlign w:val="center"/>
                </w:tcPr>
                <w:p w14:paraId="67F1F2A4">
                  <w:pPr>
                    <w:pStyle w:val="82"/>
                    <w:rPr>
                      <w:color w:val="auto"/>
                      <w:sz w:val="22"/>
                      <w:szCs w:val="22"/>
                      <w:highlight w:val="none"/>
                    </w:rPr>
                  </w:pPr>
                  <w:r>
                    <w:rPr>
                      <w:color w:val="auto"/>
                      <w:sz w:val="22"/>
                      <w:szCs w:val="22"/>
                      <w:highlight w:val="none"/>
                    </w:rPr>
                    <w:t>最低监测频率</w:t>
                  </w:r>
                </w:p>
              </w:tc>
            </w:tr>
            <w:tr w14:paraId="768E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137" w:type="dxa"/>
                  <w:noWrap/>
                  <w:vAlign w:val="center"/>
                </w:tcPr>
                <w:p w14:paraId="1B11A57B">
                  <w:pPr>
                    <w:pStyle w:val="82"/>
                    <w:rPr>
                      <w:color w:val="auto"/>
                      <w:sz w:val="22"/>
                      <w:szCs w:val="22"/>
                      <w:highlight w:val="none"/>
                    </w:rPr>
                  </w:pPr>
                  <w:r>
                    <w:rPr>
                      <w:color w:val="auto"/>
                      <w:sz w:val="22"/>
                      <w:szCs w:val="22"/>
                      <w:highlight w:val="none"/>
                    </w:rPr>
                    <w:t>厂界外1m处</w:t>
                  </w:r>
                </w:p>
              </w:tc>
              <w:tc>
                <w:tcPr>
                  <w:tcW w:w="1112" w:type="dxa"/>
                  <w:vAlign w:val="center"/>
                </w:tcPr>
                <w:p w14:paraId="014F23B6">
                  <w:pPr>
                    <w:pStyle w:val="82"/>
                    <w:rPr>
                      <w:color w:val="auto"/>
                      <w:sz w:val="22"/>
                      <w:szCs w:val="22"/>
                      <w:highlight w:val="none"/>
                    </w:rPr>
                  </w:pPr>
                  <w:r>
                    <w:rPr>
                      <w:color w:val="auto"/>
                      <w:sz w:val="22"/>
                      <w:szCs w:val="22"/>
                      <w:highlight w:val="none"/>
                    </w:rPr>
                    <w:t>连续等效A声级</w:t>
                  </w:r>
                </w:p>
              </w:tc>
              <w:tc>
                <w:tcPr>
                  <w:tcW w:w="2140" w:type="dxa"/>
                  <w:vAlign w:val="center"/>
                </w:tcPr>
                <w:p w14:paraId="71D4FCF7">
                  <w:pPr>
                    <w:pStyle w:val="82"/>
                    <w:rPr>
                      <w:color w:val="auto"/>
                      <w:sz w:val="22"/>
                      <w:szCs w:val="22"/>
                      <w:highlight w:val="none"/>
                    </w:rPr>
                  </w:pPr>
                  <w:r>
                    <w:rPr>
                      <w:color w:val="auto"/>
                      <w:sz w:val="22"/>
                      <w:szCs w:val="22"/>
                      <w:highlight w:val="none"/>
                    </w:rPr>
                    <w:t>《工业企业厂界环境噪声排放标准》（GB12348-2008）</w:t>
                  </w:r>
                </w:p>
              </w:tc>
              <w:tc>
                <w:tcPr>
                  <w:tcW w:w="595" w:type="dxa"/>
                  <w:vAlign w:val="center"/>
                </w:tcPr>
                <w:p w14:paraId="4E9F0A85">
                  <w:pPr>
                    <w:pStyle w:val="82"/>
                    <w:rPr>
                      <w:color w:val="auto"/>
                      <w:sz w:val="22"/>
                      <w:szCs w:val="22"/>
                      <w:highlight w:val="none"/>
                    </w:rPr>
                  </w:pPr>
                  <w:r>
                    <w:rPr>
                      <w:color w:val="auto"/>
                      <w:sz w:val="22"/>
                      <w:szCs w:val="22"/>
                      <w:highlight w:val="none"/>
                    </w:rPr>
                    <w:t>3类</w:t>
                  </w:r>
                </w:p>
              </w:tc>
              <w:tc>
                <w:tcPr>
                  <w:tcW w:w="1612" w:type="dxa"/>
                  <w:vAlign w:val="center"/>
                </w:tcPr>
                <w:p w14:paraId="340DF84D">
                  <w:pPr>
                    <w:pStyle w:val="82"/>
                    <w:rPr>
                      <w:color w:val="auto"/>
                      <w:sz w:val="22"/>
                      <w:szCs w:val="22"/>
                      <w:highlight w:val="none"/>
                    </w:rPr>
                  </w:pPr>
                  <w:r>
                    <w:rPr>
                      <w:color w:val="auto"/>
                      <w:sz w:val="22"/>
                      <w:szCs w:val="22"/>
                      <w:highlight w:val="none"/>
                    </w:rPr>
                    <w:t>昼间：65dB(A)</w:t>
                  </w:r>
                </w:p>
                <w:p w14:paraId="6B35ABFD">
                  <w:pPr>
                    <w:pStyle w:val="82"/>
                    <w:rPr>
                      <w:color w:val="auto"/>
                      <w:sz w:val="22"/>
                      <w:szCs w:val="22"/>
                      <w:highlight w:val="none"/>
                    </w:rPr>
                  </w:pPr>
                  <w:r>
                    <w:rPr>
                      <w:color w:val="auto"/>
                      <w:sz w:val="22"/>
                      <w:szCs w:val="22"/>
                      <w:highlight w:val="none"/>
                    </w:rPr>
                    <w:t>夜间：55dB(A)</w:t>
                  </w:r>
                </w:p>
              </w:tc>
              <w:tc>
                <w:tcPr>
                  <w:tcW w:w="1102" w:type="dxa"/>
                  <w:noWrap/>
                  <w:vAlign w:val="center"/>
                </w:tcPr>
                <w:p w14:paraId="3373BB67">
                  <w:pPr>
                    <w:pStyle w:val="82"/>
                    <w:rPr>
                      <w:color w:val="auto"/>
                      <w:sz w:val="22"/>
                      <w:szCs w:val="22"/>
                      <w:highlight w:val="none"/>
                    </w:rPr>
                  </w:pPr>
                  <w:r>
                    <w:rPr>
                      <w:rFonts w:hint="eastAsia"/>
                      <w:color w:val="auto"/>
                      <w:sz w:val="22"/>
                      <w:szCs w:val="22"/>
                      <w:highlight w:val="none"/>
                    </w:rPr>
                    <w:t>验收时监测1次，以后每季度1次</w:t>
                  </w:r>
                </w:p>
              </w:tc>
            </w:tr>
          </w:tbl>
          <w:p w14:paraId="67791A65">
            <w:pPr>
              <w:adjustRightInd w:val="0"/>
              <w:snapToGrid w:val="0"/>
              <w:spacing w:line="480" w:lineRule="exact"/>
              <w:rPr>
                <w:rFonts w:ascii="宋体" w:hAnsi="宋体" w:cs="宋体"/>
                <w:bCs/>
                <w:color w:val="auto"/>
                <w:spacing w:val="-10"/>
                <w:szCs w:val="21"/>
                <w:highlight w:val="none"/>
              </w:rPr>
            </w:pPr>
          </w:p>
        </w:tc>
      </w:tr>
    </w:tbl>
    <w:p w14:paraId="332E4AEA">
      <w:pPr>
        <w:rPr>
          <w:color w:val="auto"/>
          <w:highlight w:val="none"/>
        </w:rPr>
        <w:sectPr>
          <w:pgSz w:w="11906" w:h="16838"/>
          <w:pgMar w:top="1701" w:right="1531" w:bottom="1701" w:left="1531" w:header="851" w:footer="851" w:gutter="0"/>
          <w:cols w:space="720" w:num="1"/>
          <w:docGrid w:linePitch="312" w:charSpace="0"/>
        </w:sectPr>
      </w:pPr>
    </w:p>
    <w:p w14:paraId="0E2245CE">
      <w:pPr>
        <w:rPr>
          <w:color w:val="auto"/>
          <w:highlight w:val="none"/>
        </w:rPr>
      </w:pP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0693E3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46" w:hRule="atLeast"/>
          <w:jc w:val="center"/>
        </w:trPr>
        <w:tc>
          <w:tcPr>
            <w:tcW w:w="746" w:type="dxa"/>
            <w:tcMar>
              <w:left w:w="28" w:type="dxa"/>
              <w:right w:w="28" w:type="dxa"/>
            </w:tcMar>
            <w:vAlign w:val="center"/>
          </w:tcPr>
          <w:p w14:paraId="03E97EF5">
            <w:pPr>
              <w:adjustRightInd w:val="0"/>
              <w:snapToGrid w:val="0"/>
              <w:jc w:val="center"/>
              <w:rPr>
                <w:rFonts w:ascii="宋体" w:hAnsi="宋体" w:cs="宋体"/>
                <w:bCs/>
                <w:color w:val="auto"/>
                <w:sz w:val="26"/>
                <w:szCs w:val="26"/>
                <w:highlight w:val="none"/>
              </w:rPr>
            </w:pPr>
            <w:r>
              <w:rPr>
                <w:rFonts w:hint="eastAsia" w:ascii="宋体" w:hAnsi="宋体" w:cs="宋体"/>
                <w:bCs/>
                <w:color w:val="auto"/>
                <w:sz w:val="26"/>
                <w:szCs w:val="26"/>
                <w:highlight w:val="none"/>
              </w:rPr>
              <w:t>运营</w:t>
            </w:r>
          </w:p>
          <w:p w14:paraId="014BA2F7">
            <w:pPr>
              <w:adjustRightInd w:val="0"/>
              <w:snapToGrid w:val="0"/>
              <w:jc w:val="center"/>
              <w:rPr>
                <w:rFonts w:ascii="宋体" w:hAnsi="宋体" w:cs="宋体"/>
                <w:bCs/>
                <w:color w:val="auto"/>
                <w:sz w:val="26"/>
                <w:szCs w:val="26"/>
                <w:highlight w:val="none"/>
              </w:rPr>
            </w:pPr>
            <w:r>
              <w:rPr>
                <w:rFonts w:hint="eastAsia" w:ascii="宋体" w:hAnsi="宋体" w:cs="宋体"/>
                <w:bCs/>
                <w:color w:val="auto"/>
                <w:sz w:val="26"/>
                <w:szCs w:val="26"/>
                <w:highlight w:val="none"/>
              </w:rPr>
              <w:t>期环</w:t>
            </w:r>
          </w:p>
          <w:p w14:paraId="0BCE2A9C">
            <w:pPr>
              <w:adjustRightInd w:val="0"/>
              <w:snapToGrid w:val="0"/>
              <w:jc w:val="center"/>
              <w:rPr>
                <w:rFonts w:ascii="宋体" w:hAnsi="宋体" w:cs="宋体"/>
                <w:bCs/>
                <w:color w:val="auto"/>
                <w:sz w:val="26"/>
                <w:szCs w:val="26"/>
                <w:highlight w:val="none"/>
              </w:rPr>
            </w:pPr>
            <w:r>
              <w:rPr>
                <w:rFonts w:hint="eastAsia" w:ascii="宋体" w:hAnsi="宋体" w:cs="宋体"/>
                <w:bCs/>
                <w:color w:val="auto"/>
                <w:sz w:val="26"/>
                <w:szCs w:val="26"/>
                <w:highlight w:val="none"/>
              </w:rPr>
              <w:t>境影</w:t>
            </w:r>
          </w:p>
          <w:p w14:paraId="1D48B0C8">
            <w:pPr>
              <w:adjustRightInd w:val="0"/>
              <w:snapToGrid w:val="0"/>
              <w:jc w:val="center"/>
              <w:rPr>
                <w:rFonts w:ascii="宋体" w:hAnsi="宋体" w:cs="宋体"/>
                <w:bCs/>
                <w:color w:val="auto"/>
                <w:sz w:val="26"/>
                <w:szCs w:val="26"/>
                <w:highlight w:val="none"/>
              </w:rPr>
            </w:pPr>
            <w:r>
              <w:rPr>
                <w:rFonts w:hint="eastAsia" w:ascii="宋体" w:hAnsi="宋体" w:cs="宋体"/>
                <w:bCs/>
                <w:color w:val="auto"/>
                <w:sz w:val="26"/>
                <w:szCs w:val="26"/>
                <w:highlight w:val="none"/>
              </w:rPr>
              <w:t>响和</w:t>
            </w:r>
          </w:p>
          <w:p w14:paraId="1B3CFF00">
            <w:pPr>
              <w:adjustRightInd w:val="0"/>
              <w:snapToGrid w:val="0"/>
              <w:jc w:val="center"/>
              <w:rPr>
                <w:rFonts w:ascii="宋体" w:hAnsi="宋体" w:cs="宋体"/>
                <w:bCs/>
                <w:color w:val="auto"/>
                <w:sz w:val="26"/>
                <w:szCs w:val="26"/>
                <w:highlight w:val="none"/>
              </w:rPr>
            </w:pPr>
            <w:r>
              <w:rPr>
                <w:rFonts w:hint="eastAsia" w:ascii="宋体" w:hAnsi="宋体" w:cs="宋体"/>
                <w:bCs/>
                <w:color w:val="auto"/>
                <w:sz w:val="26"/>
                <w:szCs w:val="26"/>
                <w:highlight w:val="none"/>
              </w:rPr>
              <w:t>保护</w:t>
            </w:r>
          </w:p>
          <w:p w14:paraId="0E2A0640">
            <w:pPr>
              <w:pStyle w:val="15"/>
              <w:adjustRightInd w:val="0"/>
              <w:snapToGrid w:val="0"/>
              <w:spacing w:before="0" w:beforeAutospacing="0" w:after="0" w:afterAutospacing="0"/>
              <w:jc w:val="center"/>
              <w:rPr>
                <w:rFonts w:ascii="Times New Roman" w:hAnsi="Times New Roman"/>
                <w:bCs/>
                <w:color w:val="auto"/>
                <w:kern w:val="2"/>
                <w:sz w:val="21"/>
                <w:szCs w:val="21"/>
                <w:highlight w:val="none"/>
              </w:rPr>
            </w:pPr>
            <w:r>
              <w:rPr>
                <w:rFonts w:hint="eastAsia" w:cs="宋体"/>
                <w:bCs/>
                <w:color w:val="auto"/>
                <w:sz w:val="26"/>
                <w:szCs w:val="26"/>
                <w:highlight w:val="none"/>
              </w:rPr>
              <w:t>措施</w:t>
            </w:r>
          </w:p>
        </w:tc>
        <w:tc>
          <w:tcPr>
            <w:tcW w:w="8162" w:type="dxa"/>
          </w:tcPr>
          <w:p w14:paraId="7A5B5C69">
            <w:pPr>
              <w:adjustRightInd w:val="0"/>
              <w:snapToGrid w:val="0"/>
              <w:spacing w:line="480" w:lineRule="exact"/>
              <w:ind w:firstLine="482" w:firstLineChars="200"/>
              <w:rPr>
                <w:b/>
                <w:bCs/>
                <w:color w:val="auto"/>
                <w:spacing w:val="-10"/>
                <w:sz w:val="26"/>
                <w:szCs w:val="26"/>
                <w:highlight w:val="none"/>
              </w:rPr>
            </w:pPr>
            <w:r>
              <w:rPr>
                <w:rFonts w:hint="eastAsia"/>
                <w:b/>
                <w:bCs/>
                <w:color w:val="auto"/>
                <w:spacing w:val="-10"/>
                <w:sz w:val="26"/>
                <w:szCs w:val="26"/>
                <w:highlight w:val="none"/>
              </w:rPr>
              <w:t>4.2.4</w:t>
            </w:r>
            <w:r>
              <w:rPr>
                <w:b/>
                <w:bCs/>
                <w:color w:val="auto"/>
                <w:spacing w:val="-10"/>
                <w:sz w:val="26"/>
                <w:szCs w:val="26"/>
                <w:highlight w:val="none"/>
              </w:rPr>
              <w:t xml:space="preserve"> 固体废物</w:t>
            </w:r>
          </w:p>
          <w:p w14:paraId="5DF2DD11">
            <w:pPr>
              <w:adjustRightInd w:val="0"/>
              <w:snapToGrid w:val="0"/>
              <w:spacing w:line="480" w:lineRule="exact"/>
              <w:ind w:firstLine="520" w:firstLineChars="200"/>
              <w:rPr>
                <w:color w:val="auto"/>
                <w:sz w:val="26"/>
                <w:szCs w:val="26"/>
                <w:highlight w:val="none"/>
              </w:rPr>
            </w:pPr>
            <w:r>
              <w:rPr>
                <w:rFonts w:hint="eastAsia"/>
                <w:color w:val="auto"/>
                <w:sz w:val="26"/>
                <w:szCs w:val="26"/>
                <w:highlight w:val="none"/>
              </w:rPr>
              <w:t>根据《固体废物分类与代码目录》（生态环境部2024年第4号）和《国家危险废物名录》（2025版），本项目产生的固体废物包括一般固废及危险废物。</w:t>
            </w:r>
          </w:p>
          <w:p w14:paraId="08788E32">
            <w:pPr>
              <w:adjustRightInd w:val="0"/>
              <w:snapToGrid w:val="0"/>
              <w:spacing w:line="480" w:lineRule="exact"/>
              <w:ind w:firstLine="522" w:firstLineChars="200"/>
              <w:rPr>
                <w:b/>
                <w:bCs/>
                <w:color w:val="auto"/>
                <w:spacing w:val="-10"/>
                <w:sz w:val="26"/>
                <w:szCs w:val="26"/>
                <w:highlight w:val="none"/>
              </w:rPr>
            </w:pPr>
            <w:r>
              <w:rPr>
                <w:b/>
                <w:bCs/>
                <w:color w:val="auto"/>
                <w:sz w:val="26"/>
                <w:szCs w:val="26"/>
                <w:highlight w:val="none"/>
              </w:rPr>
              <w:t>4.</w:t>
            </w:r>
            <w:r>
              <w:rPr>
                <w:rFonts w:hint="eastAsia"/>
                <w:b/>
                <w:bCs/>
                <w:color w:val="auto"/>
                <w:sz w:val="26"/>
                <w:szCs w:val="26"/>
                <w:highlight w:val="none"/>
              </w:rPr>
              <w:t>2.</w:t>
            </w:r>
            <w:r>
              <w:rPr>
                <w:b/>
                <w:bCs/>
                <w:color w:val="auto"/>
                <w:sz w:val="26"/>
                <w:szCs w:val="26"/>
                <w:highlight w:val="none"/>
              </w:rPr>
              <w:t xml:space="preserve">4.1 </w:t>
            </w:r>
            <w:r>
              <w:rPr>
                <w:rFonts w:hint="eastAsia"/>
                <w:b/>
                <w:bCs/>
                <w:color w:val="auto"/>
                <w:sz w:val="26"/>
                <w:szCs w:val="26"/>
                <w:highlight w:val="none"/>
              </w:rPr>
              <w:t>固体废物产生及处置措施</w:t>
            </w:r>
          </w:p>
          <w:p w14:paraId="36B7FCA0">
            <w:pPr>
              <w:adjustRightInd w:val="0"/>
              <w:snapToGrid w:val="0"/>
              <w:spacing w:line="480" w:lineRule="exact"/>
              <w:ind w:firstLine="520" w:firstLineChars="200"/>
              <w:rPr>
                <w:color w:val="auto"/>
                <w:kern w:val="0"/>
                <w:sz w:val="26"/>
                <w:szCs w:val="26"/>
                <w:highlight w:val="none"/>
              </w:rPr>
            </w:pPr>
            <w:r>
              <w:rPr>
                <w:rFonts w:hint="eastAsia"/>
                <w:color w:val="auto"/>
                <w:kern w:val="0"/>
                <w:sz w:val="26"/>
                <w:szCs w:val="26"/>
                <w:highlight w:val="none"/>
              </w:rPr>
              <w:t>本项目</w:t>
            </w:r>
            <w:r>
              <w:rPr>
                <w:color w:val="auto"/>
                <w:kern w:val="0"/>
                <w:sz w:val="26"/>
                <w:szCs w:val="26"/>
                <w:highlight w:val="none"/>
              </w:rPr>
              <w:t>固体废物产生及处置</w:t>
            </w:r>
            <w:r>
              <w:rPr>
                <w:rFonts w:hint="eastAsia"/>
                <w:color w:val="auto"/>
                <w:kern w:val="0"/>
                <w:sz w:val="26"/>
                <w:szCs w:val="26"/>
                <w:highlight w:val="none"/>
              </w:rPr>
              <w:t>措施</w:t>
            </w:r>
            <w:r>
              <w:rPr>
                <w:color w:val="auto"/>
                <w:kern w:val="0"/>
                <w:sz w:val="26"/>
                <w:szCs w:val="26"/>
                <w:highlight w:val="none"/>
              </w:rPr>
              <w:t>详见</w:t>
            </w:r>
            <w:r>
              <w:rPr>
                <w:rFonts w:hint="eastAsia"/>
                <w:color w:val="auto"/>
                <w:kern w:val="0"/>
                <w:sz w:val="26"/>
                <w:szCs w:val="26"/>
                <w:highlight w:val="none"/>
              </w:rPr>
              <w:t>下表</w:t>
            </w:r>
            <w:r>
              <w:rPr>
                <w:color w:val="auto"/>
                <w:kern w:val="0"/>
                <w:sz w:val="26"/>
                <w:szCs w:val="26"/>
                <w:highlight w:val="none"/>
              </w:rPr>
              <w:t>。</w:t>
            </w:r>
          </w:p>
          <w:p w14:paraId="2430F4EA">
            <w:pPr>
              <w:adjustRightInd w:val="0"/>
              <w:snapToGrid w:val="0"/>
              <w:jc w:val="center"/>
              <w:rPr>
                <w:bCs/>
                <w:color w:val="auto"/>
                <w:sz w:val="26"/>
                <w:szCs w:val="26"/>
                <w:highlight w:val="none"/>
              </w:rPr>
            </w:pPr>
          </w:p>
          <w:p w14:paraId="66D19C8A">
            <w:pPr>
              <w:adjustRightInd w:val="0"/>
              <w:snapToGrid w:val="0"/>
              <w:jc w:val="center"/>
              <w:rPr>
                <w:bCs/>
                <w:color w:val="auto"/>
                <w:sz w:val="24"/>
                <w:szCs w:val="26"/>
                <w:highlight w:val="none"/>
              </w:rPr>
            </w:pPr>
            <w:r>
              <w:rPr>
                <w:bCs/>
                <w:color w:val="auto"/>
                <w:sz w:val="24"/>
                <w:szCs w:val="26"/>
                <w:highlight w:val="none"/>
              </w:rPr>
              <w:t>表4.</w:t>
            </w:r>
            <w:r>
              <w:rPr>
                <w:rFonts w:hint="eastAsia"/>
                <w:bCs/>
                <w:color w:val="auto"/>
                <w:sz w:val="24"/>
                <w:szCs w:val="26"/>
                <w:highlight w:val="none"/>
              </w:rPr>
              <w:t>2</w:t>
            </w:r>
            <w:r>
              <w:rPr>
                <w:bCs/>
                <w:color w:val="auto"/>
                <w:sz w:val="24"/>
                <w:szCs w:val="26"/>
                <w:highlight w:val="none"/>
              </w:rPr>
              <w:t>-</w:t>
            </w:r>
            <w:r>
              <w:rPr>
                <w:rFonts w:hint="eastAsia"/>
                <w:bCs/>
                <w:color w:val="auto"/>
                <w:sz w:val="24"/>
                <w:szCs w:val="26"/>
                <w:highlight w:val="none"/>
              </w:rPr>
              <w:t>17</w:t>
            </w:r>
            <w:r>
              <w:rPr>
                <w:bCs/>
                <w:color w:val="auto"/>
                <w:sz w:val="24"/>
                <w:szCs w:val="26"/>
                <w:highlight w:val="none"/>
              </w:rPr>
              <w:t xml:space="preserve">  项目</w:t>
            </w:r>
            <w:r>
              <w:rPr>
                <w:rFonts w:hint="eastAsia"/>
                <w:bCs/>
                <w:color w:val="auto"/>
                <w:sz w:val="24"/>
                <w:szCs w:val="26"/>
                <w:highlight w:val="none"/>
              </w:rPr>
              <w:t>运行期生活垃圾及</w:t>
            </w:r>
            <w:r>
              <w:rPr>
                <w:bCs/>
                <w:color w:val="auto"/>
                <w:sz w:val="24"/>
                <w:szCs w:val="26"/>
                <w:highlight w:val="none"/>
              </w:rPr>
              <w:t>一般固废产生</w:t>
            </w:r>
            <w:r>
              <w:rPr>
                <w:rFonts w:hint="eastAsia"/>
                <w:bCs/>
                <w:color w:val="auto"/>
                <w:sz w:val="24"/>
                <w:szCs w:val="26"/>
                <w:highlight w:val="none"/>
              </w:rPr>
              <w:t>处置措施</w:t>
            </w:r>
            <w:r>
              <w:rPr>
                <w:bCs/>
                <w:color w:val="auto"/>
                <w:sz w:val="24"/>
                <w:szCs w:val="26"/>
                <w:highlight w:val="none"/>
              </w:rPr>
              <w:t>一览表</w:t>
            </w:r>
          </w:p>
          <w:tbl>
            <w:tblPr>
              <w:tblStyle w:val="16"/>
              <w:tblW w:w="489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40"/>
              <w:gridCol w:w="685"/>
              <w:gridCol w:w="735"/>
              <w:gridCol w:w="249"/>
              <w:gridCol w:w="1137"/>
              <w:gridCol w:w="562"/>
              <w:gridCol w:w="851"/>
              <w:gridCol w:w="851"/>
              <w:gridCol w:w="1423"/>
              <w:gridCol w:w="934"/>
            </w:tblGrid>
            <w:tr w14:paraId="2BE4EF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219" w:type="pct"/>
                  <w:vAlign w:val="center"/>
                </w:tcPr>
                <w:p w14:paraId="774F8110">
                  <w:pPr>
                    <w:ind w:left="-105" w:leftChars="-50" w:right="-105" w:rightChars="-50"/>
                    <w:jc w:val="center"/>
                    <w:rPr>
                      <w:color w:val="auto"/>
                      <w:sz w:val="20"/>
                      <w:szCs w:val="20"/>
                      <w:highlight w:val="none"/>
                    </w:rPr>
                  </w:pPr>
                  <w:r>
                    <w:rPr>
                      <w:color w:val="auto"/>
                      <w:sz w:val="20"/>
                      <w:szCs w:val="20"/>
                      <w:highlight w:val="none"/>
                    </w:rPr>
                    <w:t>序号</w:t>
                  </w:r>
                </w:p>
              </w:tc>
              <w:tc>
                <w:tcPr>
                  <w:tcW w:w="441" w:type="pct"/>
                  <w:vAlign w:val="center"/>
                </w:tcPr>
                <w:p w14:paraId="208E1BC5">
                  <w:pPr>
                    <w:ind w:left="-105" w:leftChars="-50" w:right="-105" w:rightChars="-50"/>
                    <w:jc w:val="center"/>
                    <w:rPr>
                      <w:color w:val="auto"/>
                      <w:sz w:val="20"/>
                      <w:szCs w:val="20"/>
                      <w:highlight w:val="none"/>
                    </w:rPr>
                  </w:pPr>
                  <w:r>
                    <w:rPr>
                      <w:rFonts w:hint="eastAsia"/>
                      <w:color w:val="auto"/>
                      <w:sz w:val="20"/>
                      <w:szCs w:val="20"/>
                      <w:highlight w:val="none"/>
                    </w:rPr>
                    <w:t>产生环节</w:t>
                  </w:r>
                </w:p>
              </w:tc>
              <w:tc>
                <w:tcPr>
                  <w:tcW w:w="473" w:type="pct"/>
                  <w:vAlign w:val="center"/>
                </w:tcPr>
                <w:p w14:paraId="2FE574F4">
                  <w:pPr>
                    <w:ind w:left="-105" w:leftChars="-50" w:right="-105" w:rightChars="-50"/>
                    <w:jc w:val="center"/>
                    <w:rPr>
                      <w:color w:val="auto"/>
                      <w:sz w:val="20"/>
                      <w:szCs w:val="20"/>
                      <w:highlight w:val="none"/>
                    </w:rPr>
                  </w:pPr>
                  <w:r>
                    <w:rPr>
                      <w:rFonts w:hint="eastAsia"/>
                      <w:color w:val="auto"/>
                      <w:sz w:val="20"/>
                      <w:szCs w:val="20"/>
                      <w:highlight w:val="none"/>
                    </w:rPr>
                    <w:t>名称</w:t>
                  </w:r>
                </w:p>
              </w:tc>
              <w:tc>
                <w:tcPr>
                  <w:tcW w:w="160" w:type="pct"/>
                  <w:vAlign w:val="center"/>
                </w:tcPr>
                <w:p w14:paraId="7AAF2E49">
                  <w:pPr>
                    <w:ind w:left="-105" w:leftChars="-50" w:right="-105" w:rightChars="-50"/>
                    <w:jc w:val="center"/>
                    <w:rPr>
                      <w:color w:val="auto"/>
                      <w:sz w:val="20"/>
                      <w:szCs w:val="20"/>
                      <w:highlight w:val="none"/>
                    </w:rPr>
                  </w:pPr>
                  <w:r>
                    <w:rPr>
                      <w:rFonts w:hint="eastAsia"/>
                      <w:color w:val="auto"/>
                      <w:sz w:val="20"/>
                      <w:szCs w:val="20"/>
                      <w:highlight w:val="none"/>
                    </w:rPr>
                    <w:t>属性</w:t>
                  </w:r>
                </w:p>
              </w:tc>
              <w:tc>
                <w:tcPr>
                  <w:tcW w:w="731" w:type="pct"/>
                  <w:vAlign w:val="center"/>
                </w:tcPr>
                <w:p w14:paraId="78F15A3E">
                  <w:pPr>
                    <w:ind w:left="-105" w:leftChars="-50" w:right="-105" w:rightChars="-50"/>
                    <w:jc w:val="center"/>
                    <w:rPr>
                      <w:color w:val="auto"/>
                      <w:sz w:val="20"/>
                      <w:szCs w:val="20"/>
                      <w:highlight w:val="none"/>
                    </w:rPr>
                  </w:pPr>
                  <w:r>
                    <w:rPr>
                      <w:color w:val="auto"/>
                      <w:sz w:val="20"/>
                      <w:szCs w:val="20"/>
                      <w:highlight w:val="none"/>
                    </w:rPr>
                    <w:t>废物</w:t>
                  </w:r>
                </w:p>
                <w:p w14:paraId="449877CD">
                  <w:pPr>
                    <w:ind w:left="-105" w:leftChars="-50" w:right="-105" w:rightChars="-50"/>
                    <w:jc w:val="center"/>
                    <w:rPr>
                      <w:color w:val="auto"/>
                      <w:sz w:val="20"/>
                      <w:szCs w:val="20"/>
                      <w:highlight w:val="none"/>
                    </w:rPr>
                  </w:pPr>
                  <w:r>
                    <w:rPr>
                      <w:color w:val="auto"/>
                      <w:sz w:val="20"/>
                      <w:szCs w:val="20"/>
                      <w:highlight w:val="none"/>
                    </w:rPr>
                    <w:t>代码</w:t>
                  </w:r>
                </w:p>
              </w:tc>
              <w:tc>
                <w:tcPr>
                  <w:tcW w:w="362" w:type="pct"/>
                  <w:vAlign w:val="center"/>
                </w:tcPr>
                <w:p w14:paraId="756B24D3">
                  <w:pPr>
                    <w:ind w:left="-105" w:leftChars="-50" w:right="-105" w:rightChars="-50"/>
                    <w:jc w:val="center"/>
                    <w:rPr>
                      <w:color w:val="auto"/>
                      <w:sz w:val="20"/>
                      <w:szCs w:val="20"/>
                      <w:highlight w:val="none"/>
                    </w:rPr>
                  </w:pPr>
                  <w:r>
                    <w:rPr>
                      <w:rFonts w:hint="eastAsia"/>
                      <w:bCs/>
                      <w:color w:val="auto"/>
                      <w:sz w:val="20"/>
                      <w:szCs w:val="20"/>
                      <w:highlight w:val="none"/>
                    </w:rPr>
                    <w:t>物理性状</w:t>
                  </w:r>
                </w:p>
              </w:tc>
              <w:tc>
                <w:tcPr>
                  <w:tcW w:w="547" w:type="pct"/>
                  <w:vAlign w:val="center"/>
                </w:tcPr>
                <w:p w14:paraId="6263DBF2">
                  <w:pPr>
                    <w:ind w:left="-105" w:leftChars="-50" w:right="-105" w:rightChars="-50"/>
                    <w:jc w:val="center"/>
                    <w:rPr>
                      <w:color w:val="auto"/>
                      <w:sz w:val="20"/>
                      <w:szCs w:val="20"/>
                      <w:highlight w:val="none"/>
                    </w:rPr>
                  </w:pPr>
                  <w:r>
                    <w:rPr>
                      <w:color w:val="auto"/>
                      <w:sz w:val="20"/>
                      <w:szCs w:val="20"/>
                      <w:highlight w:val="none"/>
                    </w:rPr>
                    <w:t>产生量</w:t>
                  </w:r>
                </w:p>
                <w:p w14:paraId="076F39C5">
                  <w:pPr>
                    <w:ind w:left="-105" w:leftChars="-50" w:right="-105" w:rightChars="-50"/>
                    <w:jc w:val="center"/>
                    <w:rPr>
                      <w:color w:val="auto"/>
                      <w:sz w:val="20"/>
                      <w:szCs w:val="20"/>
                      <w:highlight w:val="none"/>
                    </w:rPr>
                  </w:pPr>
                  <w:r>
                    <w:rPr>
                      <w:color w:val="auto"/>
                      <w:sz w:val="20"/>
                      <w:szCs w:val="20"/>
                      <w:highlight w:val="none"/>
                    </w:rPr>
                    <w:t>t/a</w:t>
                  </w:r>
                </w:p>
              </w:tc>
              <w:tc>
                <w:tcPr>
                  <w:tcW w:w="547" w:type="pct"/>
                  <w:vAlign w:val="center"/>
                </w:tcPr>
                <w:p w14:paraId="011086D4">
                  <w:pPr>
                    <w:ind w:left="-105" w:leftChars="-50" w:right="-105" w:rightChars="-50"/>
                    <w:jc w:val="center"/>
                    <w:rPr>
                      <w:color w:val="auto"/>
                      <w:sz w:val="20"/>
                      <w:szCs w:val="20"/>
                      <w:highlight w:val="none"/>
                    </w:rPr>
                  </w:pPr>
                  <w:r>
                    <w:rPr>
                      <w:rFonts w:hint="eastAsia"/>
                      <w:color w:val="auto"/>
                      <w:sz w:val="20"/>
                      <w:szCs w:val="20"/>
                      <w:highlight w:val="none"/>
                    </w:rPr>
                    <w:t>贮存方式</w:t>
                  </w:r>
                </w:p>
              </w:tc>
              <w:tc>
                <w:tcPr>
                  <w:tcW w:w="915" w:type="pct"/>
                  <w:vAlign w:val="center"/>
                </w:tcPr>
                <w:p w14:paraId="689A4EFD">
                  <w:pPr>
                    <w:ind w:left="-105" w:leftChars="-50" w:right="-105" w:rightChars="-50"/>
                    <w:jc w:val="center"/>
                    <w:rPr>
                      <w:color w:val="auto"/>
                      <w:sz w:val="20"/>
                      <w:szCs w:val="20"/>
                      <w:highlight w:val="none"/>
                    </w:rPr>
                  </w:pPr>
                  <w:r>
                    <w:rPr>
                      <w:rFonts w:hint="eastAsia"/>
                      <w:bCs/>
                      <w:color w:val="auto"/>
                      <w:sz w:val="20"/>
                      <w:szCs w:val="20"/>
                      <w:highlight w:val="none"/>
                    </w:rPr>
                    <w:t>利用处置方式和去向</w:t>
                  </w:r>
                </w:p>
              </w:tc>
              <w:tc>
                <w:tcPr>
                  <w:tcW w:w="600" w:type="pct"/>
                  <w:vAlign w:val="center"/>
                </w:tcPr>
                <w:p w14:paraId="5E08AB96">
                  <w:pPr>
                    <w:ind w:left="-105" w:leftChars="-50" w:right="-105" w:rightChars="-50"/>
                    <w:jc w:val="center"/>
                    <w:rPr>
                      <w:color w:val="auto"/>
                      <w:sz w:val="20"/>
                      <w:szCs w:val="20"/>
                      <w:highlight w:val="none"/>
                    </w:rPr>
                  </w:pPr>
                  <w:r>
                    <w:rPr>
                      <w:rFonts w:hint="eastAsia"/>
                      <w:bCs/>
                      <w:color w:val="auto"/>
                      <w:sz w:val="20"/>
                      <w:szCs w:val="20"/>
                      <w:highlight w:val="none"/>
                    </w:rPr>
                    <w:t>利用或处置量</w:t>
                  </w:r>
                  <w:r>
                    <w:rPr>
                      <w:color w:val="auto"/>
                      <w:sz w:val="20"/>
                      <w:szCs w:val="20"/>
                      <w:highlight w:val="none"/>
                    </w:rPr>
                    <w:t>t/a</w:t>
                  </w:r>
                </w:p>
              </w:tc>
            </w:tr>
            <w:tr w14:paraId="68F193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219" w:type="pct"/>
                  <w:vAlign w:val="center"/>
                </w:tcPr>
                <w:p w14:paraId="2E16090C">
                  <w:pPr>
                    <w:numPr>
                      <w:ilvl w:val="0"/>
                      <w:numId w:val="13"/>
                    </w:numPr>
                    <w:ind w:right="-105" w:rightChars="-50"/>
                    <w:jc w:val="center"/>
                    <w:rPr>
                      <w:color w:val="auto"/>
                      <w:kern w:val="0"/>
                      <w:sz w:val="20"/>
                      <w:szCs w:val="20"/>
                      <w:highlight w:val="none"/>
                    </w:rPr>
                  </w:pPr>
                </w:p>
              </w:tc>
              <w:tc>
                <w:tcPr>
                  <w:tcW w:w="441" w:type="pct"/>
                  <w:vAlign w:val="center"/>
                </w:tcPr>
                <w:p w14:paraId="78CA06EB">
                  <w:pPr>
                    <w:ind w:left="-105" w:leftChars="-50" w:right="-105" w:rightChars="-50"/>
                    <w:jc w:val="center"/>
                    <w:rPr>
                      <w:color w:val="auto"/>
                      <w:kern w:val="0"/>
                      <w:sz w:val="20"/>
                      <w:szCs w:val="20"/>
                      <w:highlight w:val="none"/>
                    </w:rPr>
                  </w:pPr>
                  <w:r>
                    <w:rPr>
                      <w:rFonts w:hint="eastAsia"/>
                      <w:color w:val="auto"/>
                      <w:kern w:val="0"/>
                      <w:sz w:val="20"/>
                      <w:szCs w:val="20"/>
                      <w:highlight w:val="none"/>
                    </w:rPr>
                    <w:t>工作人员</w:t>
                  </w:r>
                </w:p>
              </w:tc>
              <w:tc>
                <w:tcPr>
                  <w:tcW w:w="473" w:type="pct"/>
                  <w:vAlign w:val="center"/>
                </w:tcPr>
                <w:p w14:paraId="5A14EF8B">
                  <w:pPr>
                    <w:ind w:left="-105" w:leftChars="-50" w:right="-105" w:rightChars="-50"/>
                    <w:jc w:val="center"/>
                    <w:rPr>
                      <w:color w:val="auto"/>
                      <w:kern w:val="0"/>
                      <w:sz w:val="20"/>
                      <w:szCs w:val="20"/>
                      <w:highlight w:val="none"/>
                    </w:rPr>
                  </w:pPr>
                  <w:r>
                    <w:rPr>
                      <w:color w:val="auto"/>
                      <w:kern w:val="0"/>
                      <w:sz w:val="20"/>
                      <w:szCs w:val="20"/>
                      <w:highlight w:val="none"/>
                    </w:rPr>
                    <w:t>生活垃圾</w:t>
                  </w:r>
                </w:p>
              </w:tc>
              <w:tc>
                <w:tcPr>
                  <w:tcW w:w="160" w:type="pct"/>
                  <w:vMerge w:val="restart"/>
                  <w:vAlign w:val="center"/>
                </w:tcPr>
                <w:p w14:paraId="43B30478">
                  <w:pPr>
                    <w:ind w:left="-105" w:leftChars="-50" w:right="-105" w:rightChars="-50"/>
                    <w:jc w:val="center"/>
                    <w:rPr>
                      <w:color w:val="auto"/>
                      <w:sz w:val="20"/>
                      <w:szCs w:val="20"/>
                      <w:highlight w:val="none"/>
                    </w:rPr>
                  </w:pPr>
                  <w:r>
                    <w:rPr>
                      <w:rFonts w:hint="eastAsia"/>
                      <w:color w:val="auto"/>
                      <w:sz w:val="20"/>
                      <w:szCs w:val="20"/>
                      <w:highlight w:val="none"/>
                    </w:rPr>
                    <w:t>一般固废</w:t>
                  </w:r>
                </w:p>
              </w:tc>
              <w:tc>
                <w:tcPr>
                  <w:tcW w:w="731" w:type="pct"/>
                  <w:vAlign w:val="center"/>
                </w:tcPr>
                <w:p w14:paraId="12C820BB">
                  <w:pPr>
                    <w:ind w:left="-105" w:leftChars="-50" w:right="-105" w:rightChars="-50"/>
                    <w:jc w:val="center"/>
                    <w:rPr>
                      <w:color w:val="auto"/>
                      <w:sz w:val="20"/>
                      <w:szCs w:val="20"/>
                      <w:highlight w:val="none"/>
                    </w:rPr>
                  </w:pPr>
                  <w:r>
                    <w:rPr>
                      <w:rFonts w:hint="eastAsia"/>
                      <w:color w:val="auto"/>
                      <w:sz w:val="20"/>
                      <w:szCs w:val="20"/>
                      <w:highlight w:val="none"/>
                    </w:rPr>
                    <w:t>SW64 900-099-S64</w:t>
                  </w:r>
                </w:p>
              </w:tc>
              <w:tc>
                <w:tcPr>
                  <w:tcW w:w="362" w:type="pct"/>
                  <w:vAlign w:val="center"/>
                </w:tcPr>
                <w:p w14:paraId="213591EC">
                  <w:pPr>
                    <w:ind w:left="-105" w:leftChars="-50" w:right="-105" w:rightChars="-50"/>
                    <w:jc w:val="center"/>
                    <w:rPr>
                      <w:color w:val="auto"/>
                      <w:sz w:val="20"/>
                      <w:szCs w:val="20"/>
                      <w:highlight w:val="none"/>
                    </w:rPr>
                  </w:pPr>
                  <w:r>
                    <w:rPr>
                      <w:rFonts w:hint="eastAsia"/>
                      <w:color w:val="auto"/>
                      <w:sz w:val="20"/>
                      <w:szCs w:val="20"/>
                      <w:highlight w:val="none"/>
                    </w:rPr>
                    <w:t>固态</w:t>
                  </w:r>
                </w:p>
              </w:tc>
              <w:tc>
                <w:tcPr>
                  <w:tcW w:w="547" w:type="pct"/>
                  <w:vAlign w:val="center"/>
                </w:tcPr>
                <w:p w14:paraId="4AE003BB">
                  <w:pPr>
                    <w:ind w:left="-105" w:leftChars="-50" w:right="-105" w:rightChars="-50"/>
                    <w:jc w:val="center"/>
                    <w:rPr>
                      <w:color w:val="auto"/>
                      <w:sz w:val="20"/>
                      <w:szCs w:val="20"/>
                      <w:highlight w:val="none"/>
                    </w:rPr>
                  </w:pPr>
                  <w:r>
                    <w:rPr>
                      <w:rFonts w:hint="eastAsia"/>
                      <w:color w:val="auto"/>
                      <w:sz w:val="20"/>
                      <w:szCs w:val="20"/>
                      <w:highlight w:val="none"/>
                    </w:rPr>
                    <w:t>18</w:t>
                  </w:r>
                </w:p>
              </w:tc>
              <w:tc>
                <w:tcPr>
                  <w:tcW w:w="547" w:type="pct"/>
                  <w:vAlign w:val="center"/>
                </w:tcPr>
                <w:p w14:paraId="337B55EF">
                  <w:pPr>
                    <w:ind w:left="-105" w:leftChars="-50" w:right="-105" w:rightChars="-50"/>
                    <w:jc w:val="center"/>
                    <w:rPr>
                      <w:color w:val="auto"/>
                      <w:sz w:val="20"/>
                      <w:szCs w:val="20"/>
                      <w:highlight w:val="none"/>
                    </w:rPr>
                  </w:pPr>
                  <w:r>
                    <w:rPr>
                      <w:rFonts w:hint="eastAsia"/>
                      <w:color w:val="auto"/>
                      <w:sz w:val="20"/>
                      <w:szCs w:val="20"/>
                      <w:highlight w:val="none"/>
                    </w:rPr>
                    <w:t>办公区设垃圾桶</w:t>
                  </w:r>
                </w:p>
              </w:tc>
              <w:tc>
                <w:tcPr>
                  <w:tcW w:w="915" w:type="pct"/>
                  <w:vAlign w:val="center"/>
                </w:tcPr>
                <w:p w14:paraId="7C6EE0AC">
                  <w:pPr>
                    <w:ind w:left="-105" w:leftChars="-50" w:right="-105" w:rightChars="-50"/>
                    <w:jc w:val="center"/>
                    <w:rPr>
                      <w:color w:val="auto"/>
                      <w:sz w:val="20"/>
                      <w:szCs w:val="20"/>
                      <w:highlight w:val="none"/>
                    </w:rPr>
                  </w:pPr>
                  <w:r>
                    <w:rPr>
                      <w:color w:val="auto"/>
                      <w:sz w:val="20"/>
                      <w:szCs w:val="20"/>
                      <w:highlight w:val="none"/>
                    </w:rPr>
                    <w:t>环卫清运</w:t>
                  </w:r>
                </w:p>
              </w:tc>
              <w:tc>
                <w:tcPr>
                  <w:tcW w:w="600" w:type="pct"/>
                  <w:vAlign w:val="center"/>
                </w:tcPr>
                <w:p w14:paraId="2A7D48C6">
                  <w:pPr>
                    <w:ind w:left="-105" w:leftChars="-50" w:right="-105" w:rightChars="-50"/>
                    <w:jc w:val="center"/>
                    <w:rPr>
                      <w:color w:val="auto"/>
                      <w:sz w:val="20"/>
                      <w:szCs w:val="20"/>
                      <w:highlight w:val="none"/>
                    </w:rPr>
                  </w:pPr>
                  <w:r>
                    <w:rPr>
                      <w:rFonts w:hint="eastAsia"/>
                      <w:color w:val="auto"/>
                      <w:sz w:val="20"/>
                      <w:szCs w:val="20"/>
                      <w:highlight w:val="none"/>
                    </w:rPr>
                    <w:t>18</w:t>
                  </w:r>
                </w:p>
              </w:tc>
            </w:tr>
            <w:tr w14:paraId="278FF0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219" w:type="pct"/>
                  <w:vAlign w:val="center"/>
                </w:tcPr>
                <w:p w14:paraId="3F43B562">
                  <w:pPr>
                    <w:numPr>
                      <w:ilvl w:val="0"/>
                      <w:numId w:val="13"/>
                    </w:numPr>
                    <w:ind w:right="-105" w:rightChars="-50"/>
                    <w:jc w:val="center"/>
                    <w:rPr>
                      <w:color w:val="auto"/>
                      <w:kern w:val="0"/>
                      <w:sz w:val="20"/>
                      <w:szCs w:val="20"/>
                      <w:highlight w:val="none"/>
                    </w:rPr>
                  </w:pPr>
                </w:p>
              </w:tc>
              <w:tc>
                <w:tcPr>
                  <w:tcW w:w="441" w:type="pct"/>
                  <w:vAlign w:val="center"/>
                </w:tcPr>
                <w:p w14:paraId="3C2ED76D">
                  <w:pPr>
                    <w:ind w:left="-105" w:leftChars="-50" w:right="-105" w:rightChars="-50"/>
                    <w:jc w:val="center"/>
                    <w:rPr>
                      <w:color w:val="auto"/>
                      <w:kern w:val="0"/>
                      <w:sz w:val="20"/>
                      <w:szCs w:val="20"/>
                      <w:highlight w:val="none"/>
                    </w:rPr>
                  </w:pPr>
                  <w:r>
                    <w:rPr>
                      <w:rFonts w:hint="eastAsia"/>
                      <w:color w:val="auto"/>
                      <w:kern w:val="0"/>
                      <w:sz w:val="20"/>
                      <w:szCs w:val="20"/>
                      <w:highlight w:val="none"/>
                    </w:rPr>
                    <w:t>一般原辅材料包装</w:t>
                  </w:r>
                </w:p>
              </w:tc>
              <w:tc>
                <w:tcPr>
                  <w:tcW w:w="473" w:type="pct"/>
                  <w:vAlign w:val="center"/>
                </w:tcPr>
                <w:p w14:paraId="3C923737">
                  <w:pPr>
                    <w:ind w:left="-105" w:leftChars="-50" w:right="-105" w:rightChars="-50"/>
                    <w:jc w:val="center"/>
                    <w:rPr>
                      <w:color w:val="auto"/>
                      <w:kern w:val="0"/>
                      <w:sz w:val="20"/>
                      <w:szCs w:val="20"/>
                      <w:highlight w:val="none"/>
                    </w:rPr>
                  </w:pPr>
                  <w:r>
                    <w:rPr>
                      <w:rFonts w:hint="eastAsia"/>
                      <w:color w:val="auto"/>
                      <w:kern w:val="0"/>
                      <w:sz w:val="20"/>
                      <w:szCs w:val="20"/>
                      <w:highlight w:val="none"/>
                    </w:rPr>
                    <w:t>一般废包装材料</w:t>
                  </w:r>
                </w:p>
              </w:tc>
              <w:tc>
                <w:tcPr>
                  <w:tcW w:w="160" w:type="pct"/>
                  <w:vMerge w:val="continue"/>
                  <w:vAlign w:val="center"/>
                </w:tcPr>
                <w:p w14:paraId="475C625F">
                  <w:pPr>
                    <w:ind w:left="-105" w:leftChars="-50" w:right="-105" w:rightChars="-50"/>
                    <w:jc w:val="center"/>
                    <w:rPr>
                      <w:color w:val="auto"/>
                      <w:sz w:val="20"/>
                      <w:szCs w:val="20"/>
                      <w:highlight w:val="none"/>
                    </w:rPr>
                  </w:pPr>
                </w:p>
              </w:tc>
              <w:tc>
                <w:tcPr>
                  <w:tcW w:w="731" w:type="pct"/>
                  <w:vAlign w:val="center"/>
                </w:tcPr>
                <w:p w14:paraId="1F4A28EC">
                  <w:pPr>
                    <w:ind w:left="-105" w:leftChars="-50" w:right="-105" w:rightChars="-50"/>
                    <w:jc w:val="center"/>
                    <w:rPr>
                      <w:color w:val="auto"/>
                      <w:sz w:val="20"/>
                      <w:szCs w:val="20"/>
                      <w:highlight w:val="none"/>
                    </w:rPr>
                  </w:pPr>
                  <w:r>
                    <w:rPr>
                      <w:rFonts w:hint="eastAsia"/>
                      <w:color w:val="auto"/>
                      <w:sz w:val="20"/>
                      <w:szCs w:val="20"/>
                      <w:highlight w:val="none"/>
                    </w:rPr>
                    <w:t xml:space="preserve">SW17 </w:t>
                  </w:r>
                </w:p>
                <w:p w14:paraId="78EFFBBE">
                  <w:pPr>
                    <w:ind w:left="-105" w:leftChars="-50" w:right="-105" w:rightChars="-50"/>
                    <w:jc w:val="center"/>
                    <w:rPr>
                      <w:color w:val="auto"/>
                      <w:sz w:val="20"/>
                      <w:szCs w:val="20"/>
                      <w:highlight w:val="none"/>
                    </w:rPr>
                  </w:pPr>
                  <w:r>
                    <w:rPr>
                      <w:rFonts w:hint="eastAsia"/>
                      <w:color w:val="auto"/>
                      <w:sz w:val="20"/>
                      <w:szCs w:val="20"/>
                      <w:highlight w:val="none"/>
                    </w:rPr>
                    <w:t>900-003-S17</w:t>
                  </w:r>
                </w:p>
                <w:p w14:paraId="73FE334C">
                  <w:pPr>
                    <w:ind w:left="-105" w:leftChars="-50" w:right="-105" w:rightChars="-50"/>
                    <w:jc w:val="center"/>
                    <w:rPr>
                      <w:color w:val="auto"/>
                      <w:sz w:val="20"/>
                      <w:szCs w:val="20"/>
                      <w:highlight w:val="none"/>
                    </w:rPr>
                  </w:pPr>
                  <w:r>
                    <w:rPr>
                      <w:rFonts w:hint="eastAsia"/>
                      <w:color w:val="auto"/>
                      <w:sz w:val="20"/>
                      <w:szCs w:val="20"/>
                      <w:highlight w:val="none"/>
                    </w:rPr>
                    <w:t>900-005-S17</w:t>
                  </w:r>
                </w:p>
              </w:tc>
              <w:tc>
                <w:tcPr>
                  <w:tcW w:w="362" w:type="pct"/>
                  <w:vAlign w:val="center"/>
                </w:tcPr>
                <w:p w14:paraId="245E1E76">
                  <w:pPr>
                    <w:ind w:left="-105" w:leftChars="-50" w:right="-105" w:rightChars="-50"/>
                    <w:jc w:val="center"/>
                    <w:rPr>
                      <w:color w:val="auto"/>
                      <w:sz w:val="20"/>
                      <w:szCs w:val="20"/>
                      <w:highlight w:val="none"/>
                    </w:rPr>
                  </w:pPr>
                  <w:r>
                    <w:rPr>
                      <w:rFonts w:hint="eastAsia"/>
                      <w:color w:val="auto"/>
                      <w:sz w:val="20"/>
                      <w:szCs w:val="20"/>
                      <w:highlight w:val="none"/>
                    </w:rPr>
                    <w:t>固态</w:t>
                  </w:r>
                </w:p>
              </w:tc>
              <w:tc>
                <w:tcPr>
                  <w:tcW w:w="547" w:type="pct"/>
                  <w:vAlign w:val="center"/>
                </w:tcPr>
                <w:p w14:paraId="68D6B86B">
                  <w:pPr>
                    <w:ind w:left="-105" w:leftChars="-50" w:right="-105" w:rightChars="-50"/>
                    <w:jc w:val="center"/>
                    <w:rPr>
                      <w:color w:val="auto"/>
                      <w:sz w:val="20"/>
                      <w:szCs w:val="20"/>
                      <w:highlight w:val="none"/>
                    </w:rPr>
                  </w:pPr>
                  <w:r>
                    <w:rPr>
                      <w:rFonts w:hint="eastAsia"/>
                      <w:color w:val="auto"/>
                      <w:sz w:val="20"/>
                      <w:szCs w:val="20"/>
                      <w:highlight w:val="none"/>
                    </w:rPr>
                    <w:t>5</w:t>
                  </w:r>
                </w:p>
              </w:tc>
              <w:tc>
                <w:tcPr>
                  <w:tcW w:w="547" w:type="pct"/>
                  <w:vMerge w:val="restart"/>
                  <w:vAlign w:val="center"/>
                </w:tcPr>
                <w:p w14:paraId="7FC4057C">
                  <w:pPr>
                    <w:ind w:left="-105" w:leftChars="-50" w:right="-105" w:rightChars="-50"/>
                    <w:jc w:val="center"/>
                    <w:rPr>
                      <w:color w:val="auto"/>
                      <w:sz w:val="20"/>
                      <w:szCs w:val="20"/>
                      <w:highlight w:val="none"/>
                    </w:rPr>
                  </w:pPr>
                  <w:r>
                    <w:rPr>
                      <w:rFonts w:hint="eastAsia"/>
                      <w:color w:val="auto"/>
                      <w:sz w:val="20"/>
                      <w:szCs w:val="20"/>
                      <w:highlight w:val="none"/>
                    </w:rPr>
                    <w:t>一般固废暂存区</w:t>
                  </w:r>
                </w:p>
              </w:tc>
              <w:tc>
                <w:tcPr>
                  <w:tcW w:w="915" w:type="pct"/>
                  <w:vMerge w:val="restart"/>
                  <w:vAlign w:val="center"/>
                </w:tcPr>
                <w:p w14:paraId="262B6CD4">
                  <w:pPr>
                    <w:ind w:left="-105" w:leftChars="-50" w:right="-105" w:rightChars="-50"/>
                    <w:jc w:val="center"/>
                    <w:rPr>
                      <w:color w:val="auto"/>
                      <w:sz w:val="20"/>
                      <w:szCs w:val="20"/>
                      <w:highlight w:val="none"/>
                    </w:rPr>
                  </w:pPr>
                  <w:r>
                    <w:rPr>
                      <w:rFonts w:hint="eastAsia"/>
                      <w:color w:val="auto"/>
                      <w:sz w:val="20"/>
                      <w:szCs w:val="20"/>
                      <w:highlight w:val="none"/>
                    </w:rPr>
                    <w:t>收集后定期外售物资回收单位回收处理</w:t>
                  </w:r>
                </w:p>
              </w:tc>
              <w:tc>
                <w:tcPr>
                  <w:tcW w:w="600" w:type="pct"/>
                  <w:vAlign w:val="center"/>
                </w:tcPr>
                <w:p w14:paraId="765C0206">
                  <w:pPr>
                    <w:ind w:left="-105" w:leftChars="-50" w:right="-105" w:rightChars="-50"/>
                    <w:jc w:val="center"/>
                    <w:rPr>
                      <w:color w:val="auto"/>
                      <w:sz w:val="20"/>
                      <w:szCs w:val="20"/>
                      <w:highlight w:val="none"/>
                    </w:rPr>
                  </w:pPr>
                  <w:r>
                    <w:rPr>
                      <w:rFonts w:hint="eastAsia"/>
                      <w:color w:val="auto"/>
                      <w:sz w:val="20"/>
                      <w:szCs w:val="20"/>
                      <w:highlight w:val="none"/>
                    </w:rPr>
                    <w:t>5</w:t>
                  </w:r>
                </w:p>
              </w:tc>
            </w:tr>
            <w:tr w14:paraId="13E208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219" w:type="pct"/>
                  <w:vAlign w:val="center"/>
                </w:tcPr>
                <w:p w14:paraId="7F2180E1">
                  <w:pPr>
                    <w:numPr>
                      <w:ilvl w:val="0"/>
                      <w:numId w:val="13"/>
                    </w:numPr>
                    <w:ind w:right="-105" w:rightChars="-50"/>
                    <w:jc w:val="center"/>
                    <w:rPr>
                      <w:color w:val="auto"/>
                      <w:kern w:val="0"/>
                      <w:sz w:val="20"/>
                      <w:szCs w:val="20"/>
                      <w:highlight w:val="none"/>
                    </w:rPr>
                  </w:pPr>
                </w:p>
              </w:tc>
              <w:tc>
                <w:tcPr>
                  <w:tcW w:w="441" w:type="pct"/>
                  <w:vAlign w:val="center"/>
                </w:tcPr>
                <w:p w14:paraId="6DD72AA2">
                  <w:pPr>
                    <w:ind w:left="-105" w:leftChars="-50" w:right="-105" w:rightChars="-50"/>
                    <w:jc w:val="center"/>
                    <w:rPr>
                      <w:color w:val="auto"/>
                      <w:kern w:val="0"/>
                      <w:sz w:val="20"/>
                      <w:szCs w:val="20"/>
                      <w:highlight w:val="none"/>
                    </w:rPr>
                  </w:pPr>
                  <w:r>
                    <w:rPr>
                      <w:rFonts w:hint="eastAsia"/>
                      <w:color w:val="auto"/>
                      <w:kern w:val="0"/>
                      <w:sz w:val="20"/>
                      <w:szCs w:val="20"/>
                      <w:highlight w:val="none"/>
                    </w:rPr>
                    <w:t>切割、冲液压、不合格产品打磨</w:t>
                  </w:r>
                </w:p>
              </w:tc>
              <w:tc>
                <w:tcPr>
                  <w:tcW w:w="473" w:type="pct"/>
                  <w:vAlign w:val="center"/>
                </w:tcPr>
                <w:p w14:paraId="518E1CA8">
                  <w:pPr>
                    <w:ind w:left="-105" w:leftChars="-50" w:right="-105" w:rightChars="-50"/>
                    <w:jc w:val="center"/>
                    <w:rPr>
                      <w:color w:val="auto"/>
                      <w:kern w:val="0"/>
                      <w:sz w:val="20"/>
                      <w:szCs w:val="20"/>
                      <w:highlight w:val="none"/>
                    </w:rPr>
                  </w:pPr>
                  <w:r>
                    <w:rPr>
                      <w:rFonts w:hint="eastAsia"/>
                      <w:color w:val="auto"/>
                      <w:kern w:val="0"/>
                      <w:sz w:val="20"/>
                      <w:szCs w:val="20"/>
                      <w:highlight w:val="none"/>
                    </w:rPr>
                    <w:t>废金属边角料</w:t>
                  </w:r>
                </w:p>
              </w:tc>
              <w:tc>
                <w:tcPr>
                  <w:tcW w:w="160" w:type="pct"/>
                  <w:vMerge w:val="continue"/>
                  <w:vAlign w:val="center"/>
                </w:tcPr>
                <w:p w14:paraId="3FF50FA8">
                  <w:pPr>
                    <w:ind w:left="-105" w:leftChars="-50" w:right="-105" w:rightChars="-50"/>
                    <w:jc w:val="center"/>
                    <w:rPr>
                      <w:color w:val="auto"/>
                      <w:sz w:val="20"/>
                      <w:szCs w:val="20"/>
                      <w:highlight w:val="none"/>
                    </w:rPr>
                  </w:pPr>
                </w:p>
              </w:tc>
              <w:tc>
                <w:tcPr>
                  <w:tcW w:w="731" w:type="pct"/>
                  <w:vAlign w:val="center"/>
                </w:tcPr>
                <w:p w14:paraId="4C74FEDC">
                  <w:pPr>
                    <w:ind w:left="-105" w:leftChars="-50" w:right="-105" w:rightChars="-50"/>
                    <w:jc w:val="center"/>
                    <w:rPr>
                      <w:color w:val="auto"/>
                      <w:sz w:val="20"/>
                      <w:szCs w:val="20"/>
                      <w:highlight w:val="none"/>
                    </w:rPr>
                  </w:pPr>
                  <w:r>
                    <w:rPr>
                      <w:rFonts w:hint="eastAsia"/>
                      <w:color w:val="auto"/>
                      <w:sz w:val="20"/>
                      <w:szCs w:val="20"/>
                      <w:highlight w:val="none"/>
                    </w:rPr>
                    <w:t xml:space="preserve">SW17 </w:t>
                  </w:r>
                </w:p>
                <w:p w14:paraId="23089957">
                  <w:pPr>
                    <w:ind w:left="-105" w:leftChars="-50" w:right="-105" w:rightChars="-50"/>
                    <w:jc w:val="center"/>
                    <w:rPr>
                      <w:color w:val="auto"/>
                      <w:sz w:val="20"/>
                      <w:szCs w:val="20"/>
                      <w:highlight w:val="none"/>
                    </w:rPr>
                  </w:pPr>
                  <w:r>
                    <w:rPr>
                      <w:rFonts w:hint="eastAsia"/>
                      <w:color w:val="auto"/>
                      <w:sz w:val="20"/>
                      <w:szCs w:val="20"/>
                      <w:highlight w:val="none"/>
                    </w:rPr>
                    <w:t>900-001-S17</w:t>
                  </w:r>
                </w:p>
              </w:tc>
              <w:tc>
                <w:tcPr>
                  <w:tcW w:w="362" w:type="pct"/>
                  <w:vAlign w:val="center"/>
                </w:tcPr>
                <w:p w14:paraId="6497731F">
                  <w:pPr>
                    <w:ind w:left="-105" w:leftChars="-50" w:right="-105" w:rightChars="-50"/>
                    <w:jc w:val="center"/>
                    <w:rPr>
                      <w:color w:val="auto"/>
                      <w:sz w:val="20"/>
                      <w:szCs w:val="20"/>
                      <w:highlight w:val="none"/>
                    </w:rPr>
                  </w:pPr>
                  <w:r>
                    <w:rPr>
                      <w:rFonts w:hint="eastAsia"/>
                      <w:color w:val="auto"/>
                      <w:sz w:val="20"/>
                      <w:szCs w:val="20"/>
                      <w:highlight w:val="none"/>
                    </w:rPr>
                    <w:t>固态</w:t>
                  </w:r>
                </w:p>
              </w:tc>
              <w:tc>
                <w:tcPr>
                  <w:tcW w:w="547" w:type="pct"/>
                  <w:vAlign w:val="center"/>
                </w:tcPr>
                <w:p w14:paraId="3159B5FB">
                  <w:pPr>
                    <w:ind w:left="-105" w:leftChars="-50" w:right="-105" w:rightChars="-50"/>
                    <w:jc w:val="center"/>
                    <w:rPr>
                      <w:rFonts w:hint="default" w:eastAsia="宋体"/>
                      <w:color w:val="auto"/>
                      <w:sz w:val="20"/>
                      <w:szCs w:val="20"/>
                      <w:highlight w:val="none"/>
                      <w:lang w:val="en-US" w:eastAsia="zh-CN"/>
                    </w:rPr>
                  </w:pPr>
                  <w:r>
                    <w:rPr>
                      <w:rFonts w:hint="eastAsia"/>
                      <w:color w:val="auto"/>
                      <w:sz w:val="20"/>
                      <w:szCs w:val="20"/>
                      <w:highlight w:val="none"/>
                      <w:lang w:val="en-US" w:eastAsia="zh-CN"/>
                    </w:rPr>
                    <w:t>3788</w:t>
                  </w:r>
                </w:p>
              </w:tc>
              <w:tc>
                <w:tcPr>
                  <w:tcW w:w="547" w:type="pct"/>
                  <w:vMerge w:val="continue"/>
                  <w:vAlign w:val="center"/>
                </w:tcPr>
                <w:p w14:paraId="55996EBE">
                  <w:pPr>
                    <w:ind w:left="-105" w:leftChars="-50" w:right="-105" w:rightChars="-50"/>
                    <w:jc w:val="center"/>
                    <w:rPr>
                      <w:color w:val="auto"/>
                      <w:sz w:val="20"/>
                      <w:szCs w:val="20"/>
                      <w:highlight w:val="none"/>
                    </w:rPr>
                  </w:pPr>
                </w:p>
              </w:tc>
              <w:tc>
                <w:tcPr>
                  <w:tcW w:w="915" w:type="pct"/>
                  <w:vMerge w:val="continue"/>
                  <w:vAlign w:val="center"/>
                </w:tcPr>
                <w:p w14:paraId="1BE3BD75">
                  <w:pPr>
                    <w:ind w:left="-105" w:leftChars="-50" w:right="-105" w:rightChars="-50"/>
                    <w:jc w:val="center"/>
                    <w:rPr>
                      <w:color w:val="auto"/>
                      <w:sz w:val="20"/>
                      <w:szCs w:val="20"/>
                      <w:highlight w:val="none"/>
                    </w:rPr>
                  </w:pPr>
                </w:p>
              </w:tc>
              <w:tc>
                <w:tcPr>
                  <w:tcW w:w="600" w:type="pct"/>
                  <w:vAlign w:val="center"/>
                </w:tcPr>
                <w:p w14:paraId="0BAF565D">
                  <w:pPr>
                    <w:ind w:left="-105" w:leftChars="-50" w:right="-105" w:rightChars="-50"/>
                    <w:jc w:val="center"/>
                    <w:rPr>
                      <w:color w:val="auto"/>
                      <w:sz w:val="20"/>
                      <w:szCs w:val="20"/>
                      <w:highlight w:val="none"/>
                    </w:rPr>
                  </w:pPr>
                  <w:r>
                    <w:rPr>
                      <w:rFonts w:hint="eastAsia"/>
                      <w:color w:val="auto"/>
                      <w:sz w:val="20"/>
                      <w:szCs w:val="20"/>
                      <w:highlight w:val="none"/>
                    </w:rPr>
                    <w:t>3788</w:t>
                  </w:r>
                </w:p>
              </w:tc>
            </w:tr>
            <w:tr w14:paraId="5EA232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219" w:type="pct"/>
                  <w:vAlign w:val="center"/>
                </w:tcPr>
                <w:p w14:paraId="2FF1082A">
                  <w:pPr>
                    <w:numPr>
                      <w:ilvl w:val="0"/>
                      <w:numId w:val="13"/>
                    </w:numPr>
                    <w:ind w:right="-105" w:rightChars="-50"/>
                    <w:jc w:val="center"/>
                    <w:rPr>
                      <w:color w:val="auto"/>
                      <w:kern w:val="0"/>
                      <w:sz w:val="20"/>
                      <w:szCs w:val="20"/>
                      <w:highlight w:val="none"/>
                    </w:rPr>
                  </w:pPr>
                </w:p>
              </w:tc>
              <w:tc>
                <w:tcPr>
                  <w:tcW w:w="441" w:type="pct"/>
                  <w:vAlign w:val="center"/>
                </w:tcPr>
                <w:p w14:paraId="142F071A">
                  <w:pPr>
                    <w:ind w:left="-105" w:leftChars="-50" w:right="-105" w:rightChars="-50"/>
                    <w:jc w:val="center"/>
                    <w:rPr>
                      <w:color w:val="auto"/>
                      <w:kern w:val="0"/>
                      <w:sz w:val="20"/>
                      <w:szCs w:val="20"/>
                      <w:highlight w:val="none"/>
                    </w:rPr>
                  </w:pPr>
                  <w:r>
                    <w:rPr>
                      <w:rFonts w:hint="eastAsia"/>
                      <w:color w:val="auto"/>
                      <w:kern w:val="0"/>
                      <w:sz w:val="20"/>
                      <w:szCs w:val="20"/>
                      <w:highlight w:val="none"/>
                    </w:rPr>
                    <w:t>生产</w:t>
                  </w:r>
                </w:p>
              </w:tc>
              <w:tc>
                <w:tcPr>
                  <w:tcW w:w="473" w:type="pct"/>
                  <w:vAlign w:val="center"/>
                </w:tcPr>
                <w:p w14:paraId="0ED7F221">
                  <w:pPr>
                    <w:ind w:left="-105" w:leftChars="-50" w:right="-105" w:rightChars="-50"/>
                    <w:jc w:val="center"/>
                    <w:rPr>
                      <w:color w:val="auto"/>
                      <w:kern w:val="0"/>
                      <w:sz w:val="20"/>
                      <w:szCs w:val="20"/>
                      <w:highlight w:val="none"/>
                    </w:rPr>
                  </w:pPr>
                  <w:r>
                    <w:rPr>
                      <w:rFonts w:hint="eastAsia"/>
                      <w:color w:val="auto"/>
                      <w:kern w:val="0"/>
                      <w:sz w:val="20"/>
                      <w:szCs w:val="20"/>
                      <w:highlight w:val="none"/>
                    </w:rPr>
                    <w:t>不合格品</w:t>
                  </w:r>
                </w:p>
              </w:tc>
              <w:tc>
                <w:tcPr>
                  <w:tcW w:w="160" w:type="pct"/>
                  <w:vMerge w:val="continue"/>
                  <w:vAlign w:val="center"/>
                </w:tcPr>
                <w:p w14:paraId="5123BD77">
                  <w:pPr>
                    <w:ind w:left="-105" w:leftChars="-50" w:right="-105" w:rightChars="-50"/>
                    <w:jc w:val="center"/>
                    <w:rPr>
                      <w:color w:val="auto"/>
                      <w:sz w:val="20"/>
                      <w:szCs w:val="20"/>
                      <w:highlight w:val="none"/>
                    </w:rPr>
                  </w:pPr>
                </w:p>
              </w:tc>
              <w:tc>
                <w:tcPr>
                  <w:tcW w:w="731" w:type="pct"/>
                  <w:vAlign w:val="center"/>
                </w:tcPr>
                <w:p w14:paraId="063F1419">
                  <w:pPr>
                    <w:ind w:left="-105" w:leftChars="-50" w:right="-105" w:rightChars="-50"/>
                    <w:jc w:val="center"/>
                    <w:rPr>
                      <w:color w:val="auto"/>
                      <w:sz w:val="20"/>
                      <w:szCs w:val="20"/>
                      <w:highlight w:val="none"/>
                    </w:rPr>
                  </w:pPr>
                  <w:r>
                    <w:rPr>
                      <w:rFonts w:hint="eastAsia"/>
                      <w:color w:val="auto"/>
                      <w:sz w:val="20"/>
                      <w:szCs w:val="20"/>
                      <w:highlight w:val="none"/>
                    </w:rPr>
                    <w:t xml:space="preserve">SW17 </w:t>
                  </w:r>
                </w:p>
                <w:p w14:paraId="23593A00">
                  <w:pPr>
                    <w:ind w:left="-105" w:leftChars="-50" w:right="-105" w:rightChars="-50"/>
                    <w:jc w:val="center"/>
                    <w:rPr>
                      <w:color w:val="auto"/>
                      <w:sz w:val="20"/>
                      <w:szCs w:val="20"/>
                      <w:highlight w:val="none"/>
                    </w:rPr>
                  </w:pPr>
                  <w:r>
                    <w:rPr>
                      <w:rFonts w:hint="eastAsia"/>
                      <w:color w:val="auto"/>
                      <w:sz w:val="20"/>
                      <w:szCs w:val="20"/>
                      <w:highlight w:val="none"/>
                    </w:rPr>
                    <w:t>900-001-S17</w:t>
                  </w:r>
                </w:p>
              </w:tc>
              <w:tc>
                <w:tcPr>
                  <w:tcW w:w="362" w:type="pct"/>
                  <w:vAlign w:val="center"/>
                </w:tcPr>
                <w:p w14:paraId="1E59B892">
                  <w:pPr>
                    <w:ind w:left="-105" w:leftChars="-50" w:right="-105" w:rightChars="-50"/>
                    <w:jc w:val="center"/>
                    <w:rPr>
                      <w:color w:val="auto"/>
                      <w:sz w:val="20"/>
                      <w:szCs w:val="20"/>
                      <w:highlight w:val="none"/>
                    </w:rPr>
                  </w:pPr>
                  <w:r>
                    <w:rPr>
                      <w:rFonts w:hint="eastAsia"/>
                      <w:color w:val="auto"/>
                      <w:sz w:val="20"/>
                      <w:szCs w:val="20"/>
                      <w:highlight w:val="none"/>
                    </w:rPr>
                    <w:t>固态</w:t>
                  </w:r>
                </w:p>
              </w:tc>
              <w:tc>
                <w:tcPr>
                  <w:tcW w:w="547" w:type="pct"/>
                  <w:vAlign w:val="center"/>
                </w:tcPr>
                <w:p w14:paraId="4DD51001">
                  <w:pPr>
                    <w:ind w:left="-105" w:leftChars="-50" w:right="-105" w:rightChars="-50"/>
                    <w:jc w:val="center"/>
                    <w:rPr>
                      <w:color w:val="auto"/>
                      <w:sz w:val="20"/>
                      <w:szCs w:val="20"/>
                      <w:highlight w:val="none"/>
                    </w:rPr>
                  </w:pPr>
                  <w:r>
                    <w:rPr>
                      <w:rFonts w:hint="eastAsia"/>
                      <w:color w:val="auto"/>
                      <w:sz w:val="20"/>
                      <w:szCs w:val="20"/>
                      <w:highlight w:val="none"/>
                    </w:rPr>
                    <w:t>300</w:t>
                  </w:r>
                </w:p>
              </w:tc>
              <w:tc>
                <w:tcPr>
                  <w:tcW w:w="547" w:type="pct"/>
                  <w:vMerge w:val="continue"/>
                  <w:vAlign w:val="center"/>
                </w:tcPr>
                <w:p w14:paraId="17145A15">
                  <w:pPr>
                    <w:ind w:left="-105" w:leftChars="-50" w:right="-105" w:rightChars="-50"/>
                    <w:jc w:val="center"/>
                    <w:rPr>
                      <w:color w:val="auto"/>
                      <w:sz w:val="20"/>
                      <w:szCs w:val="20"/>
                      <w:highlight w:val="none"/>
                    </w:rPr>
                  </w:pPr>
                </w:p>
              </w:tc>
              <w:tc>
                <w:tcPr>
                  <w:tcW w:w="915" w:type="pct"/>
                  <w:vMerge w:val="continue"/>
                  <w:vAlign w:val="center"/>
                </w:tcPr>
                <w:p w14:paraId="0B7B9425">
                  <w:pPr>
                    <w:ind w:left="-105" w:leftChars="-50" w:right="-105" w:rightChars="-50"/>
                    <w:jc w:val="center"/>
                    <w:rPr>
                      <w:color w:val="auto"/>
                      <w:sz w:val="20"/>
                      <w:szCs w:val="20"/>
                      <w:highlight w:val="none"/>
                    </w:rPr>
                  </w:pPr>
                </w:p>
              </w:tc>
              <w:tc>
                <w:tcPr>
                  <w:tcW w:w="600" w:type="pct"/>
                  <w:vAlign w:val="center"/>
                </w:tcPr>
                <w:p w14:paraId="4E402AF8">
                  <w:pPr>
                    <w:ind w:left="-105" w:leftChars="-50" w:right="-105" w:rightChars="-50"/>
                    <w:jc w:val="center"/>
                    <w:rPr>
                      <w:color w:val="auto"/>
                      <w:sz w:val="20"/>
                      <w:szCs w:val="20"/>
                      <w:highlight w:val="none"/>
                    </w:rPr>
                  </w:pPr>
                  <w:r>
                    <w:rPr>
                      <w:rFonts w:hint="eastAsia"/>
                      <w:color w:val="auto"/>
                      <w:sz w:val="20"/>
                      <w:szCs w:val="20"/>
                      <w:highlight w:val="none"/>
                    </w:rPr>
                    <w:t>300</w:t>
                  </w:r>
                </w:p>
              </w:tc>
            </w:tr>
            <w:tr w14:paraId="361B4D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219" w:type="pct"/>
                  <w:vAlign w:val="center"/>
                </w:tcPr>
                <w:p w14:paraId="23621267">
                  <w:pPr>
                    <w:numPr>
                      <w:ilvl w:val="0"/>
                      <w:numId w:val="13"/>
                    </w:numPr>
                    <w:ind w:right="-105" w:rightChars="-50"/>
                    <w:jc w:val="center"/>
                    <w:rPr>
                      <w:color w:val="auto"/>
                      <w:kern w:val="0"/>
                      <w:sz w:val="20"/>
                      <w:szCs w:val="20"/>
                      <w:highlight w:val="none"/>
                    </w:rPr>
                  </w:pPr>
                </w:p>
              </w:tc>
              <w:tc>
                <w:tcPr>
                  <w:tcW w:w="441" w:type="pct"/>
                  <w:vAlign w:val="center"/>
                </w:tcPr>
                <w:p w14:paraId="7D652616">
                  <w:pPr>
                    <w:ind w:left="-105" w:leftChars="-50" w:right="-105" w:rightChars="-50"/>
                    <w:jc w:val="center"/>
                    <w:rPr>
                      <w:color w:val="auto"/>
                      <w:kern w:val="0"/>
                      <w:sz w:val="20"/>
                      <w:szCs w:val="20"/>
                      <w:highlight w:val="none"/>
                    </w:rPr>
                  </w:pPr>
                  <w:r>
                    <w:rPr>
                      <w:rFonts w:hint="eastAsia"/>
                      <w:color w:val="auto"/>
                      <w:kern w:val="0"/>
                      <w:sz w:val="20"/>
                      <w:szCs w:val="20"/>
                      <w:highlight w:val="none"/>
                    </w:rPr>
                    <w:t>焊接</w:t>
                  </w:r>
                </w:p>
              </w:tc>
              <w:tc>
                <w:tcPr>
                  <w:tcW w:w="473" w:type="pct"/>
                  <w:vAlign w:val="center"/>
                </w:tcPr>
                <w:p w14:paraId="06F81566">
                  <w:pPr>
                    <w:ind w:left="-105" w:leftChars="-50" w:right="-105" w:rightChars="-50"/>
                    <w:jc w:val="center"/>
                    <w:rPr>
                      <w:color w:val="auto"/>
                      <w:kern w:val="0"/>
                      <w:sz w:val="20"/>
                      <w:szCs w:val="20"/>
                      <w:highlight w:val="none"/>
                    </w:rPr>
                  </w:pPr>
                  <w:r>
                    <w:rPr>
                      <w:rFonts w:hint="eastAsia"/>
                      <w:color w:val="auto"/>
                      <w:kern w:val="0"/>
                      <w:sz w:val="20"/>
                      <w:szCs w:val="20"/>
                      <w:highlight w:val="none"/>
                    </w:rPr>
                    <w:t>废焊丝</w:t>
                  </w:r>
                </w:p>
              </w:tc>
              <w:tc>
                <w:tcPr>
                  <w:tcW w:w="160" w:type="pct"/>
                  <w:vMerge w:val="continue"/>
                  <w:vAlign w:val="center"/>
                </w:tcPr>
                <w:p w14:paraId="5143DEFA">
                  <w:pPr>
                    <w:ind w:left="-105" w:leftChars="-50" w:right="-105" w:rightChars="-50"/>
                    <w:jc w:val="center"/>
                    <w:rPr>
                      <w:color w:val="auto"/>
                      <w:sz w:val="20"/>
                      <w:szCs w:val="20"/>
                      <w:highlight w:val="none"/>
                    </w:rPr>
                  </w:pPr>
                </w:p>
              </w:tc>
              <w:tc>
                <w:tcPr>
                  <w:tcW w:w="731" w:type="pct"/>
                  <w:vAlign w:val="center"/>
                </w:tcPr>
                <w:p w14:paraId="07C802BB">
                  <w:pPr>
                    <w:ind w:left="-105" w:leftChars="-50" w:right="-105" w:rightChars="-50"/>
                    <w:jc w:val="center"/>
                    <w:rPr>
                      <w:color w:val="auto"/>
                      <w:sz w:val="20"/>
                      <w:szCs w:val="20"/>
                      <w:highlight w:val="none"/>
                    </w:rPr>
                  </w:pPr>
                  <w:r>
                    <w:rPr>
                      <w:rFonts w:hint="eastAsia"/>
                      <w:color w:val="auto"/>
                      <w:sz w:val="20"/>
                      <w:szCs w:val="20"/>
                      <w:highlight w:val="none"/>
                    </w:rPr>
                    <w:t xml:space="preserve">SW17 </w:t>
                  </w:r>
                </w:p>
                <w:p w14:paraId="19E3518B">
                  <w:pPr>
                    <w:ind w:left="-105" w:leftChars="-50" w:right="-105" w:rightChars="-50"/>
                    <w:jc w:val="center"/>
                    <w:rPr>
                      <w:color w:val="auto"/>
                      <w:sz w:val="20"/>
                      <w:szCs w:val="20"/>
                      <w:highlight w:val="none"/>
                    </w:rPr>
                  </w:pPr>
                  <w:r>
                    <w:rPr>
                      <w:rFonts w:hint="eastAsia"/>
                      <w:color w:val="auto"/>
                      <w:sz w:val="20"/>
                      <w:szCs w:val="20"/>
                      <w:highlight w:val="none"/>
                    </w:rPr>
                    <w:t>900-099-S17</w:t>
                  </w:r>
                </w:p>
              </w:tc>
              <w:tc>
                <w:tcPr>
                  <w:tcW w:w="362" w:type="pct"/>
                  <w:vAlign w:val="center"/>
                </w:tcPr>
                <w:p w14:paraId="473B10C9">
                  <w:pPr>
                    <w:ind w:left="-105" w:leftChars="-50" w:right="-105" w:rightChars="-50"/>
                    <w:jc w:val="center"/>
                    <w:rPr>
                      <w:color w:val="auto"/>
                      <w:sz w:val="20"/>
                      <w:szCs w:val="20"/>
                      <w:highlight w:val="none"/>
                    </w:rPr>
                  </w:pPr>
                  <w:r>
                    <w:rPr>
                      <w:rFonts w:hint="eastAsia"/>
                      <w:color w:val="auto"/>
                      <w:sz w:val="20"/>
                      <w:szCs w:val="20"/>
                      <w:highlight w:val="none"/>
                    </w:rPr>
                    <w:t>固态</w:t>
                  </w:r>
                </w:p>
              </w:tc>
              <w:tc>
                <w:tcPr>
                  <w:tcW w:w="547" w:type="pct"/>
                  <w:vAlign w:val="center"/>
                </w:tcPr>
                <w:p w14:paraId="1A386D89">
                  <w:pPr>
                    <w:ind w:left="-105" w:leftChars="-50" w:right="-105" w:rightChars="-50"/>
                    <w:jc w:val="center"/>
                    <w:rPr>
                      <w:color w:val="auto"/>
                      <w:sz w:val="20"/>
                      <w:szCs w:val="20"/>
                      <w:highlight w:val="none"/>
                    </w:rPr>
                  </w:pPr>
                  <w:r>
                    <w:rPr>
                      <w:rFonts w:hint="eastAsia"/>
                      <w:color w:val="auto"/>
                      <w:sz w:val="20"/>
                      <w:szCs w:val="20"/>
                      <w:highlight w:val="none"/>
                    </w:rPr>
                    <w:t>0.32</w:t>
                  </w:r>
                </w:p>
              </w:tc>
              <w:tc>
                <w:tcPr>
                  <w:tcW w:w="547" w:type="pct"/>
                  <w:vMerge w:val="continue"/>
                  <w:vAlign w:val="center"/>
                </w:tcPr>
                <w:p w14:paraId="31536BB2">
                  <w:pPr>
                    <w:ind w:left="-105" w:leftChars="-50" w:right="-105" w:rightChars="-50"/>
                    <w:jc w:val="center"/>
                    <w:rPr>
                      <w:color w:val="auto"/>
                      <w:sz w:val="20"/>
                      <w:szCs w:val="20"/>
                      <w:highlight w:val="none"/>
                    </w:rPr>
                  </w:pPr>
                </w:p>
              </w:tc>
              <w:tc>
                <w:tcPr>
                  <w:tcW w:w="915" w:type="pct"/>
                  <w:vMerge w:val="continue"/>
                  <w:vAlign w:val="center"/>
                </w:tcPr>
                <w:p w14:paraId="318A6443">
                  <w:pPr>
                    <w:ind w:left="-105" w:leftChars="-50" w:right="-105" w:rightChars="-50"/>
                    <w:jc w:val="center"/>
                    <w:rPr>
                      <w:color w:val="auto"/>
                      <w:sz w:val="20"/>
                      <w:szCs w:val="20"/>
                      <w:highlight w:val="none"/>
                    </w:rPr>
                  </w:pPr>
                </w:p>
              </w:tc>
              <w:tc>
                <w:tcPr>
                  <w:tcW w:w="600" w:type="pct"/>
                  <w:vAlign w:val="center"/>
                </w:tcPr>
                <w:p w14:paraId="7A41FF5D">
                  <w:pPr>
                    <w:ind w:left="-105" w:leftChars="-50" w:right="-105" w:rightChars="-50"/>
                    <w:jc w:val="center"/>
                    <w:rPr>
                      <w:color w:val="auto"/>
                      <w:sz w:val="20"/>
                      <w:szCs w:val="20"/>
                      <w:highlight w:val="none"/>
                    </w:rPr>
                  </w:pPr>
                  <w:r>
                    <w:rPr>
                      <w:rFonts w:hint="eastAsia"/>
                      <w:color w:val="auto"/>
                      <w:sz w:val="20"/>
                      <w:szCs w:val="20"/>
                      <w:highlight w:val="none"/>
                    </w:rPr>
                    <w:t>0.32</w:t>
                  </w:r>
                </w:p>
              </w:tc>
            </w:tr>
            <w:tr w14:paraId="352DB7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219" w:type="pct"/>
                  <w:vAlign w:val="center"/>
                </w:tcPr>
                <w:p w14:paraId="7F7C8965">
                  <w:pPr>
                    <w:numPr>
                      <w:ilvl w:val="0"/>
                      <w:numId w:val="13"/>
                    </w:numPr>
                    <w:ind w:right="-105" w:rightChars="-50"/>
                    <w:jc w:val="center"/>
                    <w:rPr>
                      <w:color w:val="auto"/>
                      <w:kern w:val="0"/>
                      <w:sz w:val="20"/>
                      <w:szCs w:val="20"/>
                      <w:highlight w:val="none"/>
                    </w:rPr>
                  </w:pPr>
                </w:p>
              </w:tc>
              <w:tc>
                <w:tcPr>
                  <w:tcW w:w="441" w:type="pct"/>
                  <w:vAlign w:val="center"/>
                </w:tcPr>
                <w:p w14:paraId="56BF0E7C">
                  <w:pPr>
                    <w:ind w:left="-105" w:leftChars="-50" w:right="-105" w:rightChars="-50"/>
                    <w:jc w:val="center"/>
                    <w:rPr>
                      <w:color w:val="auto"/>
                      <w:kern w:val="0"/>
                      <w:sz w:val="20"/>
                      <w:szCs w:val="20"/>
                      <w:highlight w:val="none"/>
                    </w:rPr>
                  </w:pPr>
                  <w:r>
                    <w:rPr>
                      <w:rFonts w:hint="eastAsia"/>
                      <w:color w:val="auto"/>
                      <w:kern w:val="0"/>
                      <w:sz w:val="20"/>
                      <w:szCs w:val="20"/>
                      <w:highlight w:val="none"/>
                    </w:rPr>
                    <w:t>模具维修</w:t>
                  </w:r>
                </w:p>
              </w:tc>
              <w:tc>
                <w:tcPr>
                  <w:tcW w:w="473" w:type="pct"/>
                  <w:vAlign w:val="center"/>
                </w:tcPr>
                <w:p w14:paraId="7886E434">
                  <w:pPr>
                    <w:ind w:left="-105" w:leftChars="-50" w:right="-105" w:rightChars="-50"/>
                    <w:jc w:val="center"/>
                    <w:rPr>
                      <w:color w:val="auto"/>
                      <w:kern w:val="0"/>
                      <w:sz w:val="20"/>
                      <w:szCs w:val="20"/>
                      <w:highlight w:val="none"/>
                    </w:rPr>
                  </w:pPr>
                  <w:r>
                    <w:rPr>
                      <w:rFonts w:hint="eastAsia"/>
                      <w:color w:val="auto"/>
                      <w:kern w:val="0"/>
                      <w:sz w:val="20"/>
                      <w:szCs w:val="20"/>
                      <w:highlight w:val="none"/>
                    </w:rPr>
                    <w:t>废模具维护耗材</w:t>
                  </w:r>
                </w:p>
              </w:tc>
              <w:tc>
                <w:tcPr>
                  <w:tcW w:w="160" w:type="pct"/>
                  <w:vMerge w:val="continue"/>
                  <w:vAlign w:val="center"/>
                </w:tcPr>
                <w:p w14:paraId="76D7F8DB">
                  <w:pPr>
                    <w:ind w:left="-105" w:leftChars="-50" w:right="-105" w:rightChars="-50"/>
                    <w:jc w:val="center"/>
                    <w:rPr>
                      <w:color w:val="auto"/>
                      <w:sz w:val="20"/>
                      <w:szCs w:val="20"/>
                      <w:highlight w:val="none"/>
                    </w:rPr>
                  </w:pPr>
                </w:p>
              </w:tc>
              <w:tc>
                <w:tcPr>
                  <w:tcW w:w="731" w:type="pct"/>
                  <w:vAlign w:val="center"/>
                </w:tcPr>
                <w:p w14:paraId="72A66000">
                  <w:pPr>
                    <w:ind w:left="-105" w:leftChars="-50" w:right="-105" w:rightChars="-50"/>
                    <w:jc w:val="center"/>
                    <w:rPr>
                      <w:color w:val="auto"/>
                      <w:sz w:val="20"/>
                      <w:szCs w:val="20"/>
                      <w:highlight w:val="none"/>
                    </w:rPr>
                  </w:pPr>
                  <w:r>
                    <w:rPr>
                      <w:rFonts w:hint="eastAsia"/>
                      <w:color w:val="auto"/>
                      <w:sz w:val="20"/>
                      <w:szCs w:val="20"/>
                      <w:highlight w:val="none"/>
                    </w:rPr>
                    <w:t>SW17 900-013-S17</w:t>
                  </w:r>
                </w:p>
              </w:tc>
              <w:tc>
                <w:tcPr>
                  <w:tcW w:w="362" w:type="pct"/>
                  <w:vAlign w:val="center"/>
                </w:tcPr>
                <w:p w14:paraId="4A0019DC">
                  <w:pPr>
                    <w:ind w:left="-105" w:leftChars="-50" w:right="-105" w:rightChars="-50"/>
                    <w:jc w:val="center"/>
                    <w:rPr>
                      <w:color w:val="auto"/>
                      <w:sz w:val="20"/>
                      <w:szCs w:val="20"/>
                      <w:highlight w:val="none"/>
                    </w:rPr>
                  </w:pPr>
                  <w:r>
                    <w:rPr>
                      <w:rFonts w:hint="eastAsia"/>
                      <w:color w:val="auto"/>
                      <w:sz w:val="20"/>
                      <w:szCs w:val="20"/>
                      <w:highlight w:val="none"/>
                    </w:rPr>
                    <w:t>固态</w:t>
                  </w:r>
                </w:p>
              </w:tc>
              <w:tc>
                <w:tcPr>
                  <w:tcW w:w="547" w:type="pct"/>
                  <w:vAlign w:val="center"/>
                </w:tcPr>
                <w:p w14:paraId="7F6C0513">
                  <w:pPr>
                    <w:ind w:left="-105" w:leftChars="-50" w:right="-105" w:rightChars="-50"/>
                    <w:jc w:val="center"/>
                    <w:rPr>
                      <w:color w:val="auto"/>
                      <w:sz w:val="20"/>
                      <w:szCs w:val="20"/>
                      <w:highlight w:val="none"/>
                    </w:rPr>
                  </w:pPr>
                  <w:r>
                    <w:rPr>
                      <w:rFonts w:hint="eastAsia"/>
                      <w:color w:val="auto"/>
                      <w:sz w:val="20"/>
                      <w:szCs w:val="20"/>
                      <w:highlight w:val="none"/>
                    </w:rPr>
                    <w:t>0.5</w:t>
                  </w:r>
                </w:p>
              </w:tc>
              <w:tc>
                <w:tcPr>
                  <w:tcW w:w="547" w:type="pct"/>
                  <w:vMerge w:val="continue"/>
                  <w:vAlign w:val="center"/>
                </w:tcPr>
                <w:p w14:paraId="38CB194F">
                  <w:pPr>
                    <w:ind w:left="-105" w:leftChars="-50" w:right="-105" w:rightChars="-50"/>
                    <w:jc w:val="center"/>
                    <w:rPr>
                      <w:color w:val="auto"/>
                      <w:sz w:val="20"/>
                      <w:szCs w:val="20"/>
                      <w:highlight w:val="none"/>
                    </w:rPr>
                  </w:pPr>
                </w:p>
              </w:tc>
              <w:tc>
                <w:tcPr>
                  <w:tcW w:w="915" w:type="pct"/>
                  <w:vMerge w:val="continue"/>
                  <w:vAlign w:val="center"/>
                </w:tcPr>
                <w:p w14:paraId="00BB4475">
                  <w:pPr>
                    <w:ind w:left="-105" w:leftChars="-50" w:right="-105" w:rightChars="-50"/>
                    <w:jc w:val="center"/>
                    <w:rPr>
                      <w:color w:val="auto"/>
                      <w:sz w:val="20"/>
                      <w:szCs w:val="20"/>
                      <w:highlight w:val="none"/>
                    </w:rPr>
                  </w:pPr>
                </w:p>
              </w:tc>
              <w:tc>
                <w:tcPr>
                  <w:tcW w:w="600" w:type="pct"/>
                  <w:vAlign w:val="center"/>
                </w:tcPr>
                <w:p w14:paraId="13501B33">
                  <w:pPr>
                    <w:ind w:left="-105" w:leftChars="-50" w:right="-105" w:rightChars="-50"/>
                    <w:jc w:val="center"/>
                    <w:rPr>
                      <w:color w:val="auto"/>
                      <w:sz w:val="20"/>
                      <w:szCs w:val="20"/>
                      <w:highlight w:val="none"/>
                    </w:rPr>
                  </w:pPr>
                  <w:r>
                    <w:rPr>
                      <w:rFonts w:hint="eastAsia"/>
                      <w:color w:val="auto"/>
                      <w:sz w:val="20"/>
                      <w:szCs w:val="20"/>
                      <w:highlight w:val="none"/>
                    </w:rPr>
                    <w:t>0.5</w:t>
                  </w:r>
                </w:p>
              </w:tc>
            </w:tr>
            <w:tr w14:paraId="064A15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219" w:type="pct"/>
                  <w:vAlign w:val="center"/>
                </w:tcPr>
                <w:p w14:paraId="3DBE68F6">
                  <w:pPr>
                    <w:numPr>
                      <w:ilvl w:val="0"/>
                      <w:numId w:val="13"/>
                    </w:numPr>
                    <w:ind w:right="-105" w:rightChars="-50"/>
                    <w:jc w:val="center"/>
                    <w:rPr>
                      <w:color w:val="auto"/>
                      <w:kern w:val="0"/>
                      <w:sz w:val="20"/>
                      <w:szCs w:val="20"/>
                      <w:highlight w:val="none"/>
                    </w:rPr>
                  </w:pPr>
                </w:p>
              </w:tc>
              <w:tc>
                <w:tcPr>
                  <w:tcW w:w="441" w:type="pct"/>
                  <w:vMerge w:val="restart"/>
                  <w:vAlign w:val="center"/>
                </w:tcPr>
                <w:p w14:paraId="70AD698A">
                  <w:pPr>
                    <w:ind w:left="-105" w:leftChars="-50" w:right="-105" w:rightChars="-50"/>
                    <w:jc w:val="center"/>
                    <w:rPr>
                      <w:color w:val="auto"/>
                      <w:kern w:val="0"/>
                      <w:sz w:val="20"/>
                      <w:szCs w:val="20"/>
                      <w:highlight w:val="none"/>
                    </w:rPr>
                  </w:pPr>
                  <w:r>
                    <w:rPr>
                      <w:rFonts w:hint="eastAsia"/>
                      <w:color w:val="auto"/>
                      <w:kern w:val="0"/>
                      <w:sz w:val="20"/>
                      <w:szCs w:val="20"/>
                      <w:highlight w:val="none"/>
                    </w:rPr>
                    <w:t>废气处理</w:t>
                  </w:r>
                </w:p>
              </w:tc>
              <w:tc>
                <w:tcPr>
                  <w:tcW w:w="473" w:type="pct"/>
                  <w:vAlign w:val="center"/>
                </w:tcPr>
                <w:p w14:paraId="22C8454C">
                  <w:pPr>
                    <w:ind w:left="-105" w:leftChars="-50" w:right="-105" w:rightChars="-50"/>
                    <w:jc w:val="center"/>
                    <w:rPr>
                      <w:color w:val="auto"/>
                      <w:kern w:val="0"/>
                      <w:sz w:val="20"/>
                      <w:szCs w:val="20"/>
                      <w:highlight w:val="none"/>
                    </w:rPr>
                  </w:pPr>
                  <w:r>
                    <w:rPr>
                      <w:rFonts w:hint="eastAsia"/>
                      <w:color w:val="auto"/>
                      <w:kern w:val="0"/>
                      <w:sz w:val="20"/>
                      <w:szCs w:val="20"/>
                      <w:highlight w:val="none"/>
                    </w:rPr>
                    <w:t>废滤芯</w:t>
                  </w:r>
                </w:p>
              </w:tc>
              <w:tc>
                <w:tcPr>
                  <w:tcW w:w="160" w:type="pct"/>
                  <w:vMerge w:val="continue"/>
                  <w:vAlign w:val="center"/>
                </w:tcPr>
                <w:p w14:paraId="440510D2">
                  <w:pPr>
                    <w:ind w:left="-105" w:leftChars="-50" w:right="-105" w:rightChars="-50"/>
                    <w:jc w:val="center"/>
                    <w:rPr>
                      <w:color w:val="auto"/>
                      <w:sz w:val="20"/>
                      <w:szCs w:val="20"/>
                      <w:highlight w:val="none"/>
                    </w:rPr>
                  </w:pPr>
                </w:p>
              </w:tc>
              <w:tc>
                <w:tcPr>
                  <w:tcW w:w="731" w:type="pct"/>
                  <w:vAlign w:val="center"/>
                </w:tcPr>
                <w:p w14:paraId="445D00E8">
                  <w:pPr>
                    <w:ind w:left="-105" w:leftChars="-50" w:right="-105" w:rightChars="-50"/>
                    <w:jc w:val="center"/>
                    <w:rPr>
                      <w:color w:val="auto"/>
                      <w:sz w:val="20"/>
                      <w:szCs w:val="20"/>
                      <w:highlight w:val="none"/>
                    </w:rPr>
                  </w:pPr>
                  <w:r>
                    <w:rPr>
                      <w:rFonts w:hint="eastAsia"/>
                      <w:color w:val="auto"/>
                      <w:sz w:val="20"/>
                      <w:szCs w:val="20"/>
                      <w:highlight w:val="none"/>
                    </w:rPr>
                    <w:t>SW59</w:t>
                  </w:r>
                </w:p>
                <w:p w14:paraId="40ADC36A">
                  <w:pPr>
                    <w:ind w:left="-105" w:leftChars="-50" w:right="-105" w:rightChars="-50"/>
                    <w:jc w:val="center"/>
                    <w:rPr>
                      <w:color w:val="auto"/>
                      <w:sz w:val="20"/>
                      <w:szCs w:val="20"/>
                      <w:highlight w:val="none"/>
                    </w:rPr>
                  </w:pPr>
                  <w:r>
                    <w:rPr>
                      <w:rFonts w:hint="eastAsia"/>
                      <w:color w:val="auto"/>
                      <w:sz w:val="20"/>
                      <w:szCs w:val="20"/>
                      <w:highlight w:val="none"/>
                    </w:rPr>
                    <w:t>900-099-S59</w:t>
                  </w:r>
                </w:p>
              </w:tc>
              <w:tc>
                <w:tcPr>
                  <w:tcW w:w="362" w:type="pct"/>
                  <w:vAlign w:val="center"/>
                </w:tcPr>
                <w:p w14:paraId="5CB5C3A6">
                  <w:pPr>
                    <w:ind w:left="-105" w:leftChars="-50" w:right="-105" w:rightChars="-50"/>
                    <w:jc w:val="center"/>
                    <w:rPr>
                      <w:color w:val="auto"/>
                      <w:sz w:val="20"/>
                      <w:szCs w:val="20"/>
                      <w:highlight w:val="none"/>
                    </w:rPr>
                  </w:pPr>
                  <w:r>
                    <w:rPr>
                      <w:rFonts w:hint="eastAsia"/>
                      <w:color w:val="auto"/>
                      <w:sz w:val="20"/>
                      <w:szCs w:val="20"/>
                      <w:highlight w:val="none"/>
                    </w:rPr>
                    <w:t>固态</w:t>
                  </w:r>
                </w:p>
              </w:tc>
              <w:tc>
                <w:tcPr>
                  <w:tcW w:w="547" w:type="pct"/>
                  <w:vAlign w:val="center"/>
                </w:tcPr>
                <w:p w14:paraId="4208455D">
                  <w:pPr>
                    <w:ind w:left="-105" w:leftChars="-50" w:right="-105" w:rightChars="-50"/>
                    <w:jc w:val="center"/>
                    <w:rPr>
                      <w:color w:val="auto"/>
                      <w:sz w:val="20"/>
                      <w:szCs w:val="20"/>
                      <w:highlight w:val="none"/>
                    </w:rPr>
                  </w:pPr>
                  <w:r>
                    <w:rPr>
                      <w:rFonts w:hint="eastAsia"/>
                      <w:color w:val="auto"/>
                      <w:sz w:val="20"/>
                      <w:szCs w:val="20"/>
                      <w:highlight w:val="none"/>
                    </w:rPr>
                    <w:t>0.2</w:t>
                  </w:r>
                </w:p>
              </w:tc>
              <w:tc>
                <w:tcPr>
                  <w:tcW w:w="547" w:type="pct"/>
                  <w:vMerge w:val="continue"/>
                  <w:vAlign w:val="center"/>
                </w:tcPr>
                <w:p w14:paraId="3AC95497">
                  <w:pPr>
                    <w:ind w:left="-105" w:leftChars="-50" w:right="-105" w:rightChars="-50"/>
                    <w:jc w:val="center"/>
                    <w:rPr>
                      <w:color w:val="auto"/>
                      <w:sz w:val="20"/>
                      <w:szCs w:val="20"/>
                      <w:highlight w:val="none"/>
                    </w:rPr>
                  </w:pPr>
                </w:p>
              </w:tc>
              <w:tc>
                <w:tcPr>
                  <w:tcW w:w="915" w:type="pct"/>
                  <w:vMerge w:val="continue"/>
                  <w:vAlign w:val="center"/>
                </w:tcPr>
                <w:p w14:paraId="0C5F50CE">
                  <w:pPr>
                    <w:ind w:left="-105" w:leftChars="-50" w:right="-105" w:rightChars="-50"/>
                    <w:jc w:val="center"/>
                    <w:rPr>
                      <w:color w:val="auto"/>
                      <w:sz w:val="20"/>
                      <w:szCs w:val="20"/>
                      <w:highlight w:val="none"/>
                    </w:rPr>
                  </w:pPr>
                </w:p>
              </w:tc>
              <w:tc>
                <w:tcPr>
                  <w:tcW w:w="600" w:type="pct"/>
                  <w:vAlign w:val="center"/>
                </w:tcPr>
                <w:p w14:paraId="688B527B">
                  <w:pPr>
                    <w:ind w:left="-105" w:leftChars="-50" w:right="-105" w:rightChars="-50"/>
                    <w:jc w:val="center"/>
                    <w:rPr>
                      <w:color w:val="auto"/>
                      <w:sz w:val="20"/>
                      <w:szCs w:val="20"/>
                      <w:highlight w:val="none"/>
                    </w:rPr>
                  </w:pPr>
                  <w:r>
                    <w:rPr>
                      <w:rFonts w:hint="eastAsia"/>
                      <w:color w:val="auto"/>
                      <w:sz w:val="20"/>
                      <w:szCs w:val="20"/>
                      <w:highlight w:val="none"/>
                    </w:rPr>
                    <w:t>0.2</w:t>
                  </w:r>
                </w:p>
              </w:tc>
            </w:tr>
            <w:tr w14:paraId="1481F4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219" w:type="pct"/>
                  <w:vAlign w:val="center"/>
                </w:tcPr>
                <w:p w14:paraId="2B558729">
                  <w:pPr>
                    <w:numPr>
                      <w:ilvl w:val="0"/>
                      <w:numId w:val="13"/>
                    </w:numPr>
                    <w:ind w:right="-105" w:rightChars="-50"/>
                    <w:jc w:val="center"/>
                    <w:rPr>
                      <w:color w:val="auto"/>
                      <w:kern w:val="0"/>
                      <w:sz w:val="20"/>
                      <w:szCs w:val="20"/>
                      <w:highlight w:val="none"/>
                    </w:rPr>
                  </w:pPr>
                </w:p>
              </w:tc>
              <w:tc>
                <w:tcPr>
                  <w:tcW w:w="441" w:type="pct"/>
                  <w:vMerge w:val="continue"/>
                  <w:vAlign w:val="center"/>
                </w:tcPr>
                <w:p w14:paraId="3052C2D2">
                  <w:pPr>
                    <w:ind w:left="-105" w:leftChars="-50" w:right="-105" w:rightChars="-50"/>
                    <w:jc w:val="center"/>
                    <w:rPr>
                      <w:color w:val="auto"/>
                      <w:kern w:val="0"/>
                      <w:sz w:val="20"/>
                      <w:szCs w:val="20"/>
                      <w:highlight w:val="none"/>
                    </w:rPr>
                  </w:pPr>
                </w:p>
              </w:tc>
              <w:tc>
                <w:tcPr>
                  <w:tcW w:w="473" w:type="pct"/>
                  <w:vAlign w:val="center"/>
                </w:tcPr>
                <w:p w14:paraId="6F665552">
                  <w:pPr>
                    <w:ind w:left="-105" w:leftChars="-50" w:right="-105" w:rightChars="-50"/>
                    <w:jc w:val="center"/>
                    <w:rPr>
                      <w:color w:val="auto"/>
                      <w:kern w:val="0"/>
                      <w:sz w:val="20"/>
                      <w:szCs w:val="20"/>
                      <w:highlight w:val="none"/>
                    </w:rPr>
                  </w:pPr>
                  <w:r>
                    <w:rPr>
                      <w:rFonts w:hint="eastAsia"/>
                      <w:color w:val="auto"/>
                      <w:kern w:val="0"/>
                      <w:sz w:val="20"/>
                      <w:szCs w:val="20"/>
                      <w:highlight w:val="none"/>
                    </w:rPr>
                    <w:t>除尘灰</w:t>
                  </w:r>
                </w:p>
              </w:tc>
              <w:tc>
                <w:tcPr>
                  <w:tcW w:w="160" w:type="pct"/>
                  <w:vMerge w:val="continue"/>
                  <w:vAlign w:val="center"/>
                </w:tcPr>
                <w:p w14:paraId="040C3E7F">
                  <w:pPr>
                    <w:ind w:left="-105" w:leftChars="-50" w:right="-105" w:rightChars="-50"/>
                    <w:jc w:val="center"/>
                    <w:rPr>
                      <w:color w:val="auto"/>
                      <w:sz w:val="20"/>
                      <w:szCs w:val="20"/>
                      <w:highlight w:val="none"/>
                    </w:rPr>
                  </w:pPr>
                </w:p>
              </w:tc>
              <w:tc>
                <w:tcPr>
                  <w:tcW w:w="731" w:type="pct"/>
                  <w:vAlign w:val="center"/>
                </w:tcPr>
                <w:p w14:paraId="4D7676A0">
                  <w:pPr>
                    <w:ind w:left="-105" w:leftChars="-50" w:right="-105" w:rightChars="-50"/>
                    <w:jc w:val="center"/>
                    <w:rPr>
                      <w:color w:val="auto"/>
                      <w:sz w:val="20"/>
                      <w:szCs w:val="20"/>
                      <w:highlight w:val="none"/>
                    </w:rPr>
                  </w:pPr>
                  <w:r>
                    <w:rPr>
                      <w:rFonts w:hint="eastAsia"/>
                      <w:color w:val="auto"/>
                      <w:sz w:val="20"/>
                      <w:szCs w:val="20"/>
                      <w:highlight w:val="none"/>
                    </w:rPr>
                    <w:t>SW17</w:t>
                  </w:r>
                </w:p>
                <w:p w14:paraId="24C87F23">
                  <w:pPr>
                    <w:ind w:left="-105" w:leftChars="-50" w:right="-105" w:rightChars="-50"/>
                    <w:jc w:val="center"/>
                    <w:rPr>
                      <w:color w:val="auto"/>
                      <w:sz w:val="20"/>
                      <w:szCs w:val="20"/>
                      <w:highlight w:val="none"/>
                    </w:rPr>
                  </w:pPr>
                  <w:r>
                    <w:rPr>
                      <w:rFonts w:hint="eastAsia"/>
                      <w:color w:val="auto"/>
                      <w:sz w:val="20"/>
                      <w:szCs w:val="20"/>
                      <w:highlight w:val="none"/>
                    </w:rPr>
                    <w:t>900-001-S17</w:t>
                  </w:r>
                </w:p>
              </w:tc>
              <w:tc>
                <w:tcPr>
                  <w:tcW w:w="362" w:type="pct"/>
                  <w:vAlign w:val="center"/>
                </w:tcPr>
                <w:p w14:paraId="754E3759">
                  <w:pPr>
                    <w:ind w:left="-105" w:leftChars="-50" w:right="-105" w:rightChars="-50"/>
                    <w:jc w:val="center"/>
                    <w:rPr>
                      <w:color w:val="auto"/>
                      <w:sz w:val="20"/>
                      <w:szCs w:val="20"/>
                      <w:highlight w:val="none"/>
                    </w:rPr>
                  </w:pPr>
                  <w:r>
                    <w:rPr>
                      <w:rFonts w:hint="eastAsia"/>
                      <w:color w:val="auto"/>
                      <w:sz w:val="20"/>
                      <w:szCs w:val="20"/>
                      <w:highlight w:val="none"/>
                    </w:rPr>
                    <w:t>固态</w:t>
                  </w:r>
                </w:p>
              </w:tc>
              <w:tc>
                <w:tcPr>
                  <w:tcW w:w="547" w:type="pct"/>
                  <w:vAlign w:val="center"/>
                </w:tcPr>
                <w:p w14:paraId="7BD8EB88">
                  <w:pPr>
                    <w:ind w:left="-105" w:leftChars="-50" w:right="-105" w:rightChars="-50"/>
                    <w:jc w:val="center"/>
                    <w:rPr>
                      <w:rFonts w:hint="default" w:eastAsia="宋体"/>
                      <w:color w:val="auto"/>
                      <w:sz w:val="20"/>
                      <w:szCs w:val="20"/>
                      <w:highlight w:val="none"/>
                      <w:lang w:val="en-US" w:eastAsia="zh-CN"/>
                    </w:rPr>
                  </w:pPr>
                  <w:r>
                    <w:rPr>
                      <w:rFonts w:hint="eastAsia"/>
                      <w:color w:val="auto"/>
                      <w:sz w:val="20"/>
                      <w:szCs w:val="20"/>
                      <w:highlight w:val="none"/>
                      <w:lang w:val="en-US" w:eastAsia="zh-CN"/>
                    </w:rPr>
                    <w:t>1.33</w:t>
                  </w:r>
                </w:p>
              </w:tc>
              <w:tc>
                <w:tcPr>
                  <w:tcW w:w="547" w:type="pct"/>
                  <w:vMerge w:val="continue"/>
                  <w:vAlign w:val="center"/>
                </w:tcPr>
                <w:p w14:paraId="79FA82FD">
                  <w:pPr>
                    <w:ind w:left="-105" w:leftChars="-50" w:right="-105" w:rightChars="-50"/>
                    <w:jc w:val="center"/>
                    <w:rPr>
                      <w:color w:val="auto"/>
                      <w:sz w:val="20"/>
                      <w:szCs w:val="20"/>
                      <w:highlight w:val="none"/>
                    </w:rPr>
                  </w:pPr>
                </w:p>
              </w:tc>
              <w:tc>
                <w:tcPr>
                  <w:tcW w:w="915" w:type="pct"/>
                  <w:vMerge w:val="continue"/>
                  <w:vAlign w:val="center"/>
                </w:tcPr>
                <w:p w14:paraId="647F3E72">
                  <w:pPr>
                    <w:ind w:left="-105" w:leftChars="-50" w:right="-105" w:rightChars="-50"/>
                    <w:jc w:val="center"/>
                    <w:rPr>
                      <w:color w:val="auto"/>
                      <w:sz w:val="20"/>
                      <w:szCs w:val="20"/>
                      <w:highlight w:val="none"/>
                    </w:rPr>
                  </w:pPr>
                </w:p>
              </w:tc>
              <w:tc>
                <w:tcPr>
                  <w:tcW w:w="600" w:type="pct"/>
                  <w:vAlign w:val="center"/>
                </w:tcPr>
                <w:p w14:paraId="56A04622">
                  <w:pPr>
                    <w:ind w:left="-105" w:leftChars="-50" w:right="-105" w:rightChars="-50"/>
                    <w:jc w:val="center"/>
                    <w:rPr>
                      <w:rFonts w:hint="default" w:eastAsia="宋体"/>
                      <w:color w:val="auto"/>
                      <w:sz w:val="20"/>
                      <w:szCs w:val="20"/>
                      <w:highlight w:val="none"/>
                      <w:lang w:val="en-US" w:eastAsia="zh-CN"/>
                    </w:rPr>
                  </w:pPr>
                  <w:r>
                    <w:rPr>
                      <w:rFonts w:hint="eastAsia"/>
                      <w:color w:val="auto"/>
                      <w:sz w:val="20"/>
                      <w:szCs w:val="20"/>
                      <w:highlight w:val="none"/>
                      <w:lang w:val="en-US" w:eastAsia="zh-CN"/>
                    </w:rPr>
                    <w:t>1.33</w:t>
                  </w:r>
                </w:p>
              </w:tc>
            </w:tr>
            <w:tr w14:paraId="771A82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219" w:type="pct"/>
                  <w:vAlign w:val="center"/>
                </w:tcPr>
                <w:p w14:paraId="1EABFF87">
                  <w:pPr>
                    <w:numPr>
                      <w:ilvl w:val="0"/>
                      <w:numId w:val="13"/>
                    </w:numPr>
                    <w:ind w:right="-105" w:rightChars="-50"/>
                    <w:jc w:val="center"/>
                    <w:rPr>
                      <w:color w:val="auto"/>
                      <w:kern w:val="0"/>
                      <w:sz w:val="20"/>
                      <w:szCs w:val="20"/>
                      <w:highlight w:val="none"/>
                    </w:rPr>
                  </w:pPr>
                </w:p>
              </w:tc>
              <w:tc>
                <w:tcPr>
                  <w:tcW w:w="441" w:type="pct"/>
                  <w:vAlign w:val="center"/>
                </w:tcPr>
                <w:p w14:paraId="2A5FB4F7">
                  <w:pPr>
                    <w:ind w:left="-105" w:leftChars="-50" w:right="-105" w:rightChars="-50"/>
                    <w:jc w:val="center"/>
                    <w:rPr>
                      <w:color w:val="auto"/>
                      <w:kern w:val="0"/>
                      <w:sz w:val="20"/>
                      <w:szCs w:val="20"/>
                      <w:highlight w:val="none"/>
                    </w:rPr>
                  </w:pPr>
                  <w:r>
                    <w:rPr>
                      <w:rFonts w:hint="eastAsia"/>
                      <w:color w:val="auto"/>
                      <w:kern w:val="0"/>
                      <w:sz w:val="20"/>
                      <w:szCs w:val="20"/>
                      <w:highlight w:val="none"/>
                    </w:rPr>
                    <w:t>废水处理</w:t>
                  </w:r>
                </w:p>
              </w:tc>
              <w:tc>
                <w:tcPr>
                  <w:tcW w:w="473" w:type="pct"/>
                  <w:vAlign w:val="center"/>
                </w:tcPr>
                <w:p w14:paraId="2051F453">
                  <w:pPr>
                    <w:ind w:left="-105" w:leftChars="-50" w:right="-105" w:rightChars="-50"/>
                    <w:jc w:val="center"/>
                    <w:rPr>
                      <w:color w:val="auto"/>
                      <w:kern w:val="0"/>
                      <w:sz w:val="20"/>
                      <w:szCs w:val="20"/>
                      <w:highlight w:val="none"/>
                    </w:rPr>
                  </w:pPr>
                  <w:r>
                    <w:rPr>
                      <w:rFonts w:hint="eastAsia"/>
                      <w:color w:val="auto"/>
                      <w:kern w:val="0"/>
                      <w:sz w:val="20"/>
                      <w:szCs w:val="20"/>
                      <w:highlight w:val="none"/>
                    </w:rPr>
                    <w:t>生化污泥</w:t>
                  </w:r>
                </w:p>
              </w:tc>
              <w:tc>
                <w:tcPr>
                  <w:tcW w:w="160" w:type="pct"/>
                  <w:vMerge w:val="continue"/>
                  <w:vAlign w:val="center"/>
                </w:tcPr>
                <w:p w14:paraId="0D299946">
                  <w:pPr>
                    <w:ind w:left="-105" w:leftChars="-50" w:right="-105" w:rightChars="-50"/>
                    <w:jc w:val="center"/>
                    <w:rPr>
                      <w:color w:val="auto"/>
                      <w:sz w:val="20"/>
                      <w:szCs w:val="20"/>
                      <w:highlight w:val="none"/>
                    </w:rPr>
                  </w:pPr>
                </w:p>
              </w:tc>
              <w:tc>
                <w:tcPr>
                  <w:tcW w:w="731" w:type="pct"/>
                  <w:vAlign w:val="center"/>
                </w:tcPr>
                <w:p w14:paraId="3A2D06E8">
                  <w:pPr>
                    <w:ind w:left="-105" w:leftChars="-50" w:right="-105" w:rightChars="-50"/>
                    <w:jc w:val="center"/>
                    <w:rPr>
                      <w:color w:val="auto"/>
                      <w:sz w:val="20"/>
                      <w:szCs w:val="20"/>
                      <w:highlight w:val="none"/>
                    </w:rPr>
                  </w:pPr>
                  <w:r>
                    <w:rPr>
                      <w:rFonts w:hint="eastAsia"/>
                      <w:color w:val="auto"/>
                      <w:sz w:val="20"/>
                      <w:szCs w:val="20"/>
                      <w:highlight w:val="none"/>
                    </w:rPr>
                    <w:t>SW64</w:t>
                  </w:r>
                </w:p>
                <w:p w14:paraId="085EE3E0">
                  <w:pPr>
                    <w:ind w:left="-105" w:leftChars="-50" w:right="-105" w:rightChars="-50"/>
                    <w:jc w:val="center"/>
                    <w:rPr>
                      <w:color w:val="auto"/>
                      <w:sz w:val="20"/>
                      <w:szCs w:val="20"/>
                      <w:highlight w:val="none"/>
                    </w:rPr>
                  </w:pPr>
                  <w:r>
                    <w:rPr>
                      <w:rFonts w:hint="eastAsia"/>
                      <w:color w:val="auto"/>
                      <w:sz w:val="20"/>
                      <w:szCs w:val="20"/>
                      <w:highlight w:val="none"/>
                    </w:rPr>
                    <w:t>900-002-S64</w:t>
                  </w:r>
                </w:p>
              </w:tc>
              <w:tc>
                <w:tcPr>
                  <w:tcW w:w="362" w:type="pct"/>
                  <w:vAlign w:val="center"/>
                </w:tcPr>
                <w:p w14:paraId="7BCB6D53">
                  <w:pPr>
                    <w:ind w:left="-105" w:leftChars="-50" w:right="-105" w:rightChars="-50"/>
                    <w:jc w:val="center"/>
                    <w:rPr>
                      <w:color w:val="auto"/>
                      <w:sz w:val="20"/>
                      <w:szCs w:val="20"/>
                      <w:highlight w:val="none"/>
                    </w:rPr>
                  </w:pPr>
                  <w:r>
                    <w:rPr>
                      <w:rFonts w:hint="eastAsia"/>
                      <w:color w:val="auto"/>
                      <w:sz w:val="20"/>
                      <w:szCs w:val="20"/>
                      <w:highlight w:val="none"/>
                    </w:rPr>
                    <w:t>固态</w:t>
                  </w:r>
                </w:p>
              </w:tc>
              <w:tc>
                <w:tcPr>
                  <w:tcW w:w="547" w:type="pct"/>
                  <w:vAlign w:val="center"/>
                </w:tcPr>
                <w:p w14:paraId="79264DDB">
                  <w:pPr>
                    <w:ind w:left="-105" w:leftChars="-50" w:right="-105" w:rightChars="-50"/>
                    <w:jc w:val="center"/>
                    <w:rPr>
                      <w:color w:val="auto"/>
                      <w:sz w:val="20"/>
                      <w:szCs w:val="20"/>
                      <w:highlight w:val="none"/>
                    </w:rPr>
                  </w:pPr>
                  <w:r>
                    <w:rPr>
                      <w:rFonts w:hint="eastAsia"/>
                      <w:color w:val="auto"/>
                      <w:sz w:val="20"/>
                      <w:szCs w:val="20"/>
                      <w:highlight w:val="none"/>
                    </w:rPr>
                    <w:t>0.5</w:t>
                  </w:r>
                </w:p>
              </w:tc>
              <w:tc>
                <w:tcPr>
                  <w:tcW w:w="547" w:type="pct"/>
                  <w:vMerge w:val="continue"/>
                  <w:vAlign w:val="center"/>
                </w:tcPr>
                <w:p w14:paraId="41CDF6B7">
                  <w:pPr>
                    <w:ind w:left="-105" w:leftChars="-50" w:right="-105" w:rightChars="-50"/>
                    <w:jc w:val="center"/>
                    <w:rPr>
                      <w:color w:val="auto"/>
                      <w:sz w:val="20"/>
                      <w:szCs w:val="20"/>
                      <w:highlight w:val="none"/>
                    </w:rPr>
                  </w:pPr>
                </w:p>
              </w:tc>
              <w:tc>
                <w:tcPr>
                  <w:tcW w:w="915" w:type="pct"/>
                  <w:vAlign w:val="center"/>
                </w:tcPr>
                <w:p w14:paraId="329FEC58">
                  <w:pPr>
                    <w:ind w:left="-105" w:leftChars="-50" w:right="-105" w:rightChars="-50"/>
                    <w:jc w:val="center"/>
                    <w:rPr>
                      <w:color w:val="auto"/>
                      <w:sz w:val="20"/>
                      <w:szCs w:val="20"/>
                      <w:highlight w:val="none"/>
                    </w:rPr>
                  </w:pPr>
                  <w:r>
                    <w:rPr>
                      <w:color w:val="auto"/>
                      <w:sz w:val="20"/>
                      <w:szCs w:val="20"/>
                      <w:highlight w:val="none"/>
                    </w:rPr>
                    <w:t>定期清掏</w:t>
                  </w:r>
                  <w:r>
                    <w:rPr>
                      <w:rFonts w:hint="eastAsia"/>
                      <w:color w:val="auto"/>
                      <w:sz w:val="20"/>
                      <w:szCs w:val="20"/>
                      <w:highlight w:val="none"/>
                    </w:rPr>
                    <w:t>，交由环卫部门处置</w:t>
                  </w:r>
                </w:p>
              </w:tc>
              <w:tc>
                <w:tcPr>
                  <w:tcW w:w="600" w:type="pct"/>
                  <w:vAlign w:val="center"/>
                </w:tcPr>
                <w:p w14:paraId="7AC6444D">
                  <w:pPr>
                    <w:ind w:left="-105" w:leftChars="-50" w:right="-105" w:rightChars="-50"/>
                    <w:jc w:val="center"/>
                    <w:rPr>
                      <w:color w:val="auto"/>
                      <w:sz w:val="20"/>
                      <w:szCs w:val="20"/>
                      <w:highlight w:val="none"/>
                    </w:rPr>
                  </w:pPr>
                  <w:r>
                    <w:rPr>
                      <w:rFonts w:hint="eastAsia"/>
                      <w:color w:val="auto"/>
                      <w:sz w:val="20"/>
                      <w:szCs w:val="20"/>
                      <w:highlight w:val="none"/>
                    </w:rPr>
                    <w:t>0.5</w:t>
                  </w:r>
                </w:p>
              </w:tc>
            </w:tr>
          </w:tbl>
          <w:p w14:paraId="7AEA53AC">
            <w:pPr>
              <w:adjustRightInd w:val="0"/>
              <w:snapToGrid w:val="0"/>
              <w:jc w:val="center"/>
              <w:rPr>
                <w:b/>
                <w:bCs/>
                <w:color w:val="auto"/>
                <w:sz w:val="26"/>
                <w:szCs w:val="26"/>
                <w:highlight w:val="none"/>
              </w:rPr>
            </w:pPr>
          </w:p>
          <w:p w14:paraId="49057E57">
            <w:pPr>
              <w:adjustRightInd w:val="0"/>
              <w:snapToGrid w:val="0"/>
              <w:jc w:val="center"/>
              <w:rPr>
                <w:bCs/>
                <w:color w:val="auto"/>
                <w:sz w:val="24"/>
                <w:szCs w:val="26"/>
                <w:highlight w:val="none"/>
              </w:rPr>
            </w:pPr>
            <w:r>
              <w:rPr>
                <w:bCs/>
                <w:color w:val="auto"/>
                <w:sz w:val="24"/>
                <w:szCs w:val="26"/>
                <w:highlight w:val="none"/>
              </w:rPr>
              <w:t>表</w:t>
            </w:r>
            <w:r>
              <w:rPr>
                <w:rFonts w:hint="eastAsia"/>
                <w:bCs/>
                <w:color w:val="auto"/>
                <w:sz w:val="24"/>
                <w:szCs w:val="26"/>
                <w:highlight w:val="none"/>
              </w:rPr>
              <w:t>4.2-18</w:t>
            </w:r>
            <w:r>
              <w:rPr>
                <w:bCs/>
                <w:color w:val="auto"/>
                <w:sz w:val="24"/>
                <w:szCs w:val="26"/>
                <w:highlight w:val="none"/>
              </w:rPr>
              <w:t xml:space="preserve">  项目</w:t>
            </w:r>
            <w:r>
              <w:rPr>
                <w:rFonts w:hint="eastAsia"/>
                <w:bCs/>
                <w:color w:val="auto"/>
                <w:sz w:val="24"/>
                <w:szCs w:val="26"/>
                <w:highlight w:val="none"/>
              </w:rPr>
              <w:t>运营期</w:t>
            </w:r>
            <w:r>
              <w:rPr>
                <w:bCs/>
                <w:color w:val="auto"/>
                <w:sz w:val="24"/>
                <w:szCs w:val="26"/>
                <w:highlight w:val="none"/>
              </w:rPr>
              <w:t>危险</w:t>
            </w:r>
            <w:r>
              <w:rPr>
                <w:rFonts w:hint="eastAsia"/>
                <w:bCs/>
                <w:color w:val="auto"/>
                <w:sz w:val="24"/>
                <w:szCs w:val="26"/>
                <w:highlight w:val="none"/>
              </w:rPr>
              <w:t>废物</w:t>
            </w:r>
            <w:r>
              <w:rPr>
                <w:bCs/>
                <w:color w:val="auto"/>
                <w:sz w:val="24"/>
                <w:szCs w:val="26"/>
                <w:highlight w:val="none"/>
              </w:rPr>
              <w:t>产生情况一览表</w:t>
            </w:r>
          </w:p>
          <w:tbl>
            <w:tblPr>
              <w:tblStyle w:val="16"/>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460"/>
              <w:gridCol w:w="901"/>
              <w:gridCol w:w="771"/>
              <w:gridCol w:w="1214"/>
              <w:gridCol w:w="579"/>
              <w:gridCol w:w="750"/>
              <w:gridCol w:w="341"/>
              <w:gridCol w:w="414"/>
              <w:gridCol w:w="713"/>
              <w:gridCol w:w="672"/>
              <w:gridCol w:w="478"/>
            </w:tblGrid>
            <w:tr w14:paraId="08B8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dxa"/>
                  <w:vAlign w:val="center"/>
                </w:tcPr>
                <w:p w14:paraId="2E38BBBD">
                  <w:pPr>
                    <w:topLinePunct/>
                    <w:snapToGrid w:val="0"/>
                    <w:jc w:val="center"/>
                    <w:rPr>
                      <w:color w:val="auto"/>
                      <w:sz w:val="20"/>
                      <w:szCs w:val="20"/>
                      <w:highlight w:val="none"/>
                    </w:rPr>
                  </w:pPr>
                  <w:r>
                    <w:rPr>
                      <w:color w:val="auto"/>
                      <w:sz w:val="20"/>
                      <w:szCs w:val="20"/>
                      <w:highlight w:val="none"/>
                    </w:rPr>
                    <w:t>序号</w:t>
                  </w:r>
                </w:p>
              </w:tc>
              <w:tc>
                <w:tcPr>
                  <w:tcW w:w="460" w:type="dxa"/>
                  <w:vAlign w:val="center"/>
                </w:tcPr>
                <w:p w14:paraId="0304CEFF">
                  <w:pPr>
                    <w:topLinePunct/>
                    <w:snapToGrid w:val="0"/>
                    <w:jc w:val="center"/>
                    <w:rPr>
                      <w:color w:val="auto"/>
                      <w:sz w:val="20"/>
                      <w:szCs w:val="20"/>
                      <w:highlight w:val="none"/>
                    </w:rPr>
                  </w:pPr>
                  <w:r>
                    <w:rPr>
                      <w:rFonts w:hint="eastAsia"/>
                      <w:color w:val="auto"/>
                      <w:sz w:val="20"/>
                      <w:szCs w:val="20"/>
                      <w:highlight w:val="none"/>
                    </w:rPr>
                    <w:t>产生环节</w:t>
                  </w:r>
                </w:p>
              </w:tc>
              <w:tc>
                <w:tcPr>
                  <w:tcW w:w="901" w:type="dxa"/>
                  <w:vAlign w:val="center"/>
                </w:tcPr>
                <w:p w14:paraId="26A404AB">
                  <w:pPr>
                    <w:topLinePunct/>
                    <w:snapToGrid w:val="0"/>
                    <w:jc w:val="center"/>
                    <w:rPr>
                      <w:color w:val="auto"/>
                      <w:sz w:val="20"/>
                      <w:szCs w:val="20"/>
                      <w:highlight w:val="none"/>
                    </w:rPr>
                  </w:pPr>
                  <w:r>
                    <w:rPr>
                      <w:color w:val="auto"/>
                      <w:sz w:val="20"/>
                      <w:szCs w:val="20"/>
                      <w:highlight w:val="none"/>
                    </w:rPr>
                    <w:t>危险废物名称</w:t>
                  </w:r>
                </w:p>
              </w:tc>
              <w:tc>
                <w:tcPr>
                  <w:tcW w:w="771" w:type="dxa"/>
                  <w:vAlign w:val="center"/>
                </w:tcPr>
                <w:p w14:paraId="2F43E6C5">
                  <w:pPr>
                    <w:topLinePunct/>
                    <w:snapToGrid w:val="0"/>
                    <w:jc w:val="center"/>
                    <w:rPr>
                      <w:color w:val="auto"/>
                      <w:sz w:val="20"/>
                      <w:szCs w:val="20"/>
                      <w:highlight w:val="none"/>
                    </w:rPr>
                  </w:pPr>
                  <w:r>
                    <w:rPr>
                      <w:color w:val="auto"/>
                      <w:sz w:val="20"/>
                      <w:szCs w:val="20"/>
                      <w:highlight w:val="none"/>
                    </w:rPr>
                    <w:t>危险废物类别</w:t>
                  </w:r>
                </w:p>
              </w:tc>
              <w:tc>
                <w:tcPr>
                  <w:tcW w:w="1214" w:type="dxa"/>
                  <w:vAlign w:val="center"/>
                </w:tcPr>
                <w:p w14:paraId="55A59423">
                  <w:pPr>
                    <w:topLinePunct/>
                    <w:snapToGrid w:val="0"/>
                    <w:jc w:val="center"/>
                    <w:rPr>
                      <w:color w:val="auto"/>
                      <w:sz w:val="20"/>
                      <w:szCs w:val="20"/>
                      <w:highlight w:val="none"/>
                    </w:rPr>
                  </w:pPr>
                  <w:r>
                    <w:rPr>
                      <w:color w:val="auto"/>
                      <w:sz w:val="20"/>
                      <w:szCs w:val="20"/>
                      <w:highlight w:val="none"/>
                    </w:rPr>
                    <w:t>危险废物代码</w:t>
                  </w:r>
                </w:p>
              </w:tc>
              <w:tc>
                <w:tcPr>
                  <w:tcW w:w="579" w:type="dxa"/>
                  <w:vAlign w:val="center"/>
                </w:tcPr>
                <w:p w14:paraId="35BF64AF">
                  <w:pPr>
                    <w:topLinePunct/>
                    <w:snapToGrid w:val="0"/>
                    <w:jc w:val="center"/>
                    <w:rPr>
                      <w:color w:val="auto"/>
                      <w:sz w:val="20"/>
                      <w:szCs w:val="20"/>
                      <w:highlight w:val="none"/>
                    </w:rPr>
                  </w:pPr>
                  <w:r>
                    <w:rPr>
                      <w:color w:val="auto"/>
                      <w:sz w:val="20"/>
                      <w:szCs w:val="20"/>
                      <w:highlight w:val="none"/>
                    </w:rPr>
                    <w:t>产生量</w:t>
                  </w:r>
                  <w:r>
                    <w:rPr>
                      <w:rFonts w:hint="eastAsia"/>
                      <w:color w:val="auto"/>
                      <w:sz w:val="20"/>
                      <w:szCs w:val="20"/>
                      <w:highlight w:val="none"/>
                    </w:rPr>
                    <w:t>（</w:t>
                  </w:r>
                  <w:r>
                    <w:rPr>
                      <w:color w:val="auto"/>
                      <w:sz w:val="20"/>
                      <w:szCs w:val="20"/>
                      <w:highlight w:val="none"/>
                    </w:rPr>
                    <w:t>t</w:t>
                  </w:r>
                  <w:r>
                    <w:rPr>
                      <w:rFonts w:hint="eastAsia"/>
                      <w:color w:val="auto"/>
                      <w:sz w:val="20"/>
                      <w:szCs w:val="20"/>
                      <w:highlight w:val="none"/>
                      <w:lang w:eastAsia="zh-CN"/>
                    </w:rPr>
                    <w:t>）</w:t>
                  </w:r>
                </w:p>
              </w:tc>
              <w:tc>
                <w:tcPr>
                  <w:tcW w:w="750" w:type="dxa"/>
                  <w:vAlign w:val="center"/>
                </w:tcPr>
                <w:p w14:paraId="42CDB712">
                  <w:pPr>
                    <w:topLinePunct/>
                    <w:snapToGrid w:val="0"/>
                    <w:jc w:val="center"/>
                    <w:rPr>
                      <w:color w:val="auto"/>
                      <w:sz w:val="20"/>
                      <w:szCs w:val="20"/>
                      <w:highlight w:val="none"/>
                    </w:rPr>
                  </w:pPr>
                  <w:r>
                    <w:rPr>
                      <w:color w:val="auto"/>
                      <w:sz w:val="20"/>
                      <w:szCs w:val="20"/>
                      <w:highlight w:val="none"/>
                    </w:rPr>
                    <w:t>产生工序及装置</w:t>
                  </w:r>
                </w:p>
              </w:tc>
              <w:tc>
                <w:tcPr>
                  <w:tcW w:w="341" w:type="dxa"/>
                  <w:vAlign w:val="center"/>
                </w:tcPr>
                <w:p w14:paraId="22CB7CBF">
                  <w:pPr>
                    <w:topLinePunct/>
                    <w:snapToGrid w:val="0"/>
                    <w:jc w:val="center"/>
                    <w:rPr>
                      <w:color w:val="auto"/>
                      <w:sz w:val="20"/>
                      <w:szCs w:val="20"/>
                      <w:highlight w:val="none"/>
                    </w:rPr>
                  </w:pPr>
                  <w:r>
                    <w:rPr>
                      <w:color w:val="auto"/>
                      <w:sz w:val="20"/>
                      <w:szCs w:val="20"/>
                      <w:highlight w:val="none"/>
                    </w:rPr>
                    <w:t>形态</w:t>
                  </w:r>
                </w:p>
              </w:tc>
              <w:tc>
                <w:tcPr>
                  <w:tcW w:w="414" w:type="dxa"/>
                  <w:vAlign w:val="center"/>
                </w:tcPr>
                <w:p w14:paraId="54626227">
                  <w:pPr>
                    <w:topLinePunct/>
                    <w:snapToGrid w:val="0"/>
                    <w:jc w:val="center"/>
                    <w:rPr>
                      <w:color w:val="auto"/>
                      <w:sz w:val="20"/>
                      <w:szCs w:val="20"/>
                      <w:highlight w:val="none"/>
                    </w:rPr>
                  </w:pPr>
                  <w:r>
                    <w:rPr>
                      <w:color w:val="auto"/>
                      <w:sz w:val="20"/>
                      <w:szCs w:val="20"/>
                      <w:highlight w:val="none"/>
                    </w:rPr>
                    <w:t>有害成分</w:t>
                  </w:r>
                </w:p>
              </w:tc>
              <w:tc>
                <w:tcPr>
                  <w:tcW w:w="713" w:type="dxa"/>
                  <w:vAlign w:val="center"/>
                </w:tcPr>
                <w:p w14:paraId="2C1AB511">
                  <w:pPr>
                    <w:topLinePunct/>
                    <w:snapToGrid w:val="0"/>
                    <w:jc w:val="center"/>
                    <w:rPr>
                      <w:color w:val="auto"/>
                      <w:sz w:val="20"/>
                      <w:szCs w:val="20"/>
                      <w:highlight w:val="none"/>
                    </w:rPr>
                  </w:pPr>
                  <w:r>
                    <w:rPr>
                      <w:color w:val="auto"/>
                      <w:sz w:val="20"/>
                      <w:szCs w:val="20"/>
                      <w:highlight w:val="none"/>
                    </w:rPr>
                    <w:t>产废周期</w:t>
                  </w:r>
                </w:p>
              </w:tc>
              <w:tc>
                <w:tcPr>
                  <w:tcW w:w="672" w:type="dxa"/>
                  <w:vAlign w:val="center"/>
                </w:tcPr>
                <w:p w14:paraId="44A5BE65">
                  <w:pPr>
                    <w:topLinePunct/>
                    <w:snapToGrid w:val="0"/>
                    <w:jc w:val="center"/>
                    <w:rPr>
                      <w:color w:val="auto"/>
                      <w:sz w:val="20"/>
                      <w:szCs w:val="20"/>
                      <w:highlight w:val="none"/>
                    </w:rPr>
                  </w:pPr>
                  <w:r>
                    <w:rPr>
                      <w:color w:val="auto"/>
                      <w:sz w:val="20"/>
                      <w:szCs w:val="20"/>
                      <w:highlight w:val="none"/>
                    </w:rPr>
                    <w:t>危险特性</w:t>
                  </w:r>
                </w:p>
              </w:tc>
              <w:tc>
                <w:tcPr>
                  <w:tcW w:w="478" w:type="dxa"/>
                  <w:vAlign w:val="center"/>
                </w:tcPr>
                <w:p w14:paraId="494F7277">
                  <w:pPr>
                    <w:topLinePunct/>
                    <w:snapToGrid w:val="0"/>
                    <w:jc w:val="center"/>
                    <w:rPr>
                      <w:color w:val="auto"/>
                      <w:sz w:val="20"/>
                      <w:szCs w:val="20"/>
                      <w:highlight w:val="none"/>
                    </w:rPr>
                  </w:pPr>
                  <w:r>
                    <w:rPr>
                      <w:rFonts w:hint="eastAsia"/>
                      <w:color w:val="auto"/>
                      <w:sz w:val="20"/>
                      <w:szCs w:val="20"/>
                      <w:highlight w:val="none"/>
                    </w:rPr>
                    <w:t>处置</w:t>
                  </w:r>
                  <w:r>
                    <w:rPr>
                      <w:color w:val="auto"/>
                      <w:sz w:val="20"/>
                      <w:szCs w:val="20"/>
                      <w:highlight w:val="none"/>
                    </w:rPr>
                    <w:t>措施</w:t>
                  </w:r>
                </w:p>
              </w:tc>
            </w:tr>
            <w:tr w14:paraId="5E41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dxa"/>
                  <w:vAlign w:val="center"/>
                </w:tcPr>
                <w:p w14:paraId="18839FC0">
                  <w:pPr>
                    <w:topLinePunct/>
                    <w:snapToGrid w:val="0"/>
                    <w:jc w:val="center"/>
                    <w:rPr>
                      <w:color w:val="auto"/>
                      <w:sz w:val="20"/>
                      <w:szCs w:val="20"/>
                      <w:highlight w:val="none"/>
                    </w:rPr>
                  </w:pPr>
                  <w:r>
                    <w:rPr>
                      <w:rFonts w:hint="eastAsia"/>
                      <w:color w:val="auto"/>
                      <w:sz w:val="20"/>
                      <w:szCs w:val="20"/>
                      <w:highlight w:val="none"/>
                    </w:rPr>
                    <w:t>1</w:t>
                  </w:r>
                </w:p>
              </w:tc>
              <w:tc>
                <w:tcPr>
                  <w:tcW w:w="460" w:type="dxa"/>
                  <w:vMerge w:val="restart"/>
                  <w:vAlign w:val="center"/>
                </w:tcPr>
                <w:p w14:paraId="120B0F60">
                  <w:pPr>
                    <w:topLinePunct/>
                    <w:snapToGrid w:val="0"/>
                    <w:jc w:val="center"/>
                    <w:rPr>
                      <w:color w:val="auto"/>
                      <w:sz w:val="20"/>
                      <w:szCs w:val="20"/>
                      <w:highlight w:val="none"/>
                    </w:rPr>
                  </w:pPr>
                  <w:r>
                    <w:rPr>
                      <w:rFonts w:hint="eastAsia"/>
                      <w:color w:val="auto"/>
                      <w:sz w:val="20"/>
                      <w:szCs w:val="20"/>
                      <w:highlight w:val="none"/>
                    </w:rPr>
                    <w:t>机修</w:t>
                  </w:r>
                </w:p>
              </w:tc>
              <w:tc>
                <w:tcPr>
                  <w:tcW w:w="901" w:type="dxa"/>
                  <w:vAlign w:val="center"/>
                </w:tcPr>
                <w:p w14:paraId="31DED4BC">
                  <w:pPr>
                    <w:topLinePunct/>
                    <w:snapToGrid w:val="0"/>
                    <w:jc w:val="center"/>
                    <w:rPr>
                      <w:color w:val="auto"/>
                      <w:sz w:val="20"/>
                      <w:szCs w:val="20"/>
                      <w:highlight w:val="none"/>
                    </w:rPr>
                  </w:pPr>
                  <w:r>
                    <w:rPr>
                      <w:rFonts w:hint="eastAsia"/>
                      <w:color w:val="auto"/>
                      <w:sz w:val="20"/>
                      <w:szCs w:val="20"/>
                      <w:highlight w:val="none"/>
                    </w:rPr>
                    <w:t>废润滑油</w:t>
                  </w:r>
                </w:p>
              </w:tc>
              <w:tc>
                <w:tcPr>
                  <w:tcW w:w="771" w:type="dxa"/>
                  <w:vAlign w:val="center"/>
                </w:tcPr>
                <w:p w14:paraId="102578D0">
                  <w:pPr>
                    <w:topLinePunct/>
                    <w:snapToGrid w:val="0"/>
                    <w:jc w:val="center"/>
                    <w:rPr>
                      <w:color w:val="auto"/>
                      <w:sz w:val="20"/>
                      <w:szCs w:val="20"/>
                      <w:highlight w:val="none"/>
                    </w:rPr>
                  </w:pPr>
                  <w:r>
                    <w:rPr>
                      <w:color w:val="auto"/>
                      <w:sz w:val="20"/>
                      <w:szCs w:val="20"/>
                      <w:highlight w:val="none"/>
                    </w:rPr>
                    <w:t>HW08</w:t>
                  </w:r>
                </w:p>
              </w:tc>
              <w:tc>
                <w:tcPr>
                  <w:tcW w:w="1214" w:type="dxa"/>
                  <w:vAlign w:val="center"/>
                </w:tcPr>
                <w:p w14:paraId="1201405A">
                  <w:pPr>
                    <w:topLinePunct/>
                    <w:snapToGrid w:val="0"/>
                    <w:jc w:val="center"/>
                    <w:rPr>
                      <w:color w:val="auto"/>
                      <w:sz w:val="20"/>
                      <w:szCs w:val="20"/>
                      <w:highlight w:val="none"/>
                    </w:rPr>
                  </w:pPr>
                  <w:r>
                    <w:rPr>
                      <w:rFonts w:hint="eastAsia"/>
                      <w:color w:val="auto"/>
                      <w:sz w:val="20"/>
                      <w:szCs w:val="20"/>
                      <w:highlight w:val="none"/>
                    </w:rPr>
                    <w:t>900-217-08</w:t>
                  </w:r>
                </w:p>
              </w:tc>
              <w:tc>
                <w:tcPr>
                  <w:tcW w:w="579" w:type="dxa"/>
                  <w:vAlign w:val="center"/>
                </w:tcPr>
                <w:p w14:paraId="5BC83919">
                  <w:pPr>
                    <w:topLinePunct/>
                    <w:snapToGrid w:val="0"/>
                    <w:jc w:val="center"/>
                    <w:rPr>
                      <w:color w:val="auto"/>
                      <w:sz w:val="20"/>
                      <w:szCs w:val="20"/>
                      <w:highlight w:val="none"/>
                    </w:rPr>
                  </w:pPr>
                  <w:r>
                    <w:rPr>
                      <w:rFonts w:hint="eastAsia"/>
                      <w:color w:val="auto"/>
                      <w:sz w:val="20"/>
                      <w:szCs w:val="20"/>
                      <w:highlight w:val="none"/>
                    </w:rPr>
                    <w:t>0.15</w:t>
                  </w:r>
                </w:p>
              </w:tc>
              <w:tc>
                <w:tcPr>
                  <w:tcW w:w="750" w:type="dxa"/>
                  <w:vMerge w:val="restart"/>
                  <w:vAlign w:val="center"/>
                </w:tcPr>
                <w:p w14:paraId="07A9E7A8">
                  <w:pPr>
                    <w:topLinePunct/>
                    <w:snapToGrid w:val="0"/>
                    <w:jc w:val="center"/>
                    <w:rPr>
                      <w:color w:val="auto"/>
                      <w:sz w:val="20"/>
                      <w:szCs w:val="20"/>
                      <w:highlight w:val="none"/>
                    </w:rPr>
                  </w:pPr>
                  <w:r>
                    <w:rPr>
                      <w:color w:val="auto"/>
                      <w:sz w:val="20"/>
                      <w:szCs w:val="20"/>
                      <w:highlight w:val="none"/>
                    </w:rPr>
                    <w:t>机修</w:t>
                  </w:r>
                </w:p>
              </w:tc>
              <w:tc>
                <w:tcPr>
                  <w:tcW w:w="341" w:type="dxa"/>
                  <w:vMerge w:val="restart"/>
                  <w:vAlign w:val="center"/>
                </w:tcPr>
                <w:p w14:paraId="47D4F764">
                  <w:pPr>
                    <w:topLinePunct/>
                    <w:snapToGrid w:val="0"/>
                    <w:jc w:val="center"/>
                    <w:rPr>
                      <w:color w:val="auto"/>
                      <w:sz w:val="20"/>
                      <w:szCs w:val="20"/>
                      <w:highlight w:val="none"/>
                    </w:rPr>
                  </w:pPr>
                  <w:r>
                    <w:rPr>
                      <w:color w:val="auto"/>
                      <w:sz w:val="20"/>
                      <w:szCs w:val="20"/>
                      <w:highlight w:val="none"/>
                    </w:rPr>
                    <w:t>液态</w:t>
                  </w:r>
                </w:p>
              </w:tc>
              <w:tc>
                <w:tcPr>
                  <w:tcW w:w="414" w:type="dxa"/>
                  <w:vMerge w:val="restart"/>
                  <w:vAlign w:val="center"/>
                </w:tcPr>
                <w:p w14:paraId="4EF4C53B">
                  <w:pPr>
                    <w:topLinePunct/>
                    <w:snapToGrid w:val="0"/>
                    <w:jc w:val="center"/>
                    <w:rPr>
                      <w:color w:val="auto"/>
                      <w:sz w:val="20"/>
                      <w:szCs w:val="20"/>
                      <w:highlight w:val="none"/>
                    </w:rPr>
                  </w:pPr>
                  <w:r>
                    <w:rPr>
                      <w:rFonts w:hint="eastAsia"/>
                      <w:color w:val="auto"/>
                      <w:sz w:val="20"/>
                      <w:szCs w:val="20"/>
                      <w:highlight w:val="none"/>
                    </w:rPr>
                    <w:t>矿物油</w:t>
                  </w:r>
                </w:p>
              </w:tc>
              <w:tc>
                <w:tcPr>
                  <w:tcW w:w="713" w:type="dxa"/>
                  <w:vAlign w:val="center"/>
                </w:tcPr>
                <w:p w14:paraId="48BFE911">
                  <w:pPr>
                    <w:topLinePunct/>
                    <w:snapToGrid w:val="0"/>
                    <w:jc w:val="center"/>
                    <w:rPr>
                      <w:color w:val="auto"/>
                      <w:sz w:val="20"/>
                      <w:szCs w:val="20"/>
                      <w:highlight w:val="none"/>
                    </w:rPr>
                  </w:pPr>
                  <w:r>
                    <w:rPr>
                      <w:rFonts w:hint="eastAsia"/>
                      <w:color w:val="auto"/>
                      <w:sz w:val="20"/>
                      <w:szCs w:val="20"/>
                      <w:highlight w:val="none"/>
                    </w:rPr>
                    <w:t>间断</w:t>
                  </w:r>
                </w:p>
              </w:tc>
              <w:tc>
                <w:tcPr>
                  <w:tcW w:w="672" w:type="dxa"/>
                  <w:vAlign w:val="center"/>
                </w:tcPr>
                <w:p w14:paraId="73B477B6">
                  <w:pPr>
                    <w:topLinePunct/>
                    <w:snapToGrid w:val="0"/>
                    <w:jc w:val="center"/>
                    <w:rPr>
                      <w:color w:val="auto"/>
                      <w:sz w:val="20"/>
                      <w:szCs w:val="20"/>
                      <w:highlight w:val="none"/>
                    </w:rPr>
                  </w:pPr>
                  <w:r>
                    <w:rPr>
                      <w:color w:val="auto"/>
                      <w:sz w:val="20"/>
                      <w:szCs w:val="20"/>
                      <w:highlight w:val="none"/>
                    </w:rPr>
                    <w:t>T/In</w:t>
                  </w:r>
                </w:p>
              </w:tc>
              <w:tc>
                <w:tcPr>
                  <w:tcW w:w="478" w:type="dxa"/>
                  <w:vMerge w:val="restart"/>
                  <w:vAlign w:val="center"/>
                </w:tcPr>
                <w:p w14:paraId="7810928F">
                  <w:pPr>
                    <w:topLinePunct/>
                    <w:snapToGrid w:val="0"/>
                    <w:jc w:val="center"/>
                    <w:rPr>
                      <w:color w:val="auto"/>
                      <w:sz w:val="20"/>
                      <w:szCs w:val="20"/>
                      <w:highlight w:val="none"/>
                    </w:rPr>
                  </w:pPr>
                  <w:r>
                    <w:rPr>
                      <w:color w:val="auto"/>
                      <w:sz w:val="20"/>
                      <w:szCs w:val="20"/>
                      <w:highlight w:val="none"/>
                    </w:rPr>
                    <w:t>委托有资质单位处置</w:t>
                  </w:r>
                </w:p>
              </w:tc>
            </w:tr>
            <w:tr w14:paraId="73A6C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dxa"/>
                  <w:vAlign w:val="center"/>
                </w:tcPr>
                <w:p w14:paraId="52DD2563">
                  <w:pPr>
                    <w:topLinePunct/>
                    <w:snapToGrid w:val="0"/>
                    <w:jc w:val="center"/>
                    <w:rPr>
                      <w:color w:val="auto"/>
                      <w:sz w:val="20"/>
                      <w:szCs w:val="20"/>
                      <w:highlight w:val="none"/>
                    </w:rPr>
                  </w:pPr>
                  <w:r>
                    <w:rPr>
                      <w:rFonts w:hint="eastAsia"/>
                      <w:color w:val="auto"/>
                      <w:sz w:val="20"/>
                      <w:szCs w:val="20"/>
                      <w:highlight w:val="none"/>
                    </w:rPr>
                    <w:t>2</w:t>
                  </w:r>
                </w:p>
              </w:tc>
              <w:tc>
                <w:tcPr>
                  <w:tcW w:w="460" w:type="dxa"/>
                  <w:vMerge w:val="continue"/>
                  <w:vAlign w:val="center"/>
                </w:tcPr>
                <w:p w14:paraId="0FE0FB71">
                  <w:pPr>
                    <w:topLinePunct/>
                    <w:snapToGrid w:val="0"/>
                    <w:jc w:val="center"/>
                    <w:rPr>
                      <w:color w:val="auto"/>
                      <w:sz w:val="20"/>
                      <w:szCs w:val="20"/>
                      <w:highlight w:val="none"/>
                    </w:rPr>
                  </w:pPr>
                </w:p>
              </w:tc>
              <w:tc>
                <w:tcPr>
                  <w:tcW w:w="901" w:type="dxa"/>
                  <w:vAlign w:val="center"/>
                </w:tcPr>
                <w:p w14:paraId="3C6CECBC">
                  <w:pPr>
                    <w:topLinePunct/>
                    <w:snapToGrid w:val="0"/>
                    <w:jc w:val="center"/>
                    <w:rPr>
                      <w:color w:val="auto"/>
                      <w:sz w:val="20"/>
                      <w:szCs w:val="20"/>
                      <w:highlight w:val="none"/>
                    </w:rPr>
                  </w:pPr>
                  <w:r>
                    <w:rPr>
                      <w:rFonts w:hint="eastAsia"/>
                      <w:color w:val="auto"/>
                      <w:sz w:val="20"/>
                      <w:szCs w:val="20"/>
                      <w:highlight w:val="none"/>
                    </w:rPr>
                    <w:t>废液压油</w:t>
                  </w:r>
                </w:p>
              </w:tc>
              <w:tc>
                <w:tcPr>
                  <w:tcW w:w="771" w:type="dxa"/>
                  <w:vAlign w:val="center"/>
                </w:tcPr>
                <w:p w14:paraId="6CD5E664">
                  <w:pPr>
                    <w:topLinePunct/>
                    <w:snapToGrid w:val="0"/>
                    <w:jc w:val="center"/>
                    <w:rPr>
                      <w:color w:val="auto"/>
                      <w:sz w:val="20"/>
                      <w:szCs w:val="20"/>
                      <w:highlight w:val="none"/>
                    </w:rPr>
                  </w:pPr>
                  <w:r>
                    <w:rPr>
                      <w:rFonts w:hint="eastAsia"/>
                      <w:color w:val="auto"/>
                      <w:sz w:val="20"/>
                      <w:szCs w:val="20"/>
                      <w:highlight w:val="none"/>
                    </w:rPr>
                    <w:t>HW08</w:t>
                  </w:r>
                </w:p>
              </w:tc>
              <w:tc>
                <w:tcPr>
                  <w:tcW w:w="1214" w:type="dxa"/>
                  <w:vAlign w:val="center"/>
                </w:tcPr>
                <w:p w14:paraId="0B5706D9">
                  <w:pPr>
                    <w:topLinePunct/>
                    <w:snapToGrid w:val="0"/>
                    <w:jc w:val="center"/>
                    <w:rPr>
                      <w:color w:val="auto"/>
                      <w:sz w:val="20"/>
                      <w:szCs w:val="20"/>
                      <w:highlight w:val="none"/>
                    </w:rPr>
                  </w:pPr>
                  <w:r>
                    <w:rPr>
                      <w:rFonts w:hint="eastAsia"/>
                      <w:color w:val="auto"/>
                      <w:sz w:val="20"/>
                      <w:szCs w:val="20"/>
                      <w:highlight w:val="none"/>
                    </w:rPr>
                    <w:t>900-218-08</w:t>
                  </w:r>
                </w:p>
              </w:tc>
              <w:tc>
                <w:tcPr>
                  <w:tcW w:w="579" w:type="dxa"/>
                  <w:vAlign w:val="center"/>
                </w:tcPr>
                <w:p w14:paraId="1CB0A48D">
                  <w:pPr>
                    <w:topLinePunct/>
                    <w:snapToGrid w:val="0"/>
                    <w:jc w:val="center"/>
                    <w:rPr>
                      <w:color w:val="auto"/>
                      <w:sz w:val="20"/>
                      <w:szCs w:val="20"/>
                      <w:highlight w:val="none"/>
                    </w:rPr>
                  </w:pPr>
                  <w:r>
                    <w:rPr>
                      <w:rFonts w:hint="eastAsia"/>
                      <w:color w:val="auto"/>
                      <w:sz w:val="20"/>
                      <w:szCs w:val="20"/>
                      <w:highlight w:val="none"/>
                    </w:rPr>
                    <w:t>17.1</w:t>
                  </w:r>
                </w:p>
              </w:tc>
              <w:tc>
                <w:tcPr>
                  <w:tcW w:w="750" w:type="dxa"/>
                  <w:vMerge w:val="continue"/>
                  <w:vAlign w:val="center"/>
                </w:tcPr>
                <w:p w14:paraId="19E56009">
                  <w:pPr>
                    <w:topLinePunct/>
                    <w:snapToGrid w:val="0"/>
                    <w:jc w:val="center"/>
                    <w:rPr>
                      <w:color w:val="auto"/>
                      <w:sz w:val="20"/>
                      <w:szCs w:val="20"/>
                      <w:highlight w:val="none"/>
                    </w:rPr>
                  </w:pPr>
                </w:p>
              </w:tc>
              <w:tc>
                <w:tcPr>
                  <w:tcW w:w="341" w:type="dxa"/>
                  <w:vMerge w:val="continue"/>
                  <w:shd w:val="clear" w:color="auto" w:fill="auto"/>
                  <w:vAlign w:val="center"/>
                </w:tcPr>
                <w:p w14:paraId="35FF2A51">
                  <w:pPr>
                    <w:topLinePunct/>
                    <w:snapToGrid w:val="0"/>
                    <w:jc w:val="center"/>
                    <w:rPr>
                      <w:color w:val="auto"/>
                      <w:sz w:val="20"/>
                      <w:szCs w:val="20"/>
                      <w:highlight w:val="none"/>
                    </w:rPr>
                  </w:pPr>
                </w:p>
              </w:tc>
              <w:tc>
                <w:tcPr>
                  <w:tcW w:w="414" w:type="dxa"/>
                  <w:vMerge w:val="continue"/>
                  <w:shd w:val="clear" w:color="auto" w:fill="auto"/>
                  <w:vAlign w:val="center"/>
                </w:tcPr>
                <w:p w14:paraId="66402E68">
                  <w:pPr>
                    <w:topLinePunct/>
                    <w:snapToGrid w:val="0"/>
                    <w:jc w:val="center"/>
                    <w:rPr>
                      <w:color w:val="auto"/>
                      <w:sz w:val="20"/>
                      <w:szCs w:val="20"/>
                      <w:highlight w:val="none"/>
                    </w:rPr>
                  </w:pPr>
                </w:p>
              </w:tc>
              <w:tc>
                <w:tcPr>
                  <w:tcW w:w="713" w:type="dxa"/>
                  <w:shd w:val="clear" w:color="auto" w:fill="auto"/>
                  <w:vAlign w:val="center"/>
                </w:tcPr>
                <w:p w14:paraId="3B206282">
                  <w:pPr>
                    <w:topLinePunct/>
                    <w:snapToGrid w:val="0"/>
                    <w:jc w:val="center"/>
                    <w:rPr>
                      <w:color w:val="auto"/>
                      <w:sz w:val="20"/>
                      <w:szCs w:val="20"/>
                      <w:highlight w:val="none"/>
                    </w:rPr>
                  </w:pPr>
                  <w:r>
                    <w:rPr>
                      <w:rFonts w:hint="eastAsia"/>
                      <w:color w:val="auto"/>
                      <w:sz w:val="20"/>
                      <w:szCs w:val="20"/>
                      <w:highlight w:val="none"/>
                    </w:rPr>
                    <w:t>间断</w:t>
                  </w:r>
                </w:p>
              </w:tc>
              <w:tc>
                <w:tcPr>
                  <w:tcW w:w="672" w:type="dxa"/>
                  <w:shd w:val="clear" w:color="auto" w:fill="auto"/>
                  <w:vAlign w:val="center"/>
                </w:tcPr>
                <w:p w14:paraId="06F300F4">
                  <w:pPr>
                    <w:topLinePunct/>
                    <w:snapToGrid w:val="0"/>
                    <w:jc w:val="center"/>
                    <w:rPr>
                      <w:color w:val="auto"/>
                      <w:sz w:val="20"/>
                      <w:szCs w:val="20"/>
                      <w:highlight w:val="none"/>
                    </w:rPr>
                  </w:pPr>
                  <w:r>
                    <w:rPr>
                      <w:color w:val="auto"/>
                      <w:sz w:val="20"/>
                      <w:szCs w:val="20"/>
                      <w:highlight w:val="none"/>
                    </w:rPr>
                    <w:t>T/In</w:t>
                  </w:r>
                </w:p>
              </w:tc>
              <w:tc>
                <w:tcPr>
                  <w:tcW w:w="478" w:type="dxa"/>
                  <w:vMerge w:val="continue"/>
                  <w:vAlign w:val="center"/>
                </w:tcPr>
                <w:p w14:paraId="628687AD">
                  <w:pPr>
                    <w:topLinePunct/>
                    <w:snapToGrid w:val="0"/>
                    <w:jc w:val="center"/>
                    <w:rPr>
                      <w:color w:val="auto"/>
                      <w:sz w:val="20"/>
                      <w:szCs w:val="20"/>
                      <w:highlight w:val="none"/>
                    </w:rPr>
                  </w:pPr>
                </w:p>
              </w:tc>
            </w:tr>
            <w:tr w14:paraId="2E53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dxa"/>
                  <w:shd w:val="clear" w:color="auto" w:fill="auto"/>
                  <w:vAlign w:val="center"/>
                </w:tcPr>
                <w:p w14:paraId="15522B9D">
                  <w:pPr>
                    <w:topLinePunct/>
                    <w:snapToGrid w:val="0"/>
                    <w:jc w:val="center"/>
                    <w:rPr>
                      <w:rFonts w:hint="eastAsia" w:ascii="Times New Roman" w:hAnsi="Times New Roman" w:eastAsia="宋体" w:cs="Times New Roman"/>
                      <w:color w:val="auto"/>
                      <w:kern w:val="2"/>
                      <w:sz w:val="20"/>
                      <w:szCs w:val="20"/>
                      <w:highlight w:val="none"/>
                      <w:lang w:val="en-US" w:eastAsia="zh-CN" w:bidi="ar-SA"/>
                    </w:rPr>
                  </w:pPr>
                  <w:r>
                    <w:rPr>
                      <w:rFonts w:hint="eastAsia"/>
                      <w:color w:val="auto"/>
                      <w:sz w:val="20"/>
                      <w:szCs w:val="20"/>
                      <w:highlight w:val="none"/>
                    </w:rPr>
                    <w:t>3</w:t>
                  </w:r>
                </w:p>
              </w:tc>
              <w:tc>
                <w:tcPr>
                  <w:tcW w:w="460" w:type="dxa"/>
                  <w:vMerge w:val="continue"/>
                  <w:vAlign w:val="center"/>
                </w:tcPr>
                <w:p w14:paraId="37C9723E">
                  <w:pPr>
                    <w:topLinePunct/>
                    <w:snapToGrid w:val="0"/>
                    <w:jc w:val="center"/>
                    <w:rPr>
                      <w:color w:val="auto"/>
                      <w:sz w:val="20"/>
                      <w:szCs w:val="20"/>
                      <w:highlight w:val="none"/>
                    </w:rPr>
                  </w:pPr>
                </w:p>
              </w:tc>
              <w:tc>
                <w:tcPr>
                  <w:tcW w:w="901" w:type="dxa"/>
                  <w:vAlign w:val="center"/>
                </w:tcPr>
                <w:p w14:paraId="00CBCF04">
                  <w:pPr>
                    <w:topLinePunct/>
                    <w:snapToGrid w:val="0"/>
                    <w:jc w:val="center"/>
                    <w:rPr>
                      <w:rFonts w:hint="eastAsia" w:eastAsia="宋体"/>
                      <w:color w:val="auto"/>
                      <w:sz w:val="20"/>
                      <w:szCs w:val="20"/>
                      <w:highlight w:val="none"/>
                      <w:lang w:eastAsia="zh-CN"/>
                    </w:rPr>
                  </w:pPr>
                  <w:r>
                    <w:rPr>
                      <w:rFonts w:hint="eastAsia"/>
                      <w:color w:val="auto"/>
                      <w:sz w:val="20"/>
                      <w:szCs w:val="20"/>
                      <w:highlight w:val="none"/>
                      <w:lang w:eastAsia="zh-CN"/>
                    </w:rPr>
                    <w:t>含油废液</w:t>
                  </w:r>
                </w:p>
              </w:tc>
              <w:tc>
                <w:tcPr>
                  <w:tcW w:w="771" w:type="dxa"/>
                  <w:vAlign w:val="center"/>
                </w:tcPr>
                <w:p w14:paraId="493A10CA">
                  <w:pPr>
                    <w:topLinePunct/>
                    <w:snapToGrid w:val="0"/>
                    <w:jc w:val="center"/>
                    <w:rPr>
                      <w:rFonts w:hint="eastAsia"/>
                      <w:color w:val="auto"/>
                      <w:sz w:val="20"/>
                      <w:szCs w:val="20"/>
                      <w:highlight w:val="none"/>
                    </w:rPr>
                  </w:pPr>
                  <w:r>
                    <w:rPr>
                      <w:rFonts w:hint="eastAsia"/>
                      <w:color w:val="auto"/>
                      <w:sz w:val="20"/>
                      <w:szCs w:val="20"/>
                      <w:highlight w:val="none"/>
                    </w:rPr>
                    <w:t>HW08</w:t>
                  </w:r>
                </w:p>
              </w:tc>
              <w:tc>
                <w:tcPr>
                  <w:tcW w:w="1214" w:type="dxa"/>
                  <w:vAlign w:val="center"/>
                </w:tcPr>
                <w:p w14:paraId="12F65D23">
                  <w:pPr>
                    <w:topLinePunct/>
                    <w:snapToGrid w:val="0"/>
                    <w:jc w:val="center"/>
                    <w:rPr>
                      <w:rFonts w:hint="eastAsia"/>
                      <w:color w:val="auto"/>
                      <w:sz w:val="20"/>
                      <w:szCs w:val="20"/>
                      <w:highlight w:val="none"/>
                    </w:rPr>
                  </w:pPr>
                  <w:r>
                    <w:rPr>
                      <w:rFonts w:hint="eastAsia"/>
                      <w:color w:val="auto"/>
                      <w:sz w:val="20"/>
                      <w:szCs w:val="20"/>
                      <w:highlight w:val="none"/>
                    </w:rPr>
                    <w:t>900-007-09</w:t>
                  </w:r>
                </w:p>
              </w:tc>
              <w:tc>
                <w:tcPr>
                  <w:tcW w:w="579" w:type="dxa"/>
                  <w:vAlign w:val="center"/>
                </w:tcPr>
                <w:p w14:paraId="4FA7E52F">
                  <w:pPr>
                    <w:topLinePunct/>
                    <w:snapToGrid w:val="0"/>
                    <w:jc w:val="center"/>
                    <w:rPr>
                      <w:rFonts w:hint="default" w:eastAsia="宋体"/>
                      <w:color w:val="auto"/>
                      <w:sz w:val="20"/>
                      <w:szCs w:val="20"/>
                      <w:highlight w:val="none"/>
                      <w:lang w:val="en-US" w:eastAsia="zh-CN"/>
                    </w:rPr>
                  </w:pPr>
                  <w:r>
                    <w:rPr>
                      <w:rFonts w:hint="eastAsia"/>
                      <w:color w:val="auto"/>
                      <w:sz w:val="20"/>
                      <w:szCs w:val="20"/>
                      <w:highlight w:val="none"/>
                      <w:lang w:val="en-US" w:eastAsia="zh-CN"/>
                    </w:rPr>
                    <w:t>0.75</w:t>
                  </w:r>
                </w:p>
              </w:tc>
              <w:tc>
                <w:tcPr>
                  <w:tcW w:w="750" w:type="dxa"/>
                  <w:vMerge w:val="continue"/>
                  <w:vAlign w:val="center"/>
                </w:tcPr>
                <w:p w14:paraId="410BC1B4">
                  <w:pPr>
                    <w:topLinePunct/>
                    <w:snapToGrid w:val="0"/>
                    <w:jc w:val="center"/>
                    <w:rPr>
                      <w:color w:val="auto"/>
                      <w:sz w:val="20"/>
                      <w:szCs w:val="20"/>
                      <w:highlight w:val="none"/>
                    </w:rPr>
                  </w:pPr>
                </w:p>
              </w:tc>
              <w:tc>
                <w:tcPr>
                  <w:tcW w:w="341" w:type="dxa"/>
                  <w:vMerge w:val="continue"/>
                  <w:shd w:val="clear" w:color="auto" w:fill="auto"/>
                  <w:vAlign w:val="center"/>
                </w:tcPr>
                <w:p w14:paraId="4E60C75B">
                  <w:pPr>
                    <w:topLinePunct/>
                    <w:snapToGrid w:val="0"/>
                    <w:jc w:val="center"/>
                    <w:rPr>
                      <w:color w:val="auto"/>
                      <w:sz w:val="20"/>
                      <w:szCs w:val="20"/>
                      <w:highlight w:val="none"/>
                    </w:rPr>
                  </w:pPr>
                </w:p>
              </w:tc>
              <w:tc>
                <w:tcPr>
                  <w:tcW w:w="414" w:type="dxa"/>
                  <w:vMerge w:val="continue"/>
                  <w:shd w:val="clear" w:color="auto" w:fill="auto"/>
                  <w:vAlign w:val="center"/>
                </w:tcPr>
                <w:p w14:paraId="22BEE7A9">
                  <w:pPr>
                    <w:topLinePunct/>
                    <w:snapToGrid w:val="0"/>
                    <w:jc w:val="center"/>
                    <w:rPr>
                      <w:color w:val="auto"/>
                      <w:sz w:val="20"/>
                      <w:szCs w:val="20"/>
                      <w:highlight w:val="none"/>
                    </w:rPr>
                  </w:pPr>
                </w:p>
              </w:tc>
              <w:tc>
                <w:tcPr>
                  <w:tcW w:w="713" w:type="dxa"/>
                  <w:shd w:val="clear" w:color="auto" w:fill="auto"/>
                  <w:vAlign w:val="center"/>
                </w:tcPr>
                <w:p w14:paraId="2286F556">
                  <w:pPr>
                    <w:topLinePunct/>
                    <w:snapToGrid w:val="0"/>
                    <w:jc w:val="center"/>
                    <w:rPr>
                      <w:rFonts w:hint="eastAsia" w:ascii="Times New Roman" w:hAnsi="Times New Roman" w:eastAsia="宋体" w:cs="Times New Roman"/>
                      <w:color w:val="auto"/>
                      <w:kern w:val="2"/>
                      <w:sz w:val="20"/>
                      <w:szCs w:val="20"/>
                      <w:highlight w:val="none"/>
                      <w:lang w:val="en-US" w:eastAsia="zh-CN" w:bidi="ar-SA"/>
                    </w:rPr>
                  </w:pPr>
                  <w:r>
                    <w:rPr>
                      <w:rFonts w:hint="eastAsia"/>
                      <w:color w:val="auto"/>
                      <w:sz w:val="20"/>
                      <w:szCs w:val="20"/>
                      <w:highlight w:val="none"/>
                    </w:rPr>
                    <w:t>间断</w:t>
                  </w:r>
                </w:p>
              </w:tc>
              <w:tc>
                <w:tcPr>
                  <w:tcW w:w="672" w:type="dxa"/>
                  <w:shd w:val="clear" w:color="auto" w:fill="auto"/>
                  <w:vAlign w:val="center"/>
                </w:tcPr>
                <w:p w14:paraId="32EE99B9">
                  <w:pPr>
                    <w:topLinePunct/>
                    <w:snapToGrid w:val="0"/>
                    <w:jc w:val="center"/>
                    <w:rPr>
                      <w:rFonts w:ascii="Times New Roman" w:hAnsi="Times New Roman" w:eastAsia="宋体" w:cs="Times New Roman"/>
                      <w:color w:val="auto"/>
                      <w:kern w:val="2"/>
                      <w:sz w:val="20"/>
                      <w:szCs w:val="20"/>
                      <w:highlight w:val="none"/>
                      <w:lang w:val="en-US" w:eastAsia="zh-CN" w:bidi="ar-SA"/>
                    </w:rPr>
                  </w:pPr>
                  <w:r>
                    <w:rPr>
                      <w:color w:val="auto"/>
                      <w:sz w:val="20"/>
                      <w:szCs w:val="20"/>
                      <w:highlight w:val="none"/>
                    </w:rPr>
                    <w:t>T/In</w:t>
                  </w:r>
                </w:p>
              </w:tc>
              <w:tc>
                <w:tcPr>
                  <w:tcW w:w="478" w:type="dxa"/>
                  <w:vMerge w:val="continue"/>
                  <w:vAlign w:val="center"/>
                </w:tcPr>
                <w:p w14:paraId="40884894">
                  <w:pPr>
                    <w:topLinePunct/>
                    <w:snapToGrid w:val="0"/>
                    <w:jc w:val="center"/>
                    <w:rPr>
                      <w:color w:val="auto"/>
                      <w:sz w:val="20"/>
                      <w:szCs w:val="20"/>
                      <w:highlight w:val="none"/>
                    </w:rPr>
                  </w:pPr>
                </w:p>
              </w:tc>
            </w:tr>
            <w:tr w14:paraId="6D63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dxa"/>
                  <w:shd w:val="clear" w:color="auto" w:fill="auto"/>
                  <w:vAlign w:val="center"/>
                </w:tcPr>
                <w:p w14:paraId="1233F85C">
                  <w:pPr>
                    <w:topLinePunct/>
                    <w:snapToGrid w:val="0"/>
                    <w:jc w:val="center"/>
                    <w:rPr>
                      <w:rFonts w:ascii="Times New Roman" w:hAnsi="Times New Roman" w:eastAsia="宋体" w:cs="Times New Roman"/>
                      <w:color w:val="auto"/>
                      <w:kern w:val="2"/>
                      <w:sz w:val="20"/>
                      <w:szCs w:val="20"/>
                      <w:highlight w:val="none"/>
                      <w:lang w:val="en-US" w:eastAsia="zh-CN" w:bidi="ar-SA"/>
                    </w:rPr>
                  </w:pPr>
                  <w:r>
                    <w:rPr>
                      <w:rFonts w:hint="eastAsia"/>
                      <w:color w:val="auto"/>
                      <w:sz w:val="20"/>
                      <w:szCs w:val="20"/>
                      <w:highlight w:val="none"/>
                    </w:rPr>
                    <w:t>4</w:t>
                  </w:r>
                </w:p>
              </w:tc>
              <w:tc>
                <w:tcPr>
                  <w:tcW w:w="460" w:type="dxa"/>
                  <w:vMerge w:val="continue"/>
                  <w:vAlign w:val="center"/>
                </w:tcPr>
                <w:p w14:paraId="67D05CAE">
                  <w:pPr>
                    <w:topLinePunct/>
                    <w:snapToGrid w:val="0"/>
                    <w:jc w:val="center"/>
                    <w:rPr>
                      <w:color w:val="auto"/>
                      <w:sz w:val="20"/>
                      <w:szCs w:val="20"/>
                      <w:highlight w:val="none"/>
                    </w:rPr>
                  </w:pPr>
                </w:p>
              </w:tc>
              <w:tc>
                <w:tcPr>
                  <w:tcW w:w="901" w:type="dxa"/>
                  <w:vAlign w:val="center"/>
                </w:tcPr>
                <w:p w14:paraId="132B3CD1">
                  <w:pPr>
                    <w:topLinePunct/>
                    <w:snapToGrid w:val="0"/>
                    <w:jc w:val="center"/>
                    <w:rPr>
                      <w:color w:val="auto"/>
                      <w:sz w:val="20"/>
                      <w:szCs w:val="20"/>
                      <w:highlight w:val="none"/>
                    </w:rPr>
                  </w:pPr>
                  <w:r>
                    <w:rPr>
                      <w:rFonts w:hint="eastAsia"/>
                      <w:color w:val="auto"/>
                      <w:sz w:val="20"/>
                      <w:szCs w:val="20"/>
                      <w:highlight w:val="none"/>
                    </w:rPr>
                    <w:t>废油桶</w:t>
                  </w:r>
                </w:p>
              </w:tc>
              <w:tc>
                <w:tcPr>
                  <w:tcW w:w="771" w:type="dxa"/>
                  <w:vAlign w:val="center"/>
                </w:tcPr>
                <w:p w14:paraId="2E9CDFCF">
                  <w:pPr>
                    <w:adjustRightInd w:val="0"/>
                    <w:snapToGrid w:val="0"/>
                    <w:spacing w:before="20" w:after="20" w:line="320" w:lineRule="exact"/>
                    <w:jc w:val="center"/>
                    <w:rPr>
                      <w:color w:val="auto"/>
                      <w:sz w:val="20"/>
                      <w:szCs w:val="20"/>
                      <w:highlight w:val="none"/>
                    </w:rPr>
                  </w:pPr>
                  <w:r>
                    <w:rPr>
                      <w:color w:val="auto"/>
                      <w:sz w:val="20"/>
                      <w:szCs w:val="20"/>
                      <w:highlight w:val="none"/>
                    </w:rPr>
                    <w:t>HW08</w:t>
                  </w:r>
                </w:p>
              </w:tc>
              <w:tc>
                <w:tcPr>
                  <w:tcW w:w="1214" w:type="dxa"/>
                  <w:vAlign w:val="center"/>
                </w:tcPr>
                <w:p w14:paraId="70C8B841">
                  <w:pPr>
                    <w:adjustRightInd w:val="0"/>
                    <w:snapToGrid w:val="0"/>
                    <w:spacing w:before="20" w:after="20" w:line="320" w:lineRule="exact"/>
                    <w:jc w:val="center"/>
                    <w:rPr>
                      <w:color w:val="auto"/>
                      <w:sz w:val="20"/>
                      <w:szCs w:val="20"/>
                      <w:highlight w:val="none"/>
                    </w:rPr>
                  </w:pPr>
                  <w:r>
                    <w:rPr>
                      <w:color w:val="auto"/>
                      <w:sz w:val="20"/>
                      <w:szCs w:val="20"/>
                      <w:highlight w:val="none"/>
                    </w:rPr>
                    <w:t>900-249-08</w:t>
                  </w:r>
                </w:p>
              </w:tc>
              <w:tc>
                <w:tcPr>
                  <w:tcW w:w="579" w:type="dxa"/>
                  <w:vAlign w:val="center"/>
                </w:tcPr>
                <w:p w14:paraId="615A6C3F">
                  <w:pPr>
                    <w:topLinePunct/>
                    <w:snapToGrid w:val="0"/>
                    <w:jc w:val="center"/>
                    <w:rPr>
                      <w:color w:val="auto"/>
                      <w:sz w:val="20"/>
                      <w:szCs w:val="20"/>
                      <w:highlight w:val="none"/>
                    </w:rPr>
                  </w:pPr>
                  <w:r>
                    <w:rPr>
                      <w:rFonts w:hint="eastAsia"/>
                      <w:color w:val="auto"/>
                      <w:sz w:val="20"/>
                      <w:szCs w:val="20"/>
                      <w:highlight w:val="none"/>
                    </w:rPr>
                    <w:t>0.2</w:t>
                  </w:r>
                </w:p>
              </w:tc>
              <w:tc>
                <w:tcPr>
                  <w:tcW w:w="750" w:type="dxa"/>
                  <w:vMerge w:val="continue"/>
                  <w:vAlign w:val="center"/>
                </w:tcPr>
                <w:p w14:paraId="7CBAC706">
                  <w:pPr>
                    <w:topLinePunct/>
                    <w:snapToGrid w:val="0"/>
                    <w:jc w:val="center"/>
                    <w:rPr>
                      <w:color w:val="auto"/>
                      <w:sz w:val="20"/>
                      <w:szCs w:val="20"/>
                      <w:highlight w:val="none"/>
                    </w:rPr>
                  </w:pPr>
                </w:p>
              </w:tc>
              <w:tc>
                <w:tcPr>
                  <w:tcW w:w="341" w:type="dxa"/>
                  <w:vMerge w:val="restart"/>
                  <w:vAlign w:val="center"/>
                </w:tcPr>
                <w:p w14:paraId="5ED88902">
                  <w:pPr>
                    <w:topLinePunct/>
                    <w:snapToGrid w:val="0"/>
                    <w:jc w:val="center"/>
                    <w:rPr>
                      <w:color w:val="auto"/>
                      <w:sz w:val="20"/>
                      <w:szCs w:val="20"/>
                      <w:highlight w:val="none"/>
                    </w:rPr>
                  </w:pPr>
                  <w:r>
                    <w:rPr>
                      <w:rFonts w:hint="eastAsia"/>
                      <w:color w:val="auto"/>
                      <w:sz w:val="20"/>
                      <w:szCs w:val="20"/>
                      <w:highlight w:val="none"/>
                    </w:rPr>
                    <w:t>固态</w:t>
                  </w:r>
                </w:p>
              </w:tc>
              <w:tc>
                <w:tcPr>
                  <w:tcW w:w="414" w:type="dxa"/>
                  <w:vMerge w:val="continue"/>
                  <w:vAlign w:val="center"/>
                </w:tcPr>
                <w:p w14:paraId="7D5E688F">
                  <w:pPr>
                    <w:topLinePunct/>
                    <w:snapToGrid w:val="0"/>
                    <w:jc w:val="center"/>
                    <w:rPr>
                      <w:color w:val="auto"/>
                      <w:sz w:val="20"/>
                      <w:szCs w:val="20"/>
                      <w:highlight w:val="none"/>
                    </w:rPr>
                  </w:pPr>
                </w:p>
              </w:tc>
              <w:tc>
                <w:tcPr>
                  <w:tcW w:w="713" w:type="dxa"/>
                  <w:vAlign w:val="center"/>
                </w:tcPr>
                <w:p w14:paraId="337CF15A">
                  <w:pPr>
                    <w:topLinePunct/>
                    <w:snapToGrid w:val="0"/>
                    <w:jc w:val="center"/>
                    <w:rPr>
                      <w:color w:val="auto"/>
                      <w:sz w:val="20"/>
                      <w:szCs w:val="20"/>
                      <w:highlight w:val="none"/>
                    </w:rPr>
                  </w:pPr>
                  <w:r>
                    <w:rPr>
                      <w:rFonts w:hint="eastAsia"/>
                      <w:color w:val="auto"/>
                      <w:sz w:val="20"/>
                      <w:szCs w:val="20"/>
                      <w:highlight w:val="none"/>
                    </w:rPr>
                    <w:t>间断</w:t>
                  </w:r>
                </w:p>
              </w:tc>
              <w:tc>
                <w:tcPr>
                  <w:tcW w:w="672" w:type="dxa"/>
                  <w:vAlign w:val="center"/>
                </w:tcPr>
                <w:p w14:paraId="65C4238D">
                  <w:pPr>
                    <w:topLinePunct/>
                    <w:snapToGrid w:val="0"/>
                    <w:jc w:val="center"/>
                    <w:rPr>
                      <w:color w:val="auto"/>
                      <w:sz w:val="20"/>
                      <w:szCs w:val="20"/>
                      <w:highlight w:val="none"/>
                    </w:rPr>
                  </w:pPr>
                  <w:r>
                    <w:rPr>
                      <w:color w:val="auto"/>
                      <w:sz w:val="20"/>
                      <w:szCs w:val="20"/>
                      <w:highlight w:val="none"/>
                    </w:rPr>
                    <w:t>T/In</w:t>
                  </w:r>
                </w:p>
              </w:tc>
              <w:tc>
                <w:tcPr>
                  <w:tcW w:w="478" w:type="dxa"/>
                  <w:vMerge w:val="continue"/>
                  <w:vAlign w:val="center"/>
                </w:tcPr>
                <w:p w14:paraId="13498C1D">
                  <w:pPr>
                    <w:topLinePunct/>
                    <w:snapToGrid w:val="0"/>
                    <w:jc w:val="center"/>
                    <w:rPr>
                      <w:color w:val="auto"/>
                      <w:sz w:val="20"/>
                      <w:szCs w:val="20"/>
                      <w:highlight w:val="none"/>
                    </w:rPr>
                  </w:pPr>
                </w:p>
              </w:tc>
            </w:tr>
            <w:tr w14:paraId="5D5A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dxa"/>
                  <w:shd w:val="clear" w:color="auto" w:fill="auto"/>
                  <w:vAlign w:val="center"/>
                </w:tcPr>
                <w:p w14:paraId="31E4E7C8">
                  <w:pPr>
                    <w:topLinePunct/>
                    <w:snapToGrid w:val="0"/>
                    <w:jc w:val="center"/>
                    <w:rPr>
                      <w:rFonts w:ascii="Times New Roman" w:hAnsi="Times New Roman" w:eastAsia="宋体" w:cs="Times New Roman"/>
                      <w:color w:val="auto"/>
                      <w:kern w:val="2"/>
                      <w:sz w:val="20"/>
                      <w:szCs w:val="20"/>
                      <w:highlight w:val="none"/>
                      <w:lang w:val="en-US" w:eastAsia="zh-CN" w:bidi="ar-SA"/>
                    </w:rPr>
                  </w:pPr>
                  <w:r>
                    <w:rPr>
                      <w:rFonts w:hint="eastAsia"/>
                      <w:color w:val="auto"/>
                      <w:sz w:val="20"/>
                      <w:szCs w:val="20"/>
                      <w:highlight w:val="none"/>
                    </w:rPr>
                    <w:t>5</w:t>
                  </w:r>
                </w:p>
              </w:tc>
              <w:tc>
                <w:tcPr>
                  <w:tcW w:w="460" w:type="dxa"/>
                  <w:vMerge w:val="continue"/>
                  <w:vAlign w:val="center"/>
                </w:tcPr>
                <w:p w14:paraId="5611DD65">
                  <w:pPr>
                    <w:topLinePunct/>
                    <w:snapToGrid w:val="0"/>
                    <w:jc w:val="center"/>
                    <w:rPr>
                      <w:color w:val="auto"/>
                      <w:sz w:val="20"/>
                      <w:szCs w:val="20"/>
                      <w:highlight w:val="none"/>
                    </w:rPr>
                  </w:pPr>
                </w:p>
              </w:tc>
              <w:tc>
                <w:tcPr>
                  <w:tcW w:w="901" w:type="dxa"/>
                  <w:vAlign w:val="center"/>
                </w:tcPr>
                <w:p w14:paraId="4531FA2B">
                  <w:pPr>
                    <w:topLinePunct/>
                    <w:snapToGrid w:val="0"/>
                    <w:jc w:val="center"/>
                    <w:rPr>
                      <w:color w:val="auto"/>
                      <w:sz w:val="20"/>
                      <w:szCs w:val="20"/>
                      <w:highlight w:val="none"/>
                    </w:rPr>
                  </w:pPr>
                  <w:r>
                    <w:rPr>
                      <w:rFonts w:hint="eastAsia"/>
                      <w:color w:val="auto"/>
                      <w:sz w:val="20"/>
                      <w:szCs w:val="20"/>
                      <w:highlight w:val="none"/>
                    </w:rPr>
                    <w:t>含油棉纱和手套</w:t>
                  </w:r>
                </w:p>
              </w:tc>
              <w:tc>
                <w:tcPr>
                  <w:tcW w:w="771" w:type="dxa"/>
                  <w:vAlign w:val="center"/>
                </w:tcPr>
                <w:p w14:paraId="0D8E4D92">
                  <w:pPr>
                    <w:adjustRightInd w:val="0"/>
                    <w:snapToGrid w:val="0"/>
                    <w:spacing w:before="20" w:after="20" w:line="320" w:lineRule="exact"/>
                    <w:jc w:val="center"/>
                    <w:rPr>
                      <w:color w:val="auto"/>
                      <w:sz w:val="20"/>
                      <w:szCs w:val="20"/>
                      <w:highlight w:val="none"/>
                    </w:rPr>
                  </w:pPr>
                  <w:r>
                    <w:rPr>
                      <w:color w:val="auto"/>
                      <w:sz w:val="20"/>
                      <w:szCs w:val="20"/>
                      <w:highlight w:val="none"/>
                    </w:rPr>
                    <w:t>HW</w:t>
                  </w:r>
                  <w:r>
                    <w:rPr>
                      <w:rFonts w:hint="eastAsia"/>
                      <w:color w:val="auto"/>
                      <w:sz w:val="20"/>
                      <w:szCs w:val="20"/>
                      <w:highlight w:val="none"/>
                    </w:rPr>
                    <w:t>4</w:t>
                  </w:r>
                  <w:r>
                    <w:rPr>
                      <w:color w:val="auto"/>
                      <w:sz w:val="20"/>
                      <w:szCs w:val="20"/>
                      <w:highlight w:val="none"/>
                    </w:rPr>
                    <w:t>9</w:t>
                  </w:r>
                </w:p>
              </w:tc>
              <w:tc>
                <w:tcPr>
                  <w:tcW w:w="1214" w:type="dxa"/>
                  <w:vAlign w:val="center"/>
                </w:tcPr>
                <w:p w14:paraId="6ED1BE78">
                  <w:pPr>
                    <w:adjustRightInd w:val="0"/>
                    <w:snapToGrid w:val="0"/>
                    <w:spacing w:before="20" w:after="20" w:line="320" w:lineRule="exact"/>
                    <w:jc w:val="center"/>
                    <w:rPr>
                      <w:color w:val="auto"/>
                      <w:sz w:val="20"/>
                      <w:szCs w:val="20"/>
                      <w:highlight w:val="none"/>
                    </w:rPr>
                  </w:pPr>
                  <w:r>
                    <w:rPr>
                      <w:color w:val="auto"/>
                      <w:sz w:val="20"/>
                      <w:szCs w:val="20"/>
                      <w:highlight w:val="none"/>
                    </w:rPr>
                    <w:t>900-041-49</w:t>
                  </w:r>
                </w:p>
              </w:tc>
              <w:tc>
                <w:tcPr>
                  <w:tcW w:w="579" w:type="dxa"/>
                  <w:vAlign w:val="center"/>
                </w:tcPr>
                <w:p w14:paraId="5CA217F7">
                  <w:pPr>
                    <w:topLinePunct/>
                    <w:snapToGrid w:val="0"/>
                    <w:jc w:val="center"/>
                    <w:rPr>
                      <w:color w:val="auto"/>
                      <w:sz w:val="20"/>
                      <w:szCs w:val="20"/>
                      <w:highlight w:val="none"/>
                    </w:rPr>
                  </w:pPr>
                  <w:r>
                    <w:rPr>
                      <w:rFonts w:hint="eastAsia"/>
                      <w:color w:val="auto"/>
                      <w:sz w:val="20"/>
                      <w:szCs w:val="20"/>
                      <w:highlight w:val="none"/>
                    </w:rPr>
                    <w:t>0.15</w:t>
                  </w:r>
                </w:p>
              </w:tc>
              <w:tc>
                <w:tcPr>
                  <w:tcW w:w="750" w:type="dxa"/>
                  <w:vMerge w:val="continue"/>
                  <w:vAlign w:val="center"/>
                </w:tcPr>
                <w:p w14:paraId="10CC64D8">
                  <w:pPr>
                    <w:topLinePunct/>
                    <w:snapToGrid w:val="0"/>
                    <w:jc w:val="center"/>
                    <w:rPr>
                      <w:color w:val="auto"/>
                      <w:sz w:val="20"/>
                      <w:szCs w:val="20"/>
                      <w:highlight w:val="none"/>
                    </w:rPr>
                  </w:pPr>
                </w:p>
              </w:tc>
              <w:tc>
                <w:tcPr>
                  <w:tcW w:w="341" w:type="dxa"/>
                  <w:vMerge w:val="continue"/>
                  <w:vAlign w:val="center"/>
                </w:tcPr>
                <w:p w14:paraId="65E84164">
                  <w:pPr>
                    <w:topLinePunct/>
                    <w:snapToGrid w:val="0"/>
                    <w:jc w:val="center"/>
                    <w:rPr>
                      <w:color w:val="auto"/>
                      <w:sz w:val="20"/>
                      <w:szCs w:val="20"/>
                      <w:highlight w:val="none"/>
                    </w:rPr>
                  </w:pPr>
                </w:p>
              </w:tc>
              <w:tc>
                <w:tcPr>
                  <w:tcW w:w="414" w:type="dxa"/>
                  <w:vMerge w:val="continue"/>
                  <w:vAlign w:val="center"/>
                </w:tcPr>
                <w:p w14:paraId="7902134C">
                  <w:pPr>
                    <w:topLinePunct/>
                    <w:snapToGrid w:val="0"/>
                    <w:jc w:val="center"/>
                    <w:rPr>
                      <w:color w:val="auto"/>
                      <w:sz w:val="20"/>
                      <w:szCs w:val="20"/>
                      <w:highlight w:val="none"/>
                    </w:rPr>
                  </w:pPr>
                </w:p>
              </w:tc>
              <w:tc>
                <w:tcPr>
                  <w:tcW w:w="713" w:type="dxa"/>
                  <w:vAlign w:val="center"/>
                </w:tcPr>
                <w:p w14:paraId="2C56723A">
                  <w:pPr>
                    <w:topLinePunct/>
                    <w:snapToGrid w:val="0"/>
                    <w:jc w:val="center"/>
                    <w:rPr>
                      <w:color w:val="auto"/>
                      <w:sz w:val="20"/>
                      <w:szCs w:val="20"/>
                      <w:highlight w:val="none"/>
                    </w:rPr>
                  </w:pPr>
                  <w:r>
                    <w:rPr>
                      <w:rFonts w:hint="eastAsia"/>
                      <w:color w:val="auto"/>
                      <w:sz w:val="20"/>
                      <w:szCs w:val="20"/>
                      <w:highlight w:val="none"/>
                    </w:rPr>
                    <w:t>间断</w:t>
                  </w:r>
                </w:p>
              </w:tc>
              <w:tc>
                <w:tcPr>
                  <w:tcW w:w="672" w:type="dxa"/>
                  <w:vAlign w:val="center"/>
                </w:tcPr>
                <w:p w14:paraId="3071B874">
                  <w:pPr>
                    <w:topLinePunct/>
                    <w:snapToGrid w:val="0"/>
                    <w:jc w:val="center"/>
                    <w:rPr>
                      <w:color w:val="auto"/>
                      <w:sz w:val="20"/>
                      <w:szCs w:val="20"/>
                      <w:highlight w:val="none"/>
                    </w:rPr>
                  </w:pPr>
                  <w:r>
                    <w:rPr>
                      <w:color w:val="auto"/>
                      <w:sz w:val="20"/>
                      <w:szCs w:val="20"/>
                      <w:highlight w:val="none"/>
                    </w:rPr>
                    <w:t>T/In</w:t>
                  </w:r>
                </w:p>
              </w:tc>
              <w:tc>
                <w:tcPr>
                  <w:tcW w:w="478" w:type="dxa"/>
                  <w:vMerge w:val="continue"/>
                  <w:vAlign w:val="center"/>
                </w:tcPr>
                <w:p w14:paraId="34815D2E">
                  <w:pPr>
                    <w:topLinePunct/>
                    <w:snapToGrid w:val="0"/>
                    <w:jc w:val="center"/>
                    <w:rPr>
                      <w:color w:val="auto"/>
                      <w:sz w:val="20"/>
                      <w:szCs w:val="20"/>
                      <w:highlight w:val="none"/>
                    </w:rPr>
                  </w:pPr>
                </w:p>
              </w:tc>
            </w:tr>
            <w:tr w14:paraId="3D0C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05" w:type="dxa"/>
                  <w:shd w:val="clear" w:color="auto" w:fill="auto"/>
                  <w:vAlign w:val="center"/>
                </w:tcPr>
                <w:p w14:paraId="0B27BC1A">
                  <w:pPr>
                    <w:topLinePunct/>
                    <w:snapToGrid w:val="0"/>
                    <w:jc w:val="center"/>
                    <w:rPr>
                      <w:rFonts w:ascii="Times New Roman" w:hAnsi="Times New Roman" w:eastAsia="宋体" w:cs="Times New Roman"/>
                      <w:color w:val="auto"/>
                      <w:kern w:val="2"/>
                      <w:sz w:val="20"/>
                      <w:szCs w:val="20"/>
                      <w:highlight w:val="none"/>
                      <w:lang w:val="en-US" w:eastAsia="zh-CN" w:bidi="ar-SA"/>
                    </w:rPr>
                  </w:pPr>
                  <w:r>
                    <w:rPr>
                      <w:rFonts w:hint="eastAsia"/>
                      <w:color w:val="auto"/>
                      <w:sz w:val="20"/>
                      <w:szCs w:val="20"/>
                      <w:highlight w:val="none"/>
                    </w:rPr>
                    <w:t>6</w:t>
                  </w:r>
                </w:p>
              </w:tc>
              <w:tc>
                <w:tcPr>
                  <w:tcW w:w="460" w:type="dxa"/>
                  <w:vMerge w:val="continue"/>
                  <w:vAlign w:val="center"/>
                </w:tcPr>
                <w:p w14:paraId="7B492079">
                  <w:pPr>
                    <w:topLinePunct/>
                    <w:snapToGrid w:val="0"/>
                    <w:jc w:val="center"/>
                    <w:rPr>
                      <w:color w:val="auto"/>
                      <w:sz w:val="20"/>
                      <w:szCs w:val="20"/>
                      <w:highlight w:val="none"/>
                    </w:rPr>
                  </w:pPr>
                </w:p>
              </w:tc>
              <w:tc>
                <w:tcPr>
                  <w:tcW w:w="901" w:type="dxa"/>
                  <w:vAlign w:val="center"/>
                </w:tcPr>
                <w:p w14:paraId="0FEC9340">
                  <w:pPr>
                    <w:topLinePunct/>
                    <w:snapToGrid w:val="0"/>
                    <w:jc w:val="center"/>
                    <w:rPr>
                      <w:color w:val="auto"/>
                      <w:sz w:val="20"/>
                      <w:szCs w:val="20"/>
                      <w:highlight w:val="none"/>
                    </w:rPr>
                  </w:pPr>
                  <w:r>
                    <w:rPr>
                      <w:rFonts w:hint="eastAsia"/>
                      <w:color w:val="auto"/>
                      <w:sz w:val="20"/>
                      <w:szCs w:val="20"/>
                      <w:highlight w:val="none"/>
                    </w:rPr>
                    <w:t>废含油抹布</w:t>
                  </w:r>
                </w:p>
              </w:tc>
              <w:tc>
                <w:tcPr>
                  <w:tcW w:w="771" w:type="dxa"/>
                  <w:vAlign w:val="center"/>
                </w:tcPr>
                <w:p w14:paraId="0B9FB360">
                  <w:pPr>
                    <w:adjustRightInd w:val="0"/>
                    <w:snapToGrid w:val="0"/>
                    <w:spacing w:before="20" w:after="20" w:line="320" w:lineRule="exact"/>
                    <w:jc w:val="center"/>
                    <w:rPr>
                      <w:color w:val="auto"/>
                      <w:sz w:val="20"/>
                      <w:szCs w:val="20"/>
                      <w:highlight w:val="none"/>
                    </w:rPr>
                  </w:pPr>
                  <w:r>
                    <w:rPr>
                      <w:rFonts w:hint="eastAsia"/>
                      <w:color w:val="auto"/>
                      <w:sz w:val="20"/>
                      <w:szCs w:val="20"/>
                      <w:highlight w:val="none"/>
                    </w:rPr>
                    <w:t>HW49</w:t>
                  </w:r>
                </w:p>
              </w:tc>
              <w:tc>
                <w:tcPr>
                  <w:tcW w:w="1214" w:type="dxa"/>
                  <w:vAlign w:val="center"/>
                </w:tcPr>
                <w:p w14:paraId="1197EB56">
                  <w:pPr>
                    <w:adjustRightInd w:val="0"/>
                    <w:snapToGrid w:val="0"/>
                    <w:spacing w:before="20" w:after="20" w:line="320" w:lineRule="exact"/>
                    <w:jc w:val="center"/>
                    <w:rPr>
                      <w:color w:val="auto"/>
                      <w:sz w:val="20"/>
                      <w:szCs w:val="20"/>
                      <w:highlight w:val="none"/>
                    </w:rPr>
                  </w:pPr>
                  <w:r>
                    <w:rPr>
                      <w:rFonts w:hint="eastAsia"/>
                      <w:color w:val="auto"/>
                      <w:sz w:val="20"/>
                      <w:szCs w:val="20"/>
                      <w:highlight w:val="none"/>
                    </w:rPr>
                    <w:t>900-041-49</w:t>
                  </w:r>
                </w:p>
              </w:tc>
              <w:tc>
                <w:tcPr>
                  <w:tcW w:w="579" w:type="dxa"/>
                  <w:vAlign w:val="center"/>
                </w:tcPr>
                <w:p w14:paraId="633097EC">
                  <w:pPr>
                    <w:topLinePunct/>
                    <w:snapToGrid w:val="0"/>
                    <w:jc w:val="center"/>
                    <w:rPr>
                      <w:rFonts w:hint="default" w:eastAsia="宋体"/>
                      <w:color w:val="auto"/>
                      <w:sz w:val="20"/>
                      <w:szCs w:val="20"/>
                      <w:highlight w:val="none"/>
                      <w:lang w:val="en-US" w:eastAsia="zh-CN"/>
                    </w:rPr>
                  </w:pPr>
                  <w:r>
                    <w:rPr>
                      <w:rFonts w:hint="eastAsia"/>
                      <w:color w:val="auto"/>
                      <w:sz w:val="20"/>
                      <w:szCs w:val="20"/>
                      <w:highlight w:val="none"/>
                      <w:lang w:val="en-US" w:eastAsia="zh-CN"/>
                    </w:rPr>
                    <w:t>0.5</w:t>
                  </w:r>
                </w:p>
              </w:tc>
              <w:tc>
                <w:tcPr>
                  <w:tcW w:w="750" w:type="dxa"/>
                  <w:vMerge w:val="continue"/>
                  <w:vAlign w:val="center"/>
                </w:tcPr>
                <w:p w14:paraId="4AAE048F">
                  <w:pPr>
                    <w:topLinePunct/>
                    <w:snapToGrid w:val="0"/>
                    <w:jc w:val="center"/>
                    <w:rPr>
                      <w:color w:val="auto"/>
                      <w:sz w:val="20"/>
                      <w:szCs w:val="20"/>
                      <w:highlight w:val="none"/>
                    </w:rPr>
                  </w:pPr>
                </w:p>
              </w:tc>
              <w:tc>
                <w:tcPr>
                  <w:tcW w:w="341" w:type="dxa"/>
                  <w:vMerge w:val="continue"/>
                  <w:shd w:val="clear" w:color="auto" w:fill="auto"/>
                  <w:vAlign w:val="center"/>
                </w:tcPr>
                <w:p w14:paraId="3D37DB33">
                  <w:pPr>
                    <w:topLinePunct/>
                    <w:snapToGrid w:val="0"/>
                    <w:jc w:val="center"/>
                    <w:rPr>
                      <w:color w:val="auto"/>
                      <w:sz w:val="20"/>
                      <w:szCs w:val="20"/>
                      <w:highlight w:val="none"/>
                    </w:rPr>
                  </w:pPr>
                </w:p>
              </w:tc>
              <w:tc>
                <w:tcPr>
                  <w:tcW w:w="414" w:type="dxa"/>
                  <w:vMerge w:val="continue"/>
                  <w:shd w:val="clear" w:color="auto" w:fill="auto"/>
                  <w:vAlign w:val="center"/>
                </w:tcPr>
                <w:p w14:paraId="59A6356E">
                  <w:pPr>
                    <w:topLinePunct/>
                    <w:snapToGrid w:val="0"/>
                    <w:jc w:val="center"/>
                    <w:rPr>
                      <w:color w:val="auto"/>
                      <w:sz w:val="20"/>
                      <w:szCs w:val="20"/>
                      <w:highlight w:val="none"/>
                    </w:rPr>
                  </w:pPr>
                </w:p>
              </w:tc>
              <w:tc>
                <w:tcPr>
                  <w:tcW w:w="713" w:type="dxa"/>
                  <w:shd w:val="clear" w:color="auto" w:fill="auto"/>
                  <w:vAlign w:val="center"/>
                </w:tcPr>
                <w:p w14:paraId="07F11481">
                  <w:pPr>
                    <w:topLinePunct/>
                    <w:snapToGrid w:val="0"/>
                    <w:jc w:val="center"/>
                    <w:rPr>
                      <w:color w:val="auto"/>
                      <w:sz w:val="20"/>
                      <w:szCs w:val="20"/>
                      <w:highlight w:val="none"/>
                    </w:rPr>
                  </w:pPr>
                  <w:r>
                    <w:rPr>
                      <w:rFonts w:hint="eastAsia"/>
                      <w:color w:val="auto"/>
                      <w:sz w:val="20"/>
                      <w:szCs w:val="20"/>
                      <w:highlight w:val="none"/>
                    </w:rPr>
                    <w:t>间断</w:t>
                  </w:r>
                </w:p>
              </w:tc>
              <w:tc>
                <w:tcPr>
                  <w:tcW w:w="672" w:type="dxa"/>
                  <w:shd w:val="clear" w:color="auto" w:fill="auto"/>
                  <w:vAlign w:val="center"/>
                </w:tcPr>
                <w:p w14:paraId="15B14F54">
                  <w:pPr>
                    <w:topLinePunct/>
                    <w:snapToGrid w:val="0"/>
                    <w:jc w:val="center"/>
                    <w:rPr>
                      <w:color w:val="auto"/>
                      <w:sz w:val="20"/>
                      <w:szCs w:val="20"/>
                      <w:highlight w:val="none"/>
                    </w:rPr>
                  </w:pPr>
                  <w:r>
                    <w:rPr>
                      <w:color w:val="auto"/>
                      <w:sz w:val="20"/>
                      <w:szCs w:val="20"/>
                      <w:highlight w:val="none"/>
                    </w:rPr>
                    <w:t>T/In</w:t>
                  </w:r>
                </w:p>
              </w:tc>
              <w:tc>
                <w:tcPr>
                  <w:tcW w:w="478" w:type="dxa"/>
                  <w:vMerge w:val="continue"/>
                  <w:vAlign w:val="center"/>
                </w:tcPr>
                <w:p w14:paraId="57E869B7">
                  <w:pPr>
                    <w:topLinePunct/>
                    <w:snapToGrid w:val="0"/>
                    <w:jc w:val="center"/>
                    <w:rPr>
                      <w:color w:val="auto"/>
                      <w:sz w:val="20"/>
                      <w:szCs w:val="20"/>
                      <w:highlight w:val="none"/>
                    </w:rPr>
                  </w:pPr>
                </w:p>
              </w:tc>
            </w:tr>
            <w:tr w14:paraId="1C26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dxa"/>
                  <w:vAlign w:val="center"/>
                </w:tcPr>
                <w:p w14:paraId="12B0F395">
                  <w:pPr>
                    <w:topLinePunct/>
                    <w:snapToGrid w:val="0"/>
                    <w:jc w:val="center"/>
                    <w:rPr>
                      <w:rFonts w:hint="eastAsia" w:eastAsia="宋体"/>
                      <w:color w:val="auto"/>
                      <w:sz w:val="20"/>
                      <w:szCs w:val="20"/>
                      <w:highlight w:val="none"/>
                      <w:lang w:val="en-US" w:eastAsia="zh-CN"/>
                    </w:rPr>
                  </w:pPr>
                  <w:r>
                    <w:rPr>
                      <w:rFonts w:hint="eastAsia"/>
                      <w:color w:val="auto"/>
                      <w:sz w:val="20"/>
                      <w:szCs w:val="20"/>
                      <w:highlight w:val="none"/>
                      <w:lang w:val="en-US" w:eastAsia="zh-CN"/>
                    </w:rPr>
                    <w:t>7</w:t>
                  </w:r>
                </w:p>
              </w:tc>
              <w:tc>
                <w:tcPr>
                  <w:tcW w:w="460" w:type="dxa"/>
                  <w:vAlign w:val="center"/>
                </w:tcPr>
                <w:p w14:paraId="3E86BC28">
                  <w:pPr>
                    <w:topLinePunct/>
                    <w:snapToGrid w:val="0"/>
                    <w:jc w:val="center"/>
                    <w:rPr>
                      <w:color w:val="auto"/>
                      <w:sz w:val="20"/>
                      <w:szCs w:val="20"/>
                      <w:highlight w:val="none"/>
                    </w:rPr>
                  </w:pPr>
                  <w:r>
                    <w:rPr>
                      <w:rFonts w:hint="eastAsia"/>
                      <w:color w:val="auto"/>
                      <w:sz w:val="20"/>
                      <w:szCs w:val="20"/>
                      <w:highlight w:val="none"/>
                    </w:rPr>
                    <w:t>打胶</w:t>
                  </w:r>
                </w:p>
              </w:tc>
              <w:tc>
                <w:tcPr>
                  <w:tcW w:w="901" w:type="dxa"/>
                  <w:vAlign w:val="center"/>
                </w:tcPr>
                <w:p w14:paraId="36125099">
                  <w:pPr>
                    <w:topLinePunct/>
                    <w:snapToGrid w:val="0"/>
                    <w:jc w:val="center"/>
                    <w:rPr>
                      <w:color w:val="auto"/>
                      <w:sz w:val="20"/>
                      <w:szCs w:val="20"/>
                      <w:highlight w:val="none"/>
                    </w:rPr>
                  </w:pPr>
                  <w:r>
                    <w:rPr>
                      <w:rFonts w:hint="eastAsia"/>
                      <w:color w:val="auto"/>
                      <w:sz w:val="20"/>
                      <w:szCs w:val="20"/>
                      <w:highlight w:val="none"/>
                    </w:rPr>
                    <w:t>废胶瓶</w:t>
                  </w:r>
                </w:p>
              </w:tc>
              <w:tc>
                <w:tcPr>
                  <w:tcW w:w="771" w:type="dxa"/>
                  <w:vAlign w:val="center"/>
                </w:tcPr>
                <w:p w14:paraId="5B3A31D4">
                  <w:pPr>
                    <w:adjustRightInd w:val="0"/>
                    <w:snapToGrid w:val="0"/>
                    <w:spacing w:before="20" w:after="20" w:line="320" w:lineRule="exact"/>
                    <w:jc w:val="center"/>
                    <w:rPr>
                      <w:color w:val="auto"/>
                      <w:sz w:val="20"/>
                      <w:szCs w:val="20"/>
                      <w:highlight w:val="none"/>
                    </w:rPr>
                  </w:pPr>
                  <w:r>
                    <w:rPr>
                      <w:rFonts w:hint="eastAsia"/>
                      <w:color w:val="auto"/>
                      <w:sz w:val="20"/>
                      <w:szCs w:val="20"/>
                      <w:highlight w:val="none"/>
                    </w:rPr>
                    <w:t>HW49</w:t>
                  </w:r>
                </w:p>
              </w:tc>
              <w:tc>
                <w:tcPr>
                  <w:tcW w:w="1214" w:type="dxa"/>
                  <w:vAlign w:val="center"/>
                </w:tcPr>
                <w:p w14:paraId="4B0D1F87">
                  <w:pPr>
                    <w:adjustRightInd w:val="0"/>
                    <w:snapToGrid w:val="0"/>
                    <w:spacing w:before="20" w:after="20" w:line="320" w:lineRule="exact"/>
                    <w:jc w:val="center"/>
                    <w:rPr>
                      <w:color w:val="auto"/>
                      <w:sz w:val="20"/>
                      <w:szCs w:val="20"/>
                      <w:highlight w:val="none"/>
                    </w:rPr>
                  </w:pPr>
                  <w:r>
                    <w:rPr>
                      <w:rFonts w:hint="eastAsia"/>
                      <w:color w:val="auto"/>
                      <w:sz w:val="20"/>
                      <w:szCs w:val="20"/>
                      <w:highlight w:val="none"/>
                    </w:rPr>
                    <w:t>900-041-49</w:t>
                  </w:r>
                </w:p>
              </w:tc>
              <w:tc>
                <w:tcPr>
                  <w:tcW w:w="579" w:type="dxa"/>
                  <w:vAlign w:val="center"/>
                </w:tcPr>
                <w:p w14:paraId="795AED5C">
                  <w:pPr>
                    <w:topLinePunct/>
                    <w:snapToGrid w:val="0"/>
                    <w:jc w:val="center"/>
                    <w:rPr>
                      <w:color w:val="auto"/>
                      <w:sz w:val="20"/>
                      <w:szCs w:val="20"/>
                      <w:highlight w:val="none"/>
                    </w:rPr>
                  </w:pPr>
                  <w:r>
                    <w:rPr>
                      <w:rFonts w:hint="eastAsia"/>
                      <w:color w:val="auto"/>
                      <w:sz w:val="20"/>
                      <w:szCs w:val="20"/>
                      <w:highlight w:val="none"/>
                    </w:rPr>
                    <w:t>0.01</w:t>
                  </w:r>
                </w:p>
              </w:tc>
              <w:tc>
                <w:tcPr>
                  <w:tcW w:w="750" w:type="dxa"/>
                  <w:vAlign w:val="center"/>
                </w:tcPr>
                <w:p w14:paraId="359B89B5">
                  <w:pPr>
                    <w:topLinePunct/>
                    <w:snapToGrid w:val="0"/>
                    <w:jc w:val="center"/>
                    <w:rPr>
                      <w:color w:val="auto"/>
                      <w:sz w:val="20"/>
                      <w:szCs w:val="20"/>
                      <w:highlight w:val="none"/>
                    </w:rPr>
                  </w:pPr>
                  <w:bookmarkStart w:id="92" w:name="hmcheck_90cf6e3c2f594c20bfb227a1b51014f8"/>
                  <w:r>
                    <w:rPr>
                      <w:rFonts w:hint="eastAsia"/>
                      <w:color w:val="auto"/>
                      <w:sz w:val="20"/>
                      <w:szCs w:val="20"/>
                      <w:highlight w:val="none"/>
                      <w:shd w:val="clear" w:fill="FFAFAA"/>
                    </w:rPr>
                    <w:t>滚边</w:t>
                  </w:r>
                  <w:bookmarkEnd w:id="92"/>
                  <w:r>
                    <w:rPr>
                      <w:rFonts w:hint="eastAsia"/>
                      <w:color w:val="auto"/>
                      <w:sz w:val="20"/>
                      <w:szCs w:val="20"/>
                      <w:highlight w:val="none"/>
                    </w:rPr>
                    <w:t>打胶</w:t>
                  </w:r>
                </w:p>
              </w:tc>
              <w:tc>
                <w:tcPr>
                  <w:tcW w:w="341" w:type="dxa"/>
                  <w:vMerge w:val="continue"/>
                  <w:vAlign w:val="center"/>
                </w:tcPr>
                <w:p w14:paraId="06E7A53B">
                  <w:pPr>
                    <w:topLinePunct/>
                    <w:snapToGrid w:val="0"/>
                    <w:jc w:val="center"/>
                    <w:rPr>
                      <w:color w:val="auto"/>
                      <w:sz w:val="20"/>
                      <w:szCs w:val="20"/>
                      <w:highlight w:val="none"/>
                    </w:rPr>
                  </w:pPr>
                </w:p>
              </w:tc>
              <w:tc>
                <w:tcPr>
                  <w:tcW w:w="414" w:type="dxa"/>
                  <w:vAlign w:val="center"/>
                </w:tcPr>
                <w:p w14:paraId="59B3BC3C">
                  <w:pPr>
                    <w:topLinePunct/>
                    <w:snapToGrid w:val="0"/>
                    <w:jc w:val="center"/>
                    <w:rPr>
                      <w:color w:val="auto"/>
                      <w:sz w:val="20"/>
                      <w:szCs w:val="20"/>
                      <w:highlight w:val="none"/>
                    </w:rPr>
                  </w:pPr>
                  <w:r>
                    <w:rPr>
                      <w:rFonts w:hint="eastAsia"/>
                      <w:color w:val="auto"/>
                      <w:sz w:val="20"/>
                      <w:szCs w:val="20"/>
                      <w:highlight w:val="none"/>
                    </w:rPr>
                    <w:t>有机溶剂</w:t>
                  </w:r>
                </w:p>
              </w:tc>
              <w:tc>
                <w:tcPr>
                  <w:tcW w:w="713" w:type="dxa"/>
                  <w:shd w:val="clear" w:color="auto" w:fill="auto"/>
                  <w:vAlign w:val="center"/>
                </w:tcPr>
                <w:p w14:paraId="33B98AB6">
                  <w:pPr>
                    <w:topLinePunct/>
                    <w:snapToGrid w:val="0"/>
                    <w:jc w:val="center"/>
                    <w:rPr>
                      <w:color w:val="auto"/>
                      <w:sz w:val="20"/>
                      <w:szCs w:val="20"/>
                      <w:highlight w:val="none"/>
                    </w:rPr>
                  </w:pPr>
                  <w:r>
                    <w:rPr>
                      <w:rFonts w:hint="eastAsia"/>
                      <w:color w:val="auto"/>
                      <w:sz w:val="20"/>
                      <w:szCs w:val="20"/>
                      <w:highlight w:val="none"/>
                    </w:rPr>
                    <w:t>间断</w:t>
                  </w:r>
                </w:p>
              </w:tc>
              <w:tc>
                <w:tcPr>
                  <w:tcW w:w="672" w:type="dxa"/>
                  <w:shd w:val="clear" w:color="auto" w:fill="auto"/>
                  <w:vAlign w:val="center"/>
                </w:tcPr>
                <w:p w14:paraId="153A4E3B">
                  <w:pPr>
                    <w:topLinePunct/>
                    <w:snapToGrid w:val="0"/>
                    <w:jc w:val="center"/>
                    <w:rPr>
                      <w:color w:val="auto"/>
                      <w:sz w:val="20"/>
                      <w:szCs w:val="20"/>
                      <w:highlight w:val="none"/>
                    </w:rPr>
                  </w:pPr>
                  <w:r>
                    <w:rPr>
                      <w:color w:val="auto"/>
                      <w:sz w:val="20"/>
                      <w:szCs w:val="20"/>
                      <w:highlight w:val="none"/>
                    </w:rPr>
                    <w:t>T/In</w:t>
                  </w:r>
                </w:p>
              </w:tc>
              <w:tc>
                <w:tcPr>
                  <w:tcW w:w="478" w:type="dxa"/>
                  <w:vMerge w:val="continue"/>
                  <w:vAlign w:val="center"/>
                </w:tcPr>
                <w:p w14:paraId="45917831">
                  <w:pPr>
                    <w:topLinePunct/>
                    <w:snapToGrid w:val="0"/>
                    <w:jc w:val="center"/>
                    <w:rPr>
                      <w:color w:val="auto"/>
                      <w:sz w:val="20"/>
                      <w:szCs w:val="20"/>
                      <w:highlight w:val="none"/>
                    </w:rPr>
                  </w:pPr>
                </w:p>
              </w:tc>
            </w:tr>
          </w:tbl>
          <w:p w14:paraId="15E6ABE3">
            <w:pPr>
              <w:adjustRightInd w:val="0"/>
              <w:snapToGrid w:val="0"/>
              <w:jc w:val="center"/>
              <w:rPr>
                <w:b/>
                <w:bCs/>
                <w:color w:val="auto"/>
                <w:sz w:val="26"/>
                <w:szCs w:val="26"/>
                <w:highlight w:val="none"/>
              </w:rPr>
            </w:pPr>
          </w:p>
          <w:p w14:paraId="71947E42">
            <w:pPr>
              <w:autoSpaceDE w:val="0"/>
              <w:autoSpaceDN w:val="0"/>
              <w:adjustRightInd w:val="0"/>
              <w:ind w:firstLine="480" w:firstLineChars="200"/>
              <w:jc w:val="center"/>
              <w:textAlignment w:val="baseline"/>
              <w:rPr>
                <w:color w:val="auto"/>
                <w:kern w:val="44"/>
                <w:sz w:val="26"/>
                <w:szCs w:val="26"/>
                <w:highlight w:val="none"/>
                <w:lang w:bidi="ar"/>
              </w:rPr>
            </w:pPr>
            <w:r>
              <w:rPr>
                <w:color w:val="auto"/>
                <w:kern w:val="44"/>
                <w:sz w:val="24"/>
                <w:szCs w:val="26"/>
                <w:highlight w:val="none"/>
                <w:lang w:bidi="ar"/>
              </w:rPr>
              <w:t>表4.</w:t>
            </w:r>
            <w:r>
              <w:rPr>
                <w:rFonts w:hint="eastAsia"/>
                <w:color w:val="auto"/>
                <w:kern w:val="44"/>
                <w:sz w:val="24"/>
                <w:szCs w:val="26"/>
                <w:highlight w:val="none"/>
                <w:lang w:bidi="ar"/>
              </w:rPr>
              <w:t>2-19</w:t>
            </w:r>
            <w:r>
              <w:rPr>
                <w:color w:val="auto"/>
                <w:kern w:val="44"/>
                <w:sz w:val="24"/>
                <w:szCs w:val="26"/>
                <w:highlight w:val="none"/>
                <w:lang w:bidi="ar"/>
              </w:rPr>
              <w:t xml:space="preserve"> 项目运营期危险贮存场所基本情况表</w:t>
            </w:r>
          </w:p>
          <w:tbl>
            <w:tblPr>
              <w:tblStyle w:val="16"/>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
              <w:gridCol w:w="675"/>
              <w:gridCol w:w="789"/>
              <w:gridCol w:w="789"/>
              <w:gridCol w:w="1154"/>
              <w:gridCol w:w="1009"/>
              <w:gridCol w:w="545"/>
              <w:gridCol w:w="580"/>
              <w:gridCol w:w="443"/>
              <w:gridCol w:w="896"/>
              <w:gridCol w:w="737"/>
            </w:tblGrid>
            <w:tr w14:paraId="6CC8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 w:type="dxa"/>
                  <w:vAlign w:val="center"/>
                </w:tcPr>
                <w:p w14:paraId="15A98051">
                  <w:pPr>
                    <w:topLinePunct/>
                    <w:autoSpaceDE w:val="0"/>
                    <w:autoSpaceDN w:val="0"/>
                    <w:adjustRightInd w:val="0"/>
                    <w:snapToGrid w:val="0"/>
                    <w:jc w:val="left"/>
                    <w:textAlignment w:val="baseline"/>
                    <w:rPr>
                      <w:color w:val="auto"/>
                      <w:sz w:val="20"/>
                      <w:szCs w:val="20"/>
                      <w:highlight w:val="none"/>
                    </w:rPr>
                  </w:pPr>
                  <w:r>
                    <w:rPr>
                      <w:color w:val="auto"/>
                      <w:sz w:val="20"/>
                      <w:szCs w:val="20"/>
                      <w:highlight w:val="none"/>
                    </w:rPr>
                    <w:t>序号</w:t>
                  </w:r>
                </w:p>
              </w:tc>
              <w:tc>
                <w:tcPr>
                  <w:tcW w:w="675" w:type="dxa"/>
                  <w:vAlign w:val="center"/>
                </w:tcPr>
                <w:p w14:paraId="662385DF">
                  <w:pPr>
                    <w:topLinePunct/>
                    <w:autoSpaceDE w:val="0"/>
                    <w:autoSpaceDN w:val="0"/>
                    <w:adjustRightInd w:val="0"/>
                    <w:snapToGrid w:val="0"/>
                    <w:jc w:val="center"/>
                    <w:textAlignment w:val="baseline"/>
                    <w:rPr>
                      <w:color w:val="auto"/>
                      <w:sz w:val="20"/>
                      <w:szCs w:val="20"/>
                      <w:highlight w:val="none"/>
                    </w:rPr>
                  </w:pPr>
                  <w:r>
                    <w:rPr>
                      <w:color w:val="auto"/>
                      <w:sz w:val="20"/>
                      <w:szCs w:val="20"/>
                      <w:highlight w:val="none"/>
                    </w:rPr>
                    <w:t>贮存场所名称</w:t>
                  </w:r>
                </w:p>
              </w:tc>
              <w:tc>
                <w:tcPr>
                  <w:tcW w:w="789" w:type="dxa"/>
                  <w:vAlign w:val="center"/>
                </w:tcPr>
                <w:p w14:paraId="0EDD76D8">
                  <w:pPr>
                    <w:topLinePunct/>
                    <w:autoSpaceDE w:val="0"/>
                    <w:autoSpaceDN w:val="0"/>
                    <w:adjustRightInd w:val="0"/>
                    <w:snapToGrid w:val="0"/>
                    <w:jc w:val="center"/>
                    <w:textAlignment w:val="baseline"/>
                    <w:rPr>
                      <w:color w:val="auto"/>
                      <w:sz w:val="20"/>
                      <w:szCs w:val="20"/>
                      <w:highlight w:val="none"/>
                    </w:rPr>
                  </w:pPr>
                  <w:r>
                    <w:rPr>
                      <w:color w:val="auto"/>
                      <w:sz w:val="20"/>
                      <w:szCs w:val="20"/>
                      <w:highlight w:val="none"/>
                    </w:rPr>
                    <w:t>危险废物名称</w:t>
                  </w:r>
                </w:p>
              </w:tc>
              <w:tc>
                <w:tcPr>
                  <w:tcW w:w="789" w:type="dxa"/>
                  <w:vAlign w:val="center"/>
                </w:tcPr>
                <w:p w14:paraId="2EB97C0F">
                  <w:pPr>
                    <w:topLinePunct/>
                    <w:autoSpaceDE w:val="0"/>
                    <w:autoSpaceDN w:val="0"/>
                    <w:adjustRightInd w:val="0"/>
                    <w:snapToGrid w:val="0"/>
                    <w:jc w:val="center"/>
                    <w:textAlignment w:val="baseline"/>
                    <w:rPr>
                      <w:color w:val="auto"/>
                      <w:sz w:val="20"/>
                      <w:szCs w:val="20"/>
                      <w:highlight w:val="none"/>
                    </w:rPr>
                  </w:pPr>
                  <w:r>
                    <w:rPr>
                      <w:color w:val="auto"/>
                      <w:sz w:val="20"/>
                      <w:szCs w:val="20"/>
                      <w:highlight w:val="none"/>
                    </w:rPr>
                    <w:t>危险废物类别</w:t>
                  </w:r>
                </w:p>
              </w:tc>
              <w:tc>
                <w:tcPr>
                  <w:tcW w:w="1154" w:type="dxa"/>
                  <w:vAlign w:val="center"/>
                </w:tcPr>
                <w:p w14:paraId="3A90064C">
                  <w:pPr>
                    <w:topLinePunct/>
                    <w:autoSpaceDE w:val="0"/>
                    <w:autoSpaceDN w:val="0"/>
                    <w:adjustRightInd w:val="0"/>
                    <w:snapToGrid w:val="0"/>
                    <w:jc w:val="center"/>
                    <w:textAlignment w:val="baseline"/>
                    <w:rPr>
                      <w:color w:val="auto"/>
                      <w:sz w:val="20"/>
                      <w:szCs w:val="20"/>
                      <w:highlight w:val="none"/>
                    </w:rPr>
                  </w:pPr>
                  <w:r>
                    <w:rPr>
                      <w:color w:val="auto"/>
                      <w:sz w:val="20"/>
                      <w:szCs w:val="20"/>
                      <w:highlight w:val="none"/>
                    </w:rPr>
                    <w:t>危险废物代码</w:t>
                  </w:r>
                </w:p>
              </w:tc>
              <w:tc>
                <w:tcPr>
                  <w:tcW w:w="1009" w:type="dxa"/>
                  <w:vAlign w:val="center"/>
                </w:tcPr>
                <w:p w14:paraId="55DB0378">
                  <w:pPr>
                    <w:topLinePunct/>
                    <w:autoSpaceDE w:val="0"/>
                    <w:autoSpaceDN w:val="0"/>
                    <w:adjustRightInd w:val="0"/>
                    <w:snapToGrid w:val="0"/>
                    <w:jc w:val="center"/>
                    <w:textAlignment w:val="baseline"/>
                    <w:rPr>
                      <w:color w:val="auto"/>
                      <w:sz w:val="20"/>
                      <w:szCs w:val="20"/>
                      <w:highlight w:val="none"/>
                    </w:rPr>
                  </w:pPr>
                  <w:r>
                    <w:rPr>
                      <w:color w:val="auto"/>
                      <w:sz w:val="20"/>
                      <w:szCs w:val="20"/>
                      <w:highlight w:val="none"/>
                    </w:rPr>
                    <w:t>位置</w:t>
                  </w:r>
                </w:p>
              </w:tc>
              <w:tc>
                <w:tcPr>
                  <w:tcW w:w="545" w:type="dxa"/>
                  <w:vAlign w:val="center"/>
                </w:tcPr>
                <w:p w14:paraId="3CB48161">
                  <w:pPr>
                    <w:topLinePunct/>
                    <w:autoSpaceDE w:val="0"/>
                    <w:autoSpaceDN w:val="0"/>
                    <w:adjustRightInd w:val="0"/>
                    <w:snapToGrid w:val="0"/>
                    <w:jc w:val="center"/>
                    <w:textAlignment w:val="baseline"/>
                    <w:rPr>
                      <w:color w:val="auto"/>
                      <w:sz w:val="20"/>
                      <w:szCs w:val="20"/>
                      <w:highlight w:val="none"/>
                    </w:rPr>
                  </w:pPr>
                  <w:r>
                    <w:rPr>
                      <w:color w:val="auto"/>
                      <w:sz w:val="20"/>
                      <w:szCs w:val="20"/>
                      <w:highlight w:val="none"/>
                    </w:rPr>
                    <w:t>占地面积</w:t>
                  </w:r>
                </w:p>
              </w:tc>
              <w:tc>
                <w:tcPr>
                  <w:tcW w:w="580" w:type="dxa"/>
                  <w:vAlign w:val="center"/>
                </w:tcPr>
                <w:p w14:paraId="33611095">
                  <w:pPr>
                    <w:topLinePunct/>
                    <w:autoSpaceDE w:val="0"/>
                    <w:autoSpaceDN w:val="0"/>
                    <w:adjustRightInd w:val="0"/>
                    <w:snapToGrid w:val="0"/>
                    <w:jc w:val="center"/>
                    <w:textAlignment w:val="baseline"/>
                    <w:rPr>
                      <w:color w:val="auto"/>
                      <w:sz w:val="20"/>
                      <w:szCs w:val="20"/>
                      <w:highlight w:val="none"/>
                    </w:rPr>
                  </w:pPr>
                  <w:r>
                    <w:rPr>
                      <w:color w:val="auto"/>
                      <w:sz w:val="20"/>
                      <w:szCs w:val="20"/>
                      <w:highlight w:val="none"/>
                    </w:rPr>
                    <w:t>贮存方式</w:t>
                  </w:r>
                </w:p>
              </w:tc>
              <w:tc>
                <w:tcPr>
                  <w:tcW w:w="443" w:type="dxa"/>
                  <w:vAlign w:val="center"/>
                </w:tcPr>
                <w:p w14:paraId="0913F916">
                  <w:pPr>
                    <w:topLinePunct/>
                    <w:autoSpaceDE w:val="0"/>
                    <w:autoSpaceDN w:val="0"/>
                    <w:adjustRightInd w:val="0"/>
                    <w:snapToGrid w:val="0"/>
                    <w:jc w:val="center"/>
                    <w:textAlignment w:val="baseline"/>
                    <w:rPr>
                      <w:color w:val="auto"/>
                      <w:sz w:val="20"/>
                      <w:szCs w:val="20"/>
                      <w:highlight w:val="none"/>
                    </w:rPr>
                  </w:pPr>
                  <w:r>
                    <w:rPr>
                      <w:color w:val="auto"/>
                      <w:sz w:val="20"/>
                      <w:szCs w:val="20"/>
                      <w:highlight w:val="none"/>
                    </w:rPr>
                    <w:t>贮存周期</w:t>
                  </w:r>
                </w:p>
              </w:tc>
              <w:tc>
                <w:tcPr>
                  <w:tcW w:w="896" w:type="dxa"/>
                  <w:vAlign w:val="center"/>
                </w:tcPr>
                <w:p w14:paraId="0528F711">
                  <w:pPr>
                    <w:topLinePunct/>
                    <w:autoSpaceDE w:val="0"/>
                    <w:autoSpaceDN w:val="0"/>
                    <w:adjustRightInd w:val="0"/>
                    <w:snapToGrid w:val="0"/>
                    <w:jc w:val="center"/>
                    <w:textAlignment w:val="baseline"/>
                    <w:rPr>
                      <w:color w:val="auto"/>
                      <w:sz w:val="20"/>
                      <w:szCs w:val="20"/>
                      <w:highlight w:val="none"/>
                    </w:rPr>
                  </w:pPr>
                  <w:r>
                    <w:rPr>
                      <w:rFonts w:hint="eastAsia"/>
                      <w:color w:val="auto"/>
                      <w:sz w:val="20"/>
                      <w:szCs w:val="20"/>
                      <w:highlight w:val="none"/>
                    </w:rPr>
                    <w:t>利用处置方式和去向</w:t>
                  </w:r>
                </w:p>
              </w:tc>
              <w:tc>
                <w:tcPr>
                  <w:tcW w:w="737" w:type="dxa"/>
                  <w:vAlign w:val="center"/>
                </w:tcPr>
                <w:p w14:paraId="18BFE14B">
                  <w:pPr>
                    <w:topLinePunct/>
                    <w:autoSpaceDE w:val="0"/>
                    <w:autoSpaceDN w:val="0"/>
                    <w:adjustRightInd w:val="0"/>
                    <w:snapToGrid w:val="0"/>
                    <w:jc w:val="center"/>
                    <w:textAlignment w:val="baseline"/>
                    <w:rPr>
                      <w:color w:val="auto"/>
                      <w:sz w:val="20"/>
                      <w:szCs w:val="20"/>
                      <w:highlight w:val="none"/>
                    </w:rPr>
                  </w:pPr>
                  <w:r>
                    <w:rPr>
                      <w:rFonts w:hint="eastAsia"/>
                      <w:color w:val="auto"/>
                      <w:sz w:val="20"/>
                      <w:szCs w:val="20"/>
                      <w:highlight w:val="none"/>
                    </w:rPr>
                    <w:t>利用或处置量（t/a）</w:t>
                  </w:r>
                </w:p>
              </w:tc>
            </w:tr>
            <w:tr w14:paraId="7750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 w:type="dxa"/>
                  <w:vMerge w:val="restart"/>
                  <w:vAlign w:val="center"/>
                </w:tcPr>
                <w:p w14:paraId="138B2C99">
                  <w:pPr>
                    <w:topLinePunct/>
                    <w:autoSpaceDE w:val="0"/>
                    <w:autoSpaceDN w:val="0"/>
                    <w:adjustRightInd w:val="0"/>
                    <w:snapToGrid w:val="0"/>
                    <w:jc w:val="center"/>
                    <w:textAlignment w:val="baseline"/>
                    <w:rPr>
                      <w:color w:val="auto"/>
                      <w:sz w:val="20"/>
                      <w:szCs w:val="20"/>
                      <w:highlight w:val="none"/>
                    </w:rPr>
                  </w:pPr>
                  <w:r>
                    <w:rPr>
                      <w:rFonts w:hint="eastAsia"/>
                      <w:color w:val="auto"/>
                      <w:sz w:val="20"/>
                      <w:szCs w:val="20"/>
                      <w:highlight w:val="none"/>
                    </w:rPr>
                    <w:t>1</w:t>
                  </w:r>
                </w:p>
              </w:tc>
              <w:tc>
                <w:tcPr>
                  <w:tcW w:w="675" w:type="dxa"/>
                  <w:vMerge w:val="restart"/>
                  <w:vAlign w:val="center"/>
                </w:tcPr>
                <w:p w14:paraId="7A82BDD4">
                  <w:pPr>
                    <w:topLinePunct/>
                    <w:autoSpaceDE w:val="0"/>
                    <w:autoSpaceDN w:val="0"/>
                    <w:adjustRightInd w:val="0"/>
                    <w:snapToGrid w:val="0"/>
                    <w:jc w:val="center"/>
                    <w:textAlignment w:val="baseline"/>
                    <w:rPr>
                      <w:color w:val="auto"/>
                      <w:sz w:val="20"/>
                      <w:szCs w:val="20"/>
                      <w:highlight w:val="none"/>
                    </w:rPr>
                  </w:pPr>
                  <w:r>
                    <w:rPr>
                      <w:rFonts w:hint="eastAsia"/>
                      <w:color w:val="auto"/>
                      <w:sz w:val="20"/>
                      <w:szCs w:val="20"/>
                      <w:highlight w:val="none"/>
                    </w:rPr>
                    <w:t>危险废物贮存点</w:t>
                  </w:r>
                </w:p>
              </w:tc>
              <w:tc>
                <w:tcPr>
                  <w:tcW w:w="789" w:type="dxa"/>
                  <w:vAlign w:val="center"/>
                </w:tcPr>
                <w:p w14:paraId="21E21862">
                  <w:pPr>
                    <w:topLinePunct/>
                    <w:snapToGrid w:val="0"/>
                    <w:jc w:val="center"/>
                    <w:rPr>
                      <w:color w:val="auto"/>
                      <w:sz w:val="20"/>
                      <w:szCs w:val="20"/>
                      <w:highlight w:val="none"/>
                    </w:rPr>
                  </w:pPr>
                  <w:r>
                    <w:rPr>
                      <w:rFonts w:hint="eastAsia"/>
                      <w:color w:val="auto"/>
                      <w:sz w:val="20"/>
                      <w:szCs w:val="20"/>
                      <w:highlight w:val="none"/>
                    </w:rPr>
                    <w:t>废润滑油</w:t>
                  </w:r>
                </w:p>
              </w:tc>
              <w:tc>
                <w:tcPr>
                  <w:tcW w:w="789" w:type="dxa"/>
                  <w:vAlign w:val="center"/>
                </w:tcPr>
                <w:p w14:paraId="7B47DE0A">
                  <w:pPr>
                    <w:topLinePunct/>
                    <w:snapToGrid w:val="0"/>
                    <w:jc w:val="center"/>
                    <w:rPr>
                      <w:color w:val="auto"/>
                      <w:sz w:val="20"/>
                      <w:szCs w:val="20"/>
                      <w:highlight w:val="none"/>
                    </w:rPr>
                  </w:pPr>
                  <w:r>
                    <w:rPr>
                      <w:rFonts w:hint="eastAsia"/>
                      <w:color w:val="auto"/>
                      <w:sz w:val="20"/>
                      <w:szCs w:val="20"/>
                      <w:highlight w:val="none"/>
                    </w:rPr>
                    <w:t>HW08</w:t>
                  </w:r>
                </w:p>
              </w:tc>
              <w:tc>
                <w:tcPr>
                  <w:tcW w:w="1154" w:type="dxa"/>
                  <w:vAlign w:val="center"/>
                </w:tcPr>
                <w:p w14:paraId="56BBB997">
                  <w:pPr>
                    <w:topLinePunct/>
                    <w:snapToGrid w:val="0"/>
                    <w:jc w:val="center"/>
                    <w:rPr>
                      <w:color w:val="auto"/>
                      <w:sz w:val="20"/>
                      <w:szCs w:val="20"/>
                      <w:highlight w:val="none"/>
                    </w:rPr>
                  </w:pPr>
                  <w:r>
                    <w:rPr>
                      <w:rFonts w:hint="eastAsia"/>
                      <w:color w:val="auto"/>
                      <w:sz w:val="20"/>
                      <w:szCs w:val="20"/>
                      <w:highlight w:val="none"/>
                    </w:rPr>
                    <w:t>900-217-08</w:t>
                  </w:r>
                </w:p>
              </w:tc>
              <w:tc>
                <w:tcPr>
                  <w:tcW w:w="1009" w:type="dxa"/>
                  <w:vMerge w:val="restart"/>
                  <w:vAlign w:val="center"/>
                </w:tcPr>
                <w:p w14:paraId="1CF8734C">
                  <w:pPr>
                    <w:topLinePunct/>
                    <w:autoSpaceDE w:val="0"/>
                    <w:autoSpaceDN w:val="0"/>
                    <w:adjustRightInd w:val="0"/>
                    <w:snapToGrid w:val="0"/>
                    <w:jc w:val="center"/>
                    <w:textAlignment w:val="baseline"/>
                    <w:rPr>
                      <w:color w:val="auto"/>
                      <w:sz w:val="20"/>
                      <w:szCs w:val="20"/>
                      <w:highlight w:val="none"/>
                    </w:rPr>
                  </w:pPr>
                  <w:r>
                    <w:rPr>
                      <w:rFonts w:hint="eastAsia"/>
                      <w:color w:val="auto"/>
                      <w:sz w:val="20"/>
                      <w:szCs w:val="20"/>
                      <w:highlight w:val="none"/>
                    </w:rPr>
                    <w:t>危险废物贮存点（其中更换时一次性产生的</w:t>
                  </w:r>
                  <w:r>
                    <w:rPr>
                      <w:rFonts w:hint="eastAsia"/>
                      <w:color w:val="auto"/>
                      <w:sz w:val="20"/>
                      <w:szCs w:val="20"/>
                      <w:highlight w:val="none"/>
                      <w:lang w:val="en-US" w:eastAsia="zh-CN"/>
                    </w:rPr>
                    <w:t>8.5t</w:t>
                  </w:r>
                  <w:r>
                    <w:rPr>
                      <w:rFonts w:hint="eastAsia"/>
                      <w:color w:val="auto"/>
                      <w:sz w:val="20"/>
                      <w:szCs w:val="20"/>
                      <w:highlight w:val="none"/>
                    </w:rPr>
                    <w:t>废液压油</w:t>
                  </w:r>
                  <w:r>
                    <w:rPr>
                      <w:rFonts w:hint="eastAsia"/>
                      <w:color w:val="auto"/>
                      <w:sz w:val="20"/>
                      <w:szCs w:val="20"/>
                      <w:highlight w:val="none"/>
                      <w:lang w:eastAsia="zh-CN"/>
                    </w:rPr>
                    <w:t>在更换时提前联系资质单位，更换后立即转运交由有资质单位处置</w:t>
                  </w:r>
                  <w:r>
                    <w:rPr>
                      <w:rFonts w:hint="eastAsia"/>
                      <w:color w:val="auto"/>
                      <w:sz w:val="20"/>
                      <w:szCs w:val="20"/>
                      <w:highlight w:val="none"/>
                    </w:rPr>
                    <w:t>，不在厂区内暂存）</w:t>
                  </w:r>
                </w:p>
              </w:tc>
              <w:tc>
                <w:tcPr>
                  <w:tcW w:w="545" w:type="dxa"/>
                  <w:vMerge w:val="restart"/>
                  <w:vAlign w:val="center"/>
                </w:tcPr>
                <w:p w14:paraId="1C45BFCC">
                  <w:pPr>
                    <w:topLinePunct/>
                    <w:autoSpaceDE w:val="0"/>
                    <w:autoSpaceDN w:val="0"/>
                    <w:adjustRightInd w:val="0"/>
                    <w:snapToGrid w:val="0"/>
                    <w:jc w:val="center"/>
                    <w:textAlignment w:val="baseline"/>
                    <w:rPr>
                      <w:color w:val="auto"/>
                      <w:sz w:val="20"/>
                      <w:szCs w:val="20"/>
                      <w:highlight w:val="none"/>
                    </w:rPr>
                  </w:pPr>
                  <w:r>
                    <w:rPr>
                      <w:color w:val="auto"/>
                      <w:sz w:val="20"/>
                      <w:szCs w:val="20"/>
                      <w:highlight w:val="none"/>
                    </w:rPr>
                    <w:t>约</w:t>
                  </w:r>
                  <w:r>
                    <w:rPr>
                      <w:rFonts w:hint="eastAsia"/>
                      <w:color w:val="auto"/>
                      <w:sz w:val="20"/>
                      <w:szCs w:val="20"/>
                      <w:highlight w:val="none"/>
                    </w:rPr>
                    <w:t>18</w:t>
                  </w:r>
                  <w:r>
                    <w:rPr>
                      <w:color w:val="auto"/>
                      <w:sz w:val="20"/>
                      <w:szCs w:val="20"/>
                      <w:highlight w:val="none"/>
                    </w:rPr>
                    <w:t>m</w:t>
                  </w:r>
                  <w:r>
                    <w:rPr>
                      <w:color w:val="auto"/>
                      <w:sz w:val="20"/>
                      <w:szCs w:val="20"/>
                      <w:highlight w:val="none"/>
                      <w:vertAlign w:val="superscript"/>
                    </w:rPr>
                    <w:t>2</w:t>
                  </w:r>
                </w:p>
              </w:tc>
              <w:tc>
                <w:tcPr>
                  <w:tcW w:w="580" w:type="dxa"/>
                  <w:vMerge w:val="restart"/>
                  <w:vAlign w:val="center"/>
                </w:tcPr>
                <w:p w14:paraId="6FBB2596">
                  <w:pPr>
                    <w:topLinePunct/>
                    <w:autoSpaceDE w:val="0"/>
                    <w:autoSpaceDN w:val="0"/>
                    <w:adjustRightInd w:val="0"/>
                    <w:snapToGrid w:val="0"/>
                    <w:jc w:val="center"/>
                    <w:textAlignment w:val="baseline"/>
                    <w:rPr>
                      <w:color w:val="auto"/>
                      <w:sz w:val="20"/>
                      <w:szCs w:val="20"/>
                      <w:highlight w:val="none"/>
                    </w:rPr>
                  </w:pPr>
                  <w:r>
                    <w:rPr>
                      <w:color w:val="auto"/>
                      <w:sz w:val="20"/>
                      <w:szCs w:val="20"/>
                      <w:highlight w:val="none"/>
                    </w:rPr>
                    <w:t>单独收集</w:t>
                  </w:r>
                  <w:r>
                    <w:rPr>
                      <w:rFonts w:hint="eastAsia"/>
                      <w:color w:val="auto"/>
                      <w:sz w:val="20"/>
                      <w:szCs w:val="20"/>
                      <w:highlight w:val="none"/>
                    </w:rPr>
                    <w:t>、置于闭口容器或包装物内</w:t>
                  </w:r>
                </w:p>
              </w:tc>
              <w:tc>
                <w:tcPr>
                  <w:tcW w:w="443" w:type="dxa"/>
                  <w:vMerge w:val="restart"/>
                  <w:vAlign w:val="center"/>
                </w:tcPr>
                <w:p w14:paraId="63941262">
                  <w:pPr>
                    <w:topLinePunct/>
                    <w:autoSpaceDE w:val="0"/>
                    <w:autoSpaceDN w:val="0"/>
                    <w:adjustRightInd w:val="0"/>
                    <w:snapToGrid w:val="0"/>
                    <w:jc w:val="center"/>
                    <w:textAlignment w:val="baseline"/>
                    <w:rPr>
                      <w:color w:val="auto"/>
                      <w:sz w:val="20"/>
                      <w:szCs w:val="20"/>
                      <w:highlight w:val="none"/>
                    </w:rPr>
                  </w:pPr>
                  <w:r>
                    <w:rPr>
                      <w:rFonts w:hint="eastAsia"/>
                      <w:color w:val="auto"/>
                      <w:sz w:val="20"/>
                      <w:szCs w:val="20"/>
                      <w:highlight w:val="none"/>
                    </w:rPr>
                    <w:t>半</w:t>
                  </w:r>
                  <w:r>
                    <w:rPr>
                      <w:color w:val="auto"/>
                      <w:sz w:val="20"/>
                      <w:szCs w:val="20"/>
                      <w:highlight w:val="none"/>
                    </w:rPr>
                    <w:t>年</w:t>
                  </w:r>
                </w:p>
              </w:tc>
              <w:tc>
                <w:tcPr>
                  <w:tcW w:w="896" w:type="dxa"/>
                  <w:vMerge w:val="restart"/>
                  <w:vAlign w:val="center"/>
                </w:tcPr>
                <w:p w14:paraId="191B74D4">
                  <w:pPr>
                    <w:topLinePunct/>
                    <w:autoSpaceDE w:val="0"/>
                    <w:autoSpaceDN w:val="0"/>
                    <w:adjustRightInd w:val="0"/>
                    <w:snapToGrid w:val="0"/>
                    <w:jc w:val="center"/>
                    <w:textAlignment w:val="baseline"/>
                    <w:rPr>
                      <w:color w:val="auto"/>
                      <w:sz w:val="20"/>
                      <w:szCs w:val="20"/>
                      <w:highlight w:val="none"/>
                    </w:rPr>
                  </w:pPr>
                  <w:r>
                    <w:rPr>
                      <w:color w:val="auto"/>
                      <w:sz w:val="20"/>
                      <w:szCs w:val="20"/>
                      <w:highlight w:val="none"/>
                    </w:rPr>
                    <w:t>按照《危险废物贮存污染控制标准》的要求规范建设和维护</w:t>
                  </w:r>
                  <w:r>
                    <w:rPr>
                      <w:rFonts w:hint="eastAsia"/>
                      <w:color w:val="auto"/>
                      <w:sz w:val="20"/>
                      <w:szCs w:val="20"/>
                      <w:highlight w:val="none"/>
                    </w:rPr>
                    <w:t>管理</w:t>
                  </w:r>
                </w:p>
              </w:tc>
              <w:tc>
                <w:tcPr>
                  <w:tcW w:w="737" w:type="dxa"/>
                  <w:vAlign w:val="center"/>
                </w:tcPr>
                <w:p w14:paraId="7611E0DA">
                  <w:pPr>
                    <w:topLinePunct/>
                    <w:snapToGrid w:val="0"/>
                    <w:jc w:val="center"/>
                    <w:rPr>
                      <w:color w:val="auto"/>
                      <w:sz w:val="20"/>
                      <w:szCs w:val="20"/>
                      <w:highlight w:val="none"/>
                    </w:rPr>
                  </w:pPr>
                  <w:r>
                    <w:rPr>
                      <w:rFonts w:hint="eastAsia"/>
                      <w:color w:val="auto"/>
                      <w:sz w:val="20"/>
                      <w:szCs w:val="20"/>
                      <w:highlight w:val="none"/>
                    </w:rPr>
                    <w:t>0.15</w:t>
                  </w:r>
                </w:p>
              </w:tc>
            </w:tr>
            <w:tr w14:paraId="7591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 w:type="dxa"/>
                  <w:vMerge w:val="continue"/>
                  <w:vAlign w:val="center"/>
                </w:tcPr>
                <w:p w14:paraId="21B49EA4">
                  <w:pPr>
                    <w:topLinePunct/>
                    <w:autoSpaceDE w:val="0"/>
                    <w:autoSpaceDN w:val="0"/>
                    <w:adjustRightInd w:val="0"/>
                    <w:snapToGrid w:val="0"/>
                    <w:ind w:firstLine="482"/>
                    <w:jc w:val="center"/>
                    <w:textAlignment w:val="baseline"/>
                    <w:rPr>
                      <w:color w:val="auto"/>
                      <w:sz w:val="20"/>
                      <w:szCs w:val="20"/>
                      <w:highlight w:val="none"/>
                    </w:rPr>
                  </w:pPr>
                </w:p>
              </w:tc>
              <w:tc>
                <w:tcPr>
                  <w:tcW w:w="675" w:type="dxa"/>
                  <w:vMerge w:val="continue"/>
                  <w:vAlign w:val="center"/>
                </w:tcPr>
                <w:p w14:paraId="0A0C5788">
                  <w:pPr>
                    <w:topLinePunct/>
                    <w:autoSpaceDE w:val="0"/>
                    <w:autoSpaceDN w:val="0"/>
                    <w:adjustRightInd w:val="0"/>
                    <w:snapToGrid w:val="0"/>
                    <w:jc w:val="center"/>
                    <w:textAlignment w:val="baseline"/>
                    <w:rPr>
                      <w:color w:val="auto"/>
                      <w:sz w:val="20"/>
                      <w:szCs w:val="20"/>
                      <w:highlight w:val="none"/>
                    </w:rPr>
                  </w:pPr>
                </w:p>
              </w:tc>
              <w:tc>
                <w:tcPr>
                  <w:tcW w:w="789" w:type="dxa"/>
                  <w:vAlign w:val="center"/>
                </w:tcPr>
                <w:p w14:paraId="5E05B0E0">
                  <w:pPr>
                    <w:topLinePunct/>
                    <w:snapToGrid w:val="0"/>
                    <w:jc w:val="center"/>
                    <w:rPr>
                      <w:color w:val="auto"/>
                      <w:sz w:val="20"/>
                      <w:szCs w:val="20"/>
                      <w:highlight w:val="none"/>
                    </w:rPr>
                  </w:pPr>
                  <w:r>
                    <w:rPr>
                      <w:rFonts w:hint="eastAsia"/>
                      <w:color w:val="auto"/>
                      <w:sz w:val="20"/>
                      <w:szCs w:val="20"/>
                      <w:highlight w:val="none"/>
                    </w:rPr>
                    <w:t>废液压油</w:t>
                  </w:r>
                </w:p>
              </w:tc>
              <w:tc>
                <w:tcPr>
                  <w:tcW w:w="789" w:type="dxa"/>
                  <w:vAlign w:val="center"/>
                </w:tcPr>
                <w:p w14:paraId="549F760F">
                  <w:pPr>
                    <w:topLinePunct/>
                    <w:snapToGrid w:val="0"/>
                    <w:jc w:val="center"/>
                    <w:rPr>
                      <w:color w:val="auto"/>
                      <w:kern w:val="0"/>
                      <w:sz w:val="20"/>
                      <w:szCs w:val="20"/>
                      <w:highlight w:val="none"/>
                    </w:rPr>
                  </w:pPr>
                  <w:r>
                    <w:rPr>
                      <w:rFonts w:hint="eastAsia"/>
                      <w:color w:val="auto"/>
                      <w:sz w:val="20"/>
                      <w:szCs w:val="20"/>
                      <w:highlight w:val="none"/>
                    </w:rPr>
                    <w:t>HW08</w:t>
                  </w:r>
                </w:p>
              </w:tc>
              <w:tc>
                <w:tcPr>
                  <w:tcW w:w="1154" w:type="dxa"/>
                  <w:vAlign w:val="center"/>
                </w:tcPr>
                <w:p w14:paraId="1B99279E">
                  <w:pPr>
                    <w:topLinePunct/>
                    <w:snapToGrid w:val="0"/>
                    <w:jc w:val="center"/>
                    <w:rPr>
                      <w:color w:val="auto"/>
                      <w:kern w:val="0"/>
                      <w:sz w:val="20"/>
                      <w:szCs w:val="20"/>
                      <w:highlight w:val="none"/>
                    </w:rPr>
                  </w:pPr>
                  <w:r>
                    <w:rPr>
                      <w:rFonts w:hint="eastAsia"/>
                      <w:color w:val="auto"/>
                      <w:sz w:val="20"/>
                      <w:szCs w:val="20"/>
                      <w:highlight w:val="none"/>
                    </w:rPr>
                    <w:t>900-218-08</w:t>
                  </w:r>
                </w:p>
              </w:tc>
              <w:tc>
                <w:tcPr>
                  <w:tcW w:w="1009" w:type="dxa"/>
                  <w:vMerge w:val="continue"/>
                  <w:vAlign w:val="center"/>
                </w:tcPr>
                <w:p w14:paraId="668F955A">
                  <w:pPr>
                    <w:topLinePunct/>
                    <w:autoSpaceDE w:val="0"/>
                    <w:autoSpaceDN w:val="0"/>
                    <w:adjustRightInd w:val="0"/>
                    <w:snapToGrid w:val="0"/>
                    <w:jc w:val="center"/>
                    <w:textAlignment w:val="baseline"/>
                    <w:rPr>
                      <w:color w:val="auto"/>
                      <w:sz w:val="20"/>
                      <w:szCs w:val="20"/>
                      <w:highlight w:val="none"/>
                    </w:rPr>
                  </w:pPr>
                </w:p>
              </w:tc>
              <w:tc>
                <w:tcPr>
                  <w:tcW w:w="545" w:type="dxa"/>
                  <w:vMerge w:val="continue"/>
                  <w:vAlign w:val="center"/>
                </w:tcPr>
                <w:p w14:paraId="76268B9E">
                  <w:pPr>
                    <w:topLinePunct/>
                    <w:autoSpaceDE w:val="0"/>
                    <w:autoSpaceDN w:val="0"/>
                    <w:adjustRightInd w:val="0"/>
                    <w:snapToGrid w:val="0"/>
                    <w:jc w:val="center"/>
                    <w:textAlignment w:val="baseline"/>
                    <w:rPr>
                      <w:color w:val="auto"/>
                      <w:sz w:val="20"/>
                      <w:szCs w:val="20"/>
                      <w:highlight w:val="none"/>
                    </w:rPr>
                  </w:pPr>
                </w:p>
              </w:tc>
              <w:tc>
                <w:tcPr>
                  <w:tcW w:w="580" w:type="dxa"/>
                  <w:vMerge w:val="continue"/>
                  <w:vAlign w:val="center"/>
                </w:tcPr>
                <w:p w14:paraId="629415CE">
                  <w:pPr>
                    <w:topLinePunct/>
                    <w:autoSpaceDE w:val="0"/>
                    <w:autoSpaceDN w:val="0"/>
                    <w:adjustRightInd w:val="0"/>
                    <w:snapToGrid w:val="0"/>
                    <w:jc w:val="center"/>
                    <w:textAlignment w:val="baseline"/>
                    <w:rPr>
                      <w:color w:val="auto"/>
                      <w:sz w:val="20"/>
                      <w:szCs w:val="20"/>
                      <w:highlight w:val="none"/>
                    </w:rPr>
                  </w:pPr>
                </w:p>
              </w:tc>
              <w:tc>
                <w:tcPr>
                  <w:tcW w:w="443" w:type="dxa"/>
                  <w:vMerge w:val="continue"/>
                  <w:vAlign w:val="center"/>
                </w:tcPr>
                <w:p w14:paraId="2A9DE8E1">
                  <w:pPr>
                    <w:topLinePunct/>
                    <w:autoSpaceDE w:val="0"/>
                    <w:autoSpaceDN w:val="0"/>
                    <w:adjustRightInd w:val="0"/>
                    <w:snapToGrid w:val="0"/>
                    <w:jc w:val="center"/>
                    <w:textAlignment w:val="baseline"/>
                    <w:rPr>
                      <w:color w:val="auto"/>
                      <w:sz w:val="20"/>
                      <w:szCs w:val="20"/>
                      <w:highlight w:val="none"/>
                    </w:rPr>
                  </w:pPr>
                </w:p>
              </w:tc>
              <w:tc>
                <w:tcPr>
                  <w:tcW w:w="896" w:type="dxa"/>
                  <w:vMerge w:val="continue"/>
                  <w:vAlign w:val="center"/>
                </w:tcPr>
                <w:p w14:paraId="2DC782FE">
                  <w:pPr>
                    <w:topLinePunct/>
                    <w:autoSpaceDE w:val="0"/>
                    <w:autoSpaceDN w:val="0"/>
                    <w:adjustRightInd w:val="0"/>
                    <w:snapToGrid w:val="0"/>
                    <w:jc w:val="center"/>
                    <w:textAlignment w:val="baseline"/>
                    <w:rPr>
                      <w:color w:val="auto"/>
                      <w:sz w:val="20"/>
                      <w:szCs w:val="20"/>
                      <w:highlight w:val="none"/>
                    </w:rPr>
                  </w:pPr>
                </w:p>
              </w:tc>
              <w:tc>
                <w:tcPr>
                  <w:tcW w:w="737" w:type="dxa"/>
                  <w:vAlign w:val="center"/>
                </w:tcPr>
                <w:p w14:paraId="76EAC257">
                  <w:pPr>
                    <w:topLinePunct/>
                    <w:snapToGrid w:val="0"/>
                    <w:jc w:val="center"/>
                    <w:rPr>
                      <w:color w:val="auto"/>
                      <w:sz w:val="20"/>
                      <w:szCs w:val="20"/>
                      <w:highlight w:val="none"/>
                    </w:rPr>
                  </w:pPr>
                  <w:r>
                    <w:rPr>
                      <w:rFonts w:hint="eastAsia"/>
                      <w:color w:val="auto"/>
                      <w:sz w:val="20"/>
                      <w:szCs w:val="20"/>
                      <w:highlight w:val="none"/>
                    </w:rPr>
                    <w:t>17.1</w:t>
                  </w:r>
                </w:p>
              </w:tc>
            </w:tr>
            <w:tr w14:paraId="0269C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 w:type="dxa"/>
                  <w:vMerge w:val="continue"/>
                  <w:vAlign w:val="center"/>
                </w:tcPr>
                <w:p w14:paraId="548C4E60">
                  <w:pPr>
                    <w:topLinePunct/>
                    <w:autoSpaceDE w:val="0"/>
                    <w:autoSpaceDN w:val="0"/>
                    <w:adjustRightInd w:val="0"/>
                    <w:snapToGrid w:val="0"/>
                    <w:ind w:firstLine="482"/>
                    <w:jc w:val="center"/>
                    <w:textAlignment w:val="baseline"/>
                    <w:rPr>
                      <w:color w:val="auto"/>
                      <w:sz w:val="20"/>
                      <w:szCs w:val="20"/>
                      <w:highlight w:val="none"/>
                    </w:rPr>
                  </w:pPr>
                </w:p>
              </w:tc>
              <w:tc>
                <w:tcPr>
                  <w:tcW w:w="675" w:type="dxa"/>
                  <w:vMerge w:val="continue"/>
                  <w:vAlign w:val="center"/>
                </w:tcPr>
                <w:p w14:paraId="3ECEE4BF">
                  <w:pPr>
                    <w:topLinePunct/>
                    <w:autoSpaceDE w:val="0"/>
                    <w:autoSpaceDN w:val="0"/>
                    <w:adjustRightInd w:val="0"/>
                    <w:snapToGrid w:val="0"/>
                    <w:jc w:val="center"/>
                    <w:textAlignment w:val="baseline"/>
                    <w:rPr>
                      <w:color w:val="auto"/>
                      <w:sz w:val="20"/>
                      <w:szCs w:val="20"/>
                      <w:highlight w:val="none"/>
                    </w:rPr>
                  </w:pPr>
                </w:p>
              </w:tc>
              <w:tc>
                <w:tcPr>
                  <w:tcW w:w="789" w:type="dxa"/>
                  <w:vAlign w:val="center"/>
                </w:tcPr>
                <w:p w14:paraId="331F0EF9">
                  <w:pPr>
                    <w:topLinePunct/>
                    <w:snapToGrid w:val="0"/>
                    <w:jc w:val="center"/>
                    <w:rPr>
                      <w:rFonts w:hint="eastAsia" w:eastAsia="宋体"/>
                      <w:color w:val="auto"/>
                      <w:sz w:val="20"/>
                      <w:szCs w:val="20"/>
                      <w:highlight w:val="none"/>
                      <w:lang w:eastAsia="zh-CN"/>
                    </w:rPr>
                  </w:pPr>
                  <w:r>
                    <w:rPr>
                      <w:rFonts w:hint="eastAsia"/>
                      <w:color w:val="auto"/>
                      <w:sz w:val="20"/>
                      <w:szCs w:val="20"/>
                      <w:highlight w:val="none"/>
                      <w:lang w:eastAsia="zh-CN"/>
                    </w:rPr>
                    <w:t>含油废液</w:t>
                  </w:r>
                </w:p>
              </w:tc>
              <w:tc>
                <w:tcPr>
                  <w:tcW w:w="789" w:type="dxa"/>
                  <w:vAlign w:val="center"/>
                </w:tcPr>
                <w:p w14:paraId="5B552CE2">
                  <w:pPr>
                    <w:topLinePunct/>
                    <w:snapToGrid w:val="0"/>
                    <w:jc w:val="center"/>
                    <w:rPr>
                      <w:rFonts w:hint="eastAsia"/>
                      <w:color w:val="auto"/>
                      <w:sz w:val="20"/>
                      <w:szCs w:val="20"/>
                      <w:highlight w:val="none"/>
                    </w:rPr>
                  </w:pPr>
                  <w:r>
                    <w:rPr>
                      <w:rFonts w:hint="eastAsia"/>
                      <w:color w:val="auto"/>
                      <w:sz w:val="20"/>
                      <w:szCs w:val="20"/>
                      <w:highlight w:val="none"/>
                    </w:rPr>
                    <w:t>HW08</w:t>
                  </w:r>
                </w:p>
              </w:tc>
              <w:tc>
                <w:tcPr>
                  <w:tcW w:w="1154" w:type="dxa"/>
                  <w:vAlign w:val="center"/>
                </w:tcPr>
                <w:p w14:paraId="1549256E">
                  <w:pPr>
                    <w:topLinePunct/>
                    <w:snapToGrid w:val="0"/>
                    <w:jc w:val="center"/>
                    <w:rPr>
                      <w:rFonts w:hint="eastAsia"/>
                      <w:color w:val="auto"/>
                      <w:sz w:val="20"/>
                      <w:szCs w:val="20"/>
                      <w:highlight w:val="none"/>
                    </w:rPr>
                  </w:pPr>
                  <w:r>
                    <w:rPr>
                      <w:rFonts w:hint="eastAsia"/>
                      <w:color w:val="auto"/>
                      <w:sz w:val="20"/>
                      <w:szCs w:val="20"/>
                      <w:highlight w:val="none"/>
                    </w:rPr>
                    <w:t>900-007-09</w:t>
                  </w:r>
                </w:p>
              </w:tc>
              <w:tc>
                <w:tcPr>
                  <w:tcW w:w="1009" w:type="dxa"/>
                  <w:vMerge w:val="continue"/>
                  <w:vAlign w:val="center"/>
                </w:tcPr>
                <w:p w14:paraId="04169FA2">
                  <w:pPr>
                    <w:topLinePunct/>
                    <w:autoSpaceDE w:val="0"/>
                    <w:autoSpaceDN w:val="0"/>
                    <w:adjustRightInd w:val="0"/>
                    <w:snapToGrid w:val="0"/>
                    <w:jc w:val="center"/>
                    <w:textAlignment w:val="baseline"/>
                    <w:rPr>
                      <w:color w:val="auto"/>
                      <w:sz w:val="20"/>
                      <w:szCs w:val="20"/>
                      <w:highlight w:val="none"/>
                    </w:rPr>
                  </w:pPr>
                </w:p>
              </w:tc>
              <w:tc>
                <w:tcPr>
                  <w:tcW w:w="545" w:type="dxa"/>
                  <w:vMerge w:val="continue"/>
                  <w:vAlign w:val="center"/>
                </w:tcPr>
                <w:p w14:paraId="4EA7EFF4">
                  <w:pPr>
                    <w:topLinePunct/>
                    <w:autoSpaceDE w:val="0"/>
                    <w:autoSpaceDN w:val="0"/>
                    <w:adjustRightInd w:val="0"/>
                    <w:snapToGrid w:val="0"/>
                    <w:jc w:val="center"/>
                    <w:textAlignment w:val="baseline"/>
                    <w:rPr>
                      <w:color w:val="auto"/>
                      <w:sz w:val="20"/>
                      <w:szCs w:val="20"/>
                      <w:highlight w:val="none"/>
                    </w:rPr>
                  </w:pPr>
                </w:p>
              </w:tc>
              <w:tc>
                <w:tcPr>
                  <w:tcW w:w="580" w:type="dxa"/>
                  <w:vMerge w:val="continue"/>
                  <w:vAlign w:val="center"/>
                </w:tcPr>
                <w:p w14:paraId="5073DF7F">
                  <w:pPr>
                    <w:topLinePunct/>
                    <w:autoSpaceDE w:val="0"/>
                    <w:autoSpaceDN w:val="0"/>
                    <w:adjustRightInd w:val="0"/>
                    <w:snapToGrid w:val="0"/>
                    <w:jc w:val="center"/>
                    <w:textAlignment w:val="baseline"/>
                    <w:rPr>
                      <w:color w:val="auto"/>
                      <w:sz w:val="20"/>
                      <w:szCs w:val="20"/>
                      <w:highlight w:val="none"/>
                    </w:rPr>
                  </w:pPr>
                </w:p>
              </w:tc>
              <w:tc>
                <w:tcPr>
                  <w:tcW w:w="443" w:type="dxa"/>
                  <w:vMerge w:val="continue"/>
                  <w:vAlign w:val="center"/>
                </w:tcPr>
                <w:p w14:paraId="099D9E2B">
                  <w:pPr>
                    <w:topLinePunct/>
                    <w:autoSpaceDE w:val="0"/>
                    <w:autoSpaceDN w:val="0"/>
                    <w:adjustRightInd w:val="0"/>
                    <w:snapToGrid w:val="0"/>
                    <w:jc w:val="center"/>
                    <w:textAlignment w:val="baseline"/>
                    <w:rPr>
                      <w:color w:val="auto"/>
                      <w:sz w:val="20"/>
                      <w:szCs w:val="20"/>
                      <w:highlight w:val="none"/>
                    </w:rPr>
                  </w:pPr>
                </w:p>
              </w:tc>
              <w:tc>
                <w:tcPr>
                  <w:tcW w:w="896" w:type="dxa"/>
                  <w:vMerge w:val="continue"/>
                  <w:vAlign w:val="center"/>
                </w:tcPr>
                <w:p w14:paraId="130BF611">
                  <w:pPr>
                    <w:topLinePunct/>
                    <w:autoSpaceDE w:val="0"/>
                    <w:autoSpaceDN w:val="0"/>
                    <w:adjustRightInd w:val="0"/>
                    <w:snapToGrid w:val="0"/>
                    <w:jc w:val="center"/>
                    <w:textAlignment w:val="baseline"/>
                    <w:rPr>
                      <w:color w:val="auto"/>
                      <w:sz w:val="20"/>
                      <w:szCs w:val="20"/>
                      <w:highlight w:val="none"/>
                    </w:rPr>
                  </w:pPr>
                </w:p>
              </w:tc>
              <w:tc>
                <w:tcPr>
                  <w:tcW w:w="737" w:type="dxa"/>
                  <w:vAlign w:val="center"/>
                </w:tcPr>
                <w:p w14:paraId="07B6ACE5">
                  <w:pPr>
                    <w:topLinePunct/>
                    <w:snapToGrid w:val="0"/>
                    <w:jc w:val="center"/>
                    <w:rPr>
                      <w:rFonts w:hint="default" w:eastAsia="宋体"/>
                      <w:color w:val="auto"/>
                      <w:sz w:val="20"/>
                      <w:szCs w:val="20"/>
                      <w:highlight w:val="none"/>
                      <w:lang w:val="en-US" w:eastAsia="zh-CN"/>
                    </w:rPr>
                  </w:pPr>
                  <w:r>
                    <w:rPr>
                      <w:rFonts w:hint="eastAsia"/>
                      <w:color w:val="auto"/>
                      <w:sz w:val="20"/>
                      <w:szCs w:val="20"/>
                      <w:highlight w:val="none"/>
                      <w:lang w:val="en-US" w:eastAsia="zh-CN"/>
                    </w:rPr>
                    <w:t>0.75</w:t>
                  </w:r>
                </w:p>
              </w:tc>
            </w:tr>
            <w:tr w14:paraId="1E245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 w:type="dxa"/>
                  <w:vMerge w:val="continue"/>
                  <w:vAlign w:val="center"/>
                </w:tcPr>
                <w:p w14:paraId="334BDBB1">
                  <w:pPr>
                    <w:topLinePunct/>
                    <w:autoSpaceDE w:val="0"/>
                    <w:autoSpaceDN w:val="0"/>
                    <w:adjustRightInd w:val="0"/>
                    <w:snapToGrid w:val="0"/>
                    <w:ind w:firstLine="482"/>
                    <w:jc w:val="center"/>
                    <w:textAlignment w:val="baseline"/>
                    <w:rPr>
                      <w:color w:val="auto"/>
                      <w:sz w:val="20"/>
                      <w:szCs w:val="20"/>
                      <w:highlight w:val="none"/>
                    </w:rPr>
                  </w:pPr>
                </w:p>
              </w:tc>
              <w:tc>
                <w:tcPr>
                  <w:tcW w:w="675" w:type="dxa"/>
                  <w:vMerge w:val="continue"/>
                  <w:vAlign w:val="center"/>
                </w:tcPr>
                <w:p w14:paraId="387A4222">
                  <w:pPr>
                    <w:topLinePunct/>
                    <w:autoSpaceDE w:val="0"/>
                    <w:autoSpaceDN w:val="0"/>
                    <w:adjustRightInd w:val="0"/>
                    <w:snapToGrid w:val="0"/>
                    <w:jc w:val="center"/>
                    <w:textAlignment w:val="baseline"/>
                    <w:rPr>
                      <w:color w:val="auto"/>
                      <w:sz w:val="20"/>
                      <w:szCs w:val="20"/>
                      <w:highlight w:val="none"/>
                    </w:rPr>
                  </w:pPr>
                </w:p>
              </w:tc>
              <w:tc>
                <w:tcPr>
                  <w:tcW w:w="789" w:type="dxa"/>
                  <w:vAlign w:val="center"/>
                </w:tcPr>
                <w:p w14:paraId="024D7172">
                  <w:pPr>
                    <w:topLinePunct/>
                    <w:snapToGrid w:val="0"/>
                    <w:jc w:val="center"/>
                    <w:rPr>
                      <w:color w:val="auto"/>
                      <w:sz w:val="20"/>
                      <w:szCs w:val="20"/>
                      <w:highlight w:val="none"/>
                    </w:rPr>
                  </w:pPr>
                  <w:r>
                    <w:rPr>
                      <w:rFonts w:hint="eastAsia"/>
                      <w:color w:val="auto"/>
                      <w:sz w:val="20"/>
                      <w:szCs w:val="20"/>
                      <w:highlight w:val="none"/>
                    </w:rPr>
                    <w:t>废油桶</w:t>
                  </w:r>
                </w:p>
              </w:tc>
              <w:tc>
                <w:tcPr>
                  <w:tcW w:w="789" w:type="dxa"/>
                  <w:vAlign w:val="center"/>
                </w:tcPr>
                <w:p w14:paraId="3415532F">
                  <w:pPr>
                    <w:adjustRightInd w:val="0"/>
                    <w:snapToGrid w:val="0"/>
                    <w:spacing w:before="20" w:after="20" w:line="320" w:lineRule="exact"/>
                    <w:jc w:val="center"/>
                    <w:rPr>
                      <w:color w:val="auto"/>
                      <w:sz w:val="20"/>
                      <w:szCs w:val="20"/>
                      <w:highlight w:val="none"/>
                    </w:rPr>
                  </w:pPr>
                  <w:r>
                    <w:rPr>
                      <w:rFonts w:hint="eastAsia"/>
                      <w:color w:val="auto"/>
                      <w:sz w:val="20"/>
                      <w:szCs w:val="20"/>
                      <w:highlight w:val="none"/>
                    </w:rPr>
                    <w:t>HW08</w:t>
                  </w:r>
                </w:p>
              </w:tc>
              <w:tc>
                <w:tcPr>
                  <w:tcW w:w="1154" w:type="dxa"/>
                  <w:vAlign w:val="center"/>
                </w:tcPr>
                <w:p w14:paraId="4BF7CEEA">
                  <w:pPr>
                    <w:adjustRightInd w:val="0"/>
                    <w:snapToGrid w:val="0"/>
                    <w:spacing w:before="20" w:after="20" w:line="320" w:lineRule="exact"/>
                    <w:jc w:val="center"/>
                    <w:rPr>
                      <w:color w:val="auto"/>
                      <w:sz w:val="20"/>
                      <w:szCs w:val="20"/>
                      <w:highlight w:val="none"/>
                    </w:rPr>
                  </w:pPr>
                  <w:r>
                    <w:rPr>
                      <w:rFonts w:hint="eastAsia"/>
                      <w:color w:val="auto"/>
                      <w:sz w:val="20"/>
                      <w:szCs w:val="20"/>
                      <w:highlight w:val="none"/>
                    </w:rPr>
                    <w:t>900-249-08</w:t>
                  </w:r>
                </w:p>
              </w:tc>
              <w:tc>
                <w:tcPr>
                  <w:tcW w:w="1009" w:type="dxa"/>
                  <w:vMerge w:val="continue"/>
                  <w:vAlign w:val="center"/>
                </w:tcPr>
                <w:p w14:paraId="32C31F2A">
                  <w:pPr>
                    <w:topLinePunct/>
                    <w:autoSpaceDE w:val="0"/>
                    <w:autoSpaceDN w:val="0"/>
                    <w:adjustRightInd w:val="0"/>
                    <w:snapToGrid w:val="0"/>
                    <w:jc w:val="center"/>
                    <w:textAlignment w:val="baseline"/>
                    <w:rPr>
                      <w:color w:val="auto"/>
                      <w:sz w:val="20"/>
                      <w:szCs w:val="20"/>
                      <w:highlight w:val="none"/>
                    </w:rPr>
                  </w:pPr>
                </w:p>
              </w:tc>
              <w:tc>
                <w:tcPr>
                  <w:tcW w:w="545" w:type="dxa"/>
                  <w:vMerge w:val="continue"/>
                  <w:vAlign w:val="center"/>
                </w:tcPr>
                <w:p w14:paraId="14E98CB6">
                  <w:pPr>
                    <w:topLinePunct/>
                    <w:autoSpaceDE w:val="0"/>
                    <w:autoSpaceDN w:val="0"/>
                    <w:adjustRightInd w:val="0"/>
                    <w:snapToGrid w:val="0"/>
                    <w:jc w:val="center"/>
                    <w:textAlignment w:val="baseline"/>
                    <w:rPr>
                      <w:color w:val="auto"/>
                      <w:sz w:val="20"/>
                      <w:szCs w:val="20"/>
                      <w:highlight w:val="none"/>
                    </w:rPr>
                  </w:pPr>
                </w:p>
              </w:tc>
              <w:tc>
                <w:tcPr>
                  <w:tcW w:w="580" w:type="dxa"/>
                  <w:vMerge w:val="continue"/>
                  <w:vAlign w:val="center"/>
                </w:tcPr>
                <w:p w14:paraId="6D42B470">
                  <w:pPr>
                    <w:topLinePunct/>
                    <w:autoSpaceDE w:val="0"/>
                    <w:autoSpaceDN w:val="0"/>
                    <w:adjustRightInd w:val="0"/>
                    <w:snapToGrid w:val="0"/>
                    <w:jc w:val="center"/>
                    <w:textAlignment w:val="baseline"/>
                    <w:rPr>
                      <w:color w:val="auto"/>
                      <w:sz w:val="20"/>
                      <w:szCs w:val="20"/>
                      <w:highlight w:val="none"/>
                    </w:rPr>
                  </w:pPr>
                </w:p>
              </w:tc>
              <w:tc>
                <w:tcPr>
                  <w:tcW w:w="443" w:type="dxa"/>
                  <w:vMerge w:val="continue"/>
                  <w:vAlign w:val="center"/>
                </w:tcPr>
                <w:p w14:paraId="54CD5601">
                  <w:pPr>
                    <w:topLinePunct/>
                    <w:autoSpaceDE w:val="0"/>
                    <w:autoSpaceDN w:val="0"/>
                    <w:adjustRightInd w:val="0"/>
                    <w:snapToGrid w:val="0"/>
                    <w:jc w:val="center"/>
                    <w:textAlignment w:val="baseline"/>
                    <w:rPr>
                      <w:color w:val="auto"/>
                      <w:sz w:val="20"/>
                      <w:szCs w:val="20"/>
                      <w:highlight w:val="none"/>
                    </w:rPr>
                  </w:pPr>
                </w:p>
              </w:tc>
              <w:tc>
                <w:tcPr>
                  <w:tcW w:w="896" w:type="dxa"/>
                  <w:vMerge w:val="continue"/>
                  <w:vAlign w:val="center"/>
                </w:tcPr>
                <w:p w14:paraId="3A4A6D43">
                  <w:pPr>
                    <w:topLinePunct/>
                    <w:autoSpaceDE w:val="0"/>
                    <w:autoSpaceDN w:val="0"/>
                    <w:adjustRightInd w:val="0"/>
                    <w:snapToGrid w:val="0"/>
                    <w:jc w:val="center"/>
                    <w:textAlignment w:val="baseline"/>
                    <w:rPr>
                      <w:color w:val="auto"/>
                      <w:sz w:val="20"/>
                      <w:szCs w:val="20"/>
                      <w:highlight w:val="none"/>
                    </w:rPr>
                  </w:pPr>
                </w:p>
              </w:tc>
              <w:tc>
                <w:tcPr>
                  <w:tcW w:w="737" w:type="dxa"/>
                  <w:vAlign w:val="center"/>
                </w:tcPr>
                <w:p w14:paraId="353014E3">
                  <w:pPr>
                    <w:topLinePunct/>
                    <w:snapToGrid w:val="0"/>
                    <w:jc w:val="center"/>
                    <w:rPr>
                      <w:color w:val="auto"/>
                      <w:sz w:val="20"/>
                      <w:szCs w:val="20"/>
                      <w:highlight w:val="none"/>
                    </w:rPr>
                  </w:pPr>
                  <w:r>
                    <w:rPr>
                      <w:rFonts w:hint="eastAsia"/>
                      <w:color w:val="auto"/>
                      <w:sz w:val="20"/>
                      <w:szCs w:val="20"/>
                      <w:highlight w:val="none"/>
                    </w:rPr>
                    <w:t>0.2</w:t>
                  </w:r>
                </w:p>
              </w:tc>
            </w:tr>
            <w:tr w14:paraId="39FA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 w:type="dxa"/>
                  <w:vMerge w:val="continue"/>
                  <w:vAlign w:val="center"/>
                </w:tcPr>
                <w:p w14:paraId="4F17A281">
                  <w:pPr>
                    <w:topLinePunct/>
                    <w:autoSpaceDE w:val="0"/>
                    <w:autoSpaceDN w:val="0"/>
                    <w:adjustRightInd w:val="0"/>
                    <w:snapToGrid w:val="0"/>
                    <w:ind w:firstLine="482"/>
                    <w:jc w:val="center"/>
                    <w:textAlignment w:val="baseline"/>
                    <w:rPr>
                      <w:color w:val="auto"/>
                      <w:sz w:val="20"/>
                      <w:szCs w:val="20"/>
                      <w:highlight w:val="none"/>
                    </w:rPr>
                  </w:pPr>
                </w:p>
              </w:tc>
              <w:tc>
                <w:tcPr>
                  <w:tcW w:w="675" w:type="dxa"/>
                  <w:vMerge w:val="continue"/>
                  <w:vAlign w:val="center"/>
                </w:tcPr>
                <w:p w14:paraId="43511832">
                  <w:pPr>
                    <w:topLinePunct/>
                    <w:autoSpaceDE w:val="0"/>
                    <w:autoSpaceDN w:val="0"/>
                    <w:adjustRightInd w:val="0"/>
                    <w:snapToGrid w:val="0"/>
                    <w:jc w:val="center"/>
                    <w:textAlignment w:val="baseline"/>
                    <w:rPr>
                      <w:color w:val="auto"/>
                      <w:sz w:val="20"/>
                      <w:szCs w:val="20"/>
                      <w:highlight w:val="none"/>
                    </w:rPr>
                  </w:pPr>
                </w:p>
              </w:tc>
              <w:tc>
                <w:tcPr>
                  <w:tcW w:w="789" w:type="dxa"/>
                  <w:vAlign w:val="center"/>
                </w:tcPr>
                <w:p w14:paraId="27FDF987">
                  <w:pPr>
                    <w:topLinePunct/>
                    <w:snapToGrid w:val="0"/>
                    <w:jc w:val="center"/>
                    <w:rPr>
                      <w:color w:val="auto"/>
                      <w:sz w:val="20"/>
                      <w:szCs w:val="20"/>
                      <w:highlight w:val="none"/>
                    </w:rPr>
                  </w:pPr>
                  <w:r>
                    <w:rPr>
                      <w:rFonts w:hint="eastAsia"/>
                      <w:color w:val="auto"/>
                      <w:sz w:val="20"/>
                      <w:szCs w:val="20"/>
                      <w:highlight w:val="none"/>
                    </w:rPr>
                    <w:t>含油棉纱和手套</w:t>
                  </w:r>
                </w:p>
              </w:tc>
              <w:tc>
                <w:tcPr>
                  <w:tcW w:w="789" w:type="dxa"/>
                  <w:vAlign w:val="center"/>
                </w:tcPr>
                <w:p w14:paraId="7DFE217F">
                  <w:pPr>
                    <w:adjustRightInd w:val="0"/>
                    <w:snapToGrid w:val="0"/>
                    <w:spacing w:before="20" w:after="20" w:line="320" w:lineRule="exact"/>
                    <w:jc w:val="center"/>
                    <w:rPr>
                      <w:color w:val="auto"/>
                      <w:sz w:val="20"/>
                      <w:szCs w:val="20"/>
                      <w:highlight w:val="none"/>
                    </w:rPr>
                  </w:pPr>
                  <w:r>
                    <w:rPr>
                      <w:rFonts w:hint="eastAsia"/>
                      <w:color w:val="auto"/>
                      <w:sz w:val="20"/>
                      <w:szCs w:val="20"/>
                      <w:highlight w:val="none"/>
                    </w:rPr>
                    <w:t>HW49</w:t>
                  </w:r>
                </w:p>
              </w:tc>
              <w:tc>
                <w:tcPr>
                  <w:tcW w:w="1154" w:type="dxa"/>
                  <w:vAlign w:val="center"/>
                </w:tcPr>
                <w:p w14:paraId="7EC19B04">
                  <w:pPr>
                    <w:adjustRightInd w:val="0"/>
                    <w:snapToGrid w:val="0"/>
                    <w:spacing w:before="20" w:after="20" w:line="320" w:lineRule="exact"/>
                    <w:jc w:val="center"/>
                    <w:rPr>
                      <w:color w:val="auto"/>
                      <w:sz w:val="20"/>
                      <w:szCs w:val="20"/>
                      <w:highlight w:val="none"/>
                    </w:rPr>
                  </w:pPr>
                  <w:r>
                    <w:rPr>
                      <w:rFonts w:hint="eastAsia"/>
                      <w:color w:val="auto"/>
                      <w:sz w:val="20"/>
                      <w:szCs w:val="20"/>
                      <w:highlight w:val="none"/>
                    </w:rPr>
                    <w:t>900-041-49</w:t>
                  </w:r>
                </w:p>
              </w:tc>
              <w:tc>
                <w:tcPr>
                  <w:tcW w:w="1009" w:type="dxa"/>
                  <w:vMerge w:val="continue"/>
                  <w:vAlign w:val="center"/>
                </w:tcPr>
                <w:p w14:paraId="39658A74">
                  <w:pPr>
                    <w:topLinePunct/>
                    <w:autoSpaceDE w:val="0"/>
                    <w:autoSpaceDN w:val="0"/>
                    <w:adjustRightInd w:val="0"/>
                    <w:snapToGrid w:val="0"/>
                    <w:jc w:val="center"/>
                    <w:textAlignment w:val="baseline"/>
                    <w:rPr>
                      <w:color w:val="auto"/>
                      <w:sz w:val="20"/>
                      <w:szCs w:val="20"/>
                      <w:highlight w:val="none"/>
                    </w:rPr>
                  </w:pPr>
                </w:p>
              </w:tc>
              <w:tc>
                <w:tcPr>
                  <w:tcW w:w="545" w:type="dxa"/>
                  <w:vMerge w:val="continue"/>
                  <w:vAlign w:val="center"/>
                </w:tcPr>
                <w:p w14:paraId="49341906">
                  <w:pPr>
                    <w:topLinePunct/>
                    <w:autoSpaceDE w:val="0"/>
                    <w:autoSpaceDN w:val="0"/>
                    <w:adjustRightInd w:val="0"/>
                    <w:snapToGrid w:val="0"/>
                    <w:jc w:val="center"/>
                    <w:textAlignment w:val="baseline"/>
                    <w:rPr>
                      <w:color w:val="auto"/>
                      <w:sz w:val="20"/>
                      <w:szCs w:val="20"/>
                      <w:highlight w:val="none"/>
                    </w:rPr>
                  </w:pPr>
                </w:p>
              </w:tc>
              <w:tc>
                <w:tcPr>
                  <w:tcW w:w="580" w:type="dxa"/>
                  <w:vMerge w:val="continue"/>
                  <w:vAlign w:val="center"/>
                </w:tcPr>
                <w:p w14:paraId="5A05058F">
                  <w:pPr>
                    <w:topLinePunct/>
                    <w:autoSpaceDE w:val="0"/>
                    <w:autoSpaceDN w:val="0"/>
                    <w:adjustRightInd w:val="0"/>
                    <w:snapToGrid w:val="0"/>
                    <w:jc w:val="center"/>
                    <w:textAlignment w:val="baseline"/>
                    <w:rPr>
                      <w:color w:val="auto"/>
                      <w:sz w:val="20"/>
                      <w:szCs w:val="20"/>
                      <w:highlight w:val="none"/>
                    </w:rPr>
                  </w:pPr>
                </w:p>
              </w:tc>
              <w:tc>
                <w:tcPr>
                  <w:tcW w:w="443" w:type="dxa"/>
                  <w:vMerge w:val="continue"/>
                  <w:vAlign w:val="center"/>
                </w:tcPr>
                <w:p w14:paraId="2337568E">
                  <w:pPr>
                    <w:topLinePunct/>
                    <w:autoSpaceDE w:val="0"/>
                    <w:autoSpaceDN w:val="0"/>
                    <w:adjustRightInd w:val="0"/>
                    <w:snapToGrid w:val="0"/>
                    <w:jc w:val="center"/>
                    <w:textAlignment w:val="baseline"/>
                    <w:rPr>
                      <w:color w:val="auto"/>
                      <w:sz w:val="20"/>
                      <w:szCs w:val="20"/>
                      <w:highlight w:val="none"/>
                    </w:rPr>
                  </w:pPr>
                </w:p>
              </w:tc>
              <w:tc>
                <w:tcPr>
                  <w:tcW w:w="896" w:type="dxa"/>
                  <w:vMerge w:val="continue"/>
                  <w:vAlign w:val="center"/>
                </w:tcPr>
                <w:p w14:paraId="7295053D">
                  <w:pPr>
                    <w:topLinePunct/>
                    <w:autoSpaceDE w:val="0"/>
                    <w:autoSpaceDN w:val="0"/>
                    <w:adjustRightInd w:val="0"/>
                    <w:snapToGrid w:val="0"/>
                    <w:jc w:val="center"/>
                    <w:textAlignment w:val="baseline"/>
                    <w:rPr>
                      <w:color w:val="auto"/>
                      <w:sz w:val="20"/>
                      <w:szCs w:val="20"/>
                      <w:highlight w:val="none"/>
                    </w:rPr>
                  </w:pPr>
                </w:p>
              </w:tc>
              <w:tc>
                <w:tcPr>
                  <w:tcW w:w="737" w:type="dxa"/>
                  <w:vAlign w:val="center"/>
                </w:tcPr>
                <w:p w14:paraId="27C36904">
                  <w:pPr>
                    <w:topLinePunct/>
                    <w:snapToGrid w:val="0"/>
                    <w:jc w:val="center"/>
                    <w:rPr>
                      <w:color w:val="auto"/>
                      <w:sz w:val="20"/>
                      <w:szCs w:val="20"/>
                      <w:highlight w:val="none"/>
                    </w:rPr>
                  </w:pPr>
                  <w:r>
                    <w:rPr>
                      <w:rFonts w:hint="eastAsia"/>
                      <w:color w:val="auto"/>
                      <w:sz w:val="20"/>
                      <w:szCs w:val="20"/>
                      <w:highlight w:val="none"/>
                    </w:rPr>
                    <w:t>0.15</w:t>
                  </w:r>
                </w:p>
              </w:tc>
            </w:tr>
            <w:tr w14:paraId="3CE7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 w:type="dxa"/>
                  <w:vMerge w:val="continue"/>
                  <w:vAlign w:val="center"/>
                </w:tcPr>
                <w:p w14:paraId="67967531">
                  <w:pPr>
                    <w:topLinePunct/>
                    <w:autoSpaceDE w:val="0"/>
                    <w:autoSpaceDN w:val="0"/>
                    <w:adjustRightInd w:val="0"/>
                    <w:snapToGrid w:val="0"/>
                    <w:ind w:firstLine="482"/>
                    <w:jc w:val="center"/>
                    <w:textAlignment w:val="baseline"/>
                    <w:rPr>
                      <w:color w:val="auto"/>
                      <w:sz w:val="20"/>
                      <w:szCs w:val="20"/>
                      <w:highlight w:val="none"/>
                    </w:rPr>
                  </w:pPr>
                </w:p>
              </w:tc>
              <w:tc>
                <w:tcPr>
                  <w:tcW w:w="675" w:type="dxa"/>
                  <w:vMerge w:val="continue"/>
                  <w:vAlign w:val="center"/>
                </w:tcPr>
                <w:p w14:paraId="4C527FEA">
                  <w:pPr>
                    <w:topLinePunct/>
                    <w:autoSpaceDE w:val="0"/>
                    <w:autoSpaceDN w:val="0"/>
                    <w:adjustRightInd w:val="0"/>
                    <w:snapToGrid w:val="0"/>
                    <w:jc w:val="center"/>
                    <w:textAlignment w:val="baseline"/>
                    <w:rPr>
                      <w:color w:val="auto"/>
                      <w:sz w:val="20"/>
                      <w:szCs w:val="20"/>
                      <w:highlight w:val="none"/>
                    </w:rPr>
                  </w:pPr>
                </w:p>
              </w:tc>
              <w:tc>
                <w:tcPr>
                  <w:tcW w:w="789" w:type="dxa"/>
                  <w:vAlign w:val="center"/>
                </w:tcPr>
                <w:p w14:paraId="1AB91603">
                  <w:pPr>
                    <w:topLinePunct/>
                    <w:snapToGrid w:val="0"/>
                    <w:jc w:val="center"/>
                    <w:rPr>
                      <w:color w:val="auto"/>
                      <w:sz w:val="20"/>
                      <w:szCs w:val="20"/>
                      <w:highlight w:val="none"/>
                    </w:rPr>
                  </w:pPr>
                  <w:r>
                    <w:rPr>
                      <w:rFonts w:hint="eastAsia"/>
                      <w:color w:val="auto"/>
                      <w:sz w:val="20"/>
                      <w:szCs w:val="20"/>
                      <w:highlight w:val="none"/>
                    </w:rPr>
                    <w:t>废含油抹布</w:t>
                  </w:r>
                </w:p>
              </w:tc>
              <w:tc>
                <w:tcPr>
                  <w:tcW w:w="789" w:type="dxa"/>
                  <w:vAlign w:val="center"/>
                </w:tcPr>
                <w:p w14:paraId="1C246912">
                  <w:pPr>
                    <w:adjustRightInd w:val="0"/>
                    <w:snapToGrid w:val="0"/>
                    <w:spacing w:before="20" w:after="20" w:line="320" w:lineRule="exact"/>
                    <w:jc w:val="center"/>
                    <w:rPr>
                      <w:color w:val="auto"/>
                      <w:sz w:val="20"/>
                      <w:szCs w:val="20"/>
                      <w:highlight w:val="none"/>
                    </w:rPr>
                  </w:pPr>
                  <w:r>
                    <w:rPr>
                      <w:rFonts w:hint="eastAsia"/>
                      <w:color w:val="auto"/>
                      <w:sz w:val="20"/>
                      <w:szCs w:val="20"/>
                      <w:highlight w:val="none"/>
                    </w:rPr>
                    <w:t>HW49</w:t>
                  </w:r>
                </w:p>
              </w:tc>
              <w:tc>
                <w:tcPr>
                  <w:tcW w:w="1154" w:type="dxa"/>
                  <w:vAlign w:val="center"/>
                </w:tcPr>
                <w:p w14:paraId="0D3DC8B0">
                  <w:pPr>
                    <w:adjustRightInd w:val="0"/>
                    <w:snapToGrid w:val="0"/>
                    <w:spacing w:before="20" w:after="20" w:line="320" w:lineRule="exact"/>
                    <w:jc w:val="center"/>
                    <w:rPr>
                      <w:color w:val="auto"/>
                      <w:sz w:val="20"/>
                      <w:szCs w:val="20"/>
                      <w:highlight w:val="none"/>
                    </w:rPr>
                  </w:pPr>
                  <w:r>
                    <w:rPr>
                      <w:rFonts w:hint="eastAsia"/>
                      <w:color w:val="auto"/>
                      <w:sz w:val="20"/>
                      <w:szCs w:val="20"/>
                      <w:highlight w:val="none"/>
                    </w:rPr>
                    <w:t>900-041-49</w:t>
                  </w:r>
                </w:p>
              </w:tc>
              <w:tc>
                <w:tcPr>
                  <w:tcW w:w="1009" w:type="dxa"/>
                  <w:vMerge w:val="continue"/>
                  <w:vAlign w:val="center"/>
                </w:tcPr>
                <w:p w14:paraId="750A9796">
                  <w:pPr>
                    <w:topLinePunct/>
                    <w:autoSpaceDE w:val="0"/>
                    <w:autoSpaceDN w:val="0"/>
                    <w:adjustRightInd w:val="0"/>
                    <w:snapToGrid w:val="0"/>
                    <w:jc w:val="center"/>
                    <w:textAlignment w:val="baseline"/>
                    <w:rPr>
                      <w:color w:val="auto"/>
                      <w:sz w:val="20"/>
                      <w:szCs w:val="20"/>
                      <w:highlight w:val="none"/>
                    </w:rPr>
                  </w:pPr>
                </w:p>
              </w:tc>
              <w:tc>
                <w:tcPr>
                  <w:tcW w:w="545" w:type="dxa"/>
                  <w:vMerge w:val="continue"/>
                  <w:vAlign w:val="center"/>
                </w:tcPr>
                <w:p w14:paraId="5471850B">
                  <w:pPr>
                    <w:topLinePunct/>
                    <w:autoSpaceDE w:val="0"/>
                    <w:autoSpaceDN w:val="0"/>
                    <w:adjustRightInd w:val="0"/>
                    <w:snapToGrid w:val="0"/>
                    <w:jc w:val="center"/>
                    <w:textAlignment w:val="baseline"/>
                    <w:rPr>
                      <w:color w:val="auto"/>
                      <w:sz w:val="20"/>
                      <w:szCs w:val="20"/>
                      <w:highlight w:val="none"/>
                    </w:rPr>
                  </w:pPr>
                </w:p>
              </w:tc>
              <w:tc>
                <w:tcPr>
                  <w:tcW w:w="580" w:type="dxa"/>
                  <w:vMerge w:val="continue"/>
                  <w:vAlign w:val="center"/>
                </w:tcPr>
                <w:p w14:paraId="623F7F03">
                  <w:pPr>
                    <w:topLinePunct/>
                    <w:autoSpaceDE w:val="0"/>
                    <w:autoSpaceDN w:val="0"/>
                    <w:adjustRightInd w:val="0"/>
                    <w:snapToGrid w:val="0"/>
                    <w:jc w:val="center"/>
                    <w:textAlignment w:val="baseline"/>
                    <w:rPr>
                      <w:color w:val="auto"/>
                      <w:sz w:val="20"/>
                      <w:szCs w:val="20"/>
                      <w:highlight w:val="none"/>
                    </w:rPr>
                  </w:pPr>
                </w:p>
              </w:tc>
              <w:tc>
                <w:tcPr>
                  <w:tcW w:w="443" w:type="dxa"/>
                  <w:vMerge w:val="continue"/>
                  <w:vAlign w:val="center"/>
                </w:tcPr>
                <w:p w14:paraId="13D3FF4D">
                  <w:pPr>
                    <w:topLinePunct/>
                    <w:autoSpaceDE w:val="0"/>
                    <w:autoSpaceDN w:val="0"/>
                    <w:adjustRightInd w:val="0"/>
                    <w:snapToGrid w:val="0"/>
                    <w:jc w:val="center"/>
                    <w:textAlignment w:val="baseline"/>
                    <w:rPr>
                      <w:color w:val="auto"/>
                      <w:sz w:val="20"/>
                      <w:szCs w:val="20"/>
                      <w:highlight w:val="none"/>
                    </w:rPr>
                  </w:pPr>
                </w:p>
              </w:tc>
              <w:tc>
                <w:tcPr>
                  <w:tcW w:w="896" w:type="dxa"/>
                  <w:vMerge w:val="continue"/>
                  <w:vAlign w:val="center"/>
                </w:tcPr>
                <w:p w14:paraId="5656D9B3">
                  <w:pPr>
                    <w:topLinePunct/>
                    <w:autoSpaceDE w:val="0"/>
                    <w:autoSpaceDN w:val="0"/>
                    <w:adjustRightInd w:val="0"/>
                    <w:snapToGrid w:val="0"/>
                    <w:jc w:val="center"/>
                    <w:textAlignment w:val="baseline"/>
                    <w:rPr>
                      <w:color w:val="auto"/>
                      <w:sz w:val="20"/>
                      <w:szCs w:val="20"/>
                      <w:highlight w:val="none"/>
                    </w:rPr>
                  </w:pPr>
                </w:p>
              </w:tc>
              <w:tc>
                <w:tcPr>
                  <w:tcW w:w="737" w:type="dxa"/>
                  <w:vAlign w:val="center"/>
                </w:tcPr>
                <w:p w14:paraId="60B0A5BD">
                  <w:pPr>
                    <w:topLinePunct/>
                    <w:snapToGrid w:val="0"/>
                    <w:jc w:val="center"/>
                    <w:rPr>
                      <w:rFonts w:hint="default" w:eastAsia="宋体"/>
                      <w:color w:val="auto"/>
                      <w:sz w:val="20"/>
                      <w:szCs w:val="20"/>
                      <w:highlight w:val="none"/>
                      <w:lang w:val="en-US" w:eastAsia="zh-CN"/>
                    </w:rPr>
                  </w:pPr>
                  <w:r>
                    <w:rPr>
                      <w:rFonts w:hint="eastAsia"/>
                      <w:color w:val="auto"/>
                      <w:sz w:val="20"/>
                      <w:szCs w:val="20"/>
                      <w:highlight w:val="none"/>
                      <w:lang w:val="en-US" w:eastAsia="zh-CN"/>
                    </w:rPr>
                    <w:t>0.5</w:t>
                  </w:r>
                </w:p>
              </w:tc>
            </w:tr>
            <w:tr w14:paraId="206E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 w:type="dxa"/>
                  <w:vMerge w:val="continue"/>
                  <w:vAlign w:val="center"/>
                </w:tcPr>
                <w:p w14:paraId="6CA6F12F">
                  <w:pPr>
                    <w:topLinePunct/>
                    <w:autoSpaceDE w:val="0"/>
                    <w:autoSpaceDN w:val="0"/>
                    <w:adjustRightInd w:val="0"/>
                    <w:snapToGrid w:val="0"/>
                    <w:ind w:firstLine="482"/>
                    <w:jc w:val="center"/>
                    <w:textAlignment w:val="baseline"/>
                    <w:rPr>
                      <w:color w:val="auto"/>
                      <w:sz w:val="20"/>
                      <w:szCs w:val="20"/>
                      <w:highlight w:val="none"/>
                    </w:rPr>
                  </w:pPr>
                </w:p>
              </w:tc>
              <w:tc>
                <w:tcPr>
                  <w:tcW w:w="675" w:type="dxa"/>
                  <w:vMerge w:val="continue"/>
                  <w:vAlign w:val="center"/>
                </w:tcPr>
                <w:p w14:paraId="4AE1914C">
                  <w:pPr>
                    <w:topLinePunct/>
                    <w:autoSpaceDE w:val="0"/>
                    <w:autoSpaceDN w:val="0"/>
                    <w:adjustRightInd w:val="0"/>
                    <w:snapToGrid w:val="0"/>
                    <w:jc w:val="center"/>
                    <w:textAlignment w:val="baseline"/>
                    <w:rPr>
                      <w:color w:val="auto"/>
                      <w:sz w:val="20"/>
                      <w:szCs w:val="20"/>
                      <w:highlight w:val="none"/>
                    </w:rPr>
                  </w:pPr>
                </w:p>
              </w:tc>
              <w:tc>
                <w:tcPr>
                  <w:tcW w:w="789" w:type="dxa"/>
                  <w:vAlign w:val="center"/>
                </w:tcPr>
                <w:p w14:paraId="7A50A2D5">
                  <w:pPr>
                    <w:topLinePunct/>
                    <w:snapToGrid w:val="0"/>
                    <w:jc w:val="center"/>
                    <w:rPr>
                      <w:color w:val="auto"/>
                      <w:sz w:val="20"/>
                      <w:szCs w:val="20"/>
                      <w:highlight w:val="none"/>
                    </w:rPr>
                  </w:pPr>
                  <w:r>
                    <w:rPr>
                      <w:rFonts w:hint="eastAsia"/>
                      <w:color w:val="auto"/>
                      <w:sz w:val="20"/>
                      <w:szCs w:val="20"/>
                      <w:highlight w:val="none"/>
                    </w:rPr>
                    <w:t>废胶瓶</w:t>
                  </w:r>
                </w:p>
              </w:tc>
              <w:tc>
                <w:tcPr>
                  <w:tcW w:w="789" w:type="dxa"/>
                  <w:vAlign w:val="center"/>
                </w:tcPr>
                <w:p w14:paraId="74B92974">
                  <w:pPr>
                    <w:adjustRightInd w:val="0"/>
                    <w:snapToGrid w:val="0"/>
                    <w:spacing w:before="20" w:after="20" w:line="320" w:lineRule="exact"/>
                    <w:jc w:val="center"/>
                    <w:rPr>
                      <w:color w:val="auto"/>
                      <w:sz w:val="20"/>
                      <w:szCs w:val="20"/>
                      <w:highlight w:val="none"/>
                    </w:rPr>
                  </w:pPr>
                  <w:r>
                    <w:rPr>
                      <w:rFonts w:hint="eastAsia"/>
                      <w:color w:val="auto"/>
                      <w:sz w:val="20"/>
                      <w:szCs w:val="20"/>
                      <w:highlight w:val="none"/>
                    </w:rPr>
                    <w:t>HW49</w:t>
                  </w:r>
                </w:p>
              </w:tc>
              <w:tc>
                <w:tcPr>
                  <w:tcW w:w="1154" w:type="dxa"/>
                  <w:vAlign w:val="center"/>
                </w:tcPr>
                <w:p w14:paraId="3809474A">
                  <w:pPr>
                    <w:adjustRightInd w:val="0"/>
                    <w:snapToGrid w:val="0"/>
                    <w:spacing w:before="20" w:after="20" w:line="320" w:lineRule="exact"/>
                    <w:jc w:val="center"/>
                    <w:rPr>
                      <w:color w:val="auto"/>
                      <w:sz w:val="20"/>
                      <w:szCs w:val="20"/>
                      <w:highlight w:val="none"/>
                    </w:rPr>
                  </w:pPr>
                  <w:r>
                    <w:rPr>
                      <w:rFonts w:hint="eastAsia"/>
                      <w:color w:val="auto"/>
                      <w:sz w:val="20"/>
                      <w:szCs w:val="20"/>
                      <w:highlight w:val="none"/>
                    </w:rPr>
                    <w:t>900-041-49</w:t>
                  </w:r>
                </w:p>
              </w:tc>
              <w:tc>
                <w:tcPr>
                  <w:tcW w:w="1009" w:type="dxa"/>
                  <w:vMerge w:val="continue"/>
                  <w:vAlign w:val="center"/>
                </w:tcPr>
                <w:p w14:paraId="42D69792">
                  <w:pPr>
                    <w:topLinePunct/>
                    <w:autoSpaceDE w:val="0"/>
                    <w:autoSpaceDN w:val="0"/>
                    <w:adjustRightInd w:val="0"/>
                    <w:snapToGrid w:val="0"/>
                    <w:jc w:val="center"/>
                    <w:textAlignment w:val="baseline"/>
                    <w:rPr>
                      <w:color w:val="auto"/>
                      <w:sz w:val="20"/>
                      <w:szCs w:val="20"/>
                      <w:highlight w:val="none"/>
                    </w:rPr>
                  </w:pPr>
                </w:p>
              </w:tc>
              <w:tc>
                <w:tcPr>
                  <w:tcW w:w="545" w:type="dxa"/>
                  <w:vMerge w:val="continue"/>
                  <w:vAlign w:val="center"/>
                </w:tcPr>
                <w:p w14:paraId="2D54D1FC">
                  <w:pPr>
                    <w:topLinePunct/>
                    <w:autoSpaceDE w:val="0"/>
                    <w:autoSpaceDN w:val="0"/>
                    <w:adjustRightInd w:val="0"/>
                    <w:snapToGrid w:val="0"/>
                    <w:jc w:val="center"/>
                    <w:textAlignment w:val="baseline"/>
                    <w:rPr>
                      <w:color w:val="auto"/>
                      <w:sz w:val="20"/>
                      <w:szCs w:val="20"/>
                      <w:highlight w:val="none"/>
                    </w:rPr>
                  </w:pPr>
                </w:p>
              </w:tc>
              <w:tc>
                <w:tcPr>
                  <w:tcW w:w="580" w:type="dxa"/>
                  <w:vMerge w:val="continue"/>
                  <w:vAlign w:val="center"/>
                </w:tcPr>
                <w:p w14:paraId="26A5EFA4">
                  <w:pPr>
                    <w:topLinePunct/>
                    <w:autoSpaceDE w:val="0"/>
                    <w:autoSpaceDN w:val="0"/>
                    <w:adjustRightInd w:val="0"/>
                    <w:snapToGrid w:val="0"/>
                    <w:jc w:val="center"/>
                    <w:textAlignment w:val="baseline"/>
                    <w:rPr>
                      <w:color w:val="auto"/>
                      <w:sz w:val="20"/>
                      <w:szCs w:val="20"/>
                      <w:highlight w:val="none"/>
                    </w:rPr>
                  </w:pPr>
                </w:p>
              </w:tc>
              <w:tc>
                <w:tcPr>
                  <w:tcW w:w="443" w:type="dxa"/>
                  <w:vMerge w:val="continue"/>
                  <w:vAlign w:val="center"/>
                </w:tcPr>
                <w:p w14:paraId="3BA8A39F">
                  <w:pPr>
                    <w:topLinePunct/>
                    <w:autoSpaceDE w:val="0"/>
                    <w:autoSpaceDN w:val="0"/>
                    <w:adjustRightInd w:val="0"/>
                    <w:snapToGrid w:val="0"/>
                    <w:jc w:val="center"/>
                    <w:textAlignment w:val="baseline"/>
                    <w:rPr>
                      <w:color w:val="auto"/>
                      <w:sz w:val="20"/>
                      <w:szCs w:val="20"/>
                      <w:highlight w:val="none"/>
                    </w:rPr>
                  </w:pPr>
                </w:p>
              </w:tc>
              <w:tc>
                <w:tcPr>
                  <w:tcW w:w="896" w:type="dxa"/>
                  <w:vMerge w:val="continue"/>
                  <w:vAlign w:val="center"/>
                </w:tcPr>
                <w:p w14:paraId="085854B5">
                  <w:pPr>
                    <w:topLinePunct/>
                    <w:autoSpaceDE w:val="0"/>
                    <w:autoSpaceDN w:val="0"/>
                    <w:adjustRightInd w:val="0"/>
                    <w:snapToGrid w:val="0"/>
                    <w:jc w:val="center"/>
                    <w:textAlignment w:val="baseline"/>
                    <w:rPr>
                      <w:color w:val="auto"/>
                      <w:sz w:val="20"/>
                      <w:szCs w:val="20"/>
                      <w:highlight w:val="none"/>
                    </w:rPr>
                  </w:pPr>
                </w:p>
              </w:tc>
              <w:tc>
                <w:tcPr>
                  <w:tcW w:w="737" w:type="dxa"/>
                  <w:vAlign w:val="center"/>
                </w:tcPr>
                <w:p w14:paraId="1B708615">
                  <w:pPr>
                    <w:topLinePunct/>
                    <w:snapToGrid w:val="0"/>
                    <w:jc w:val="center"/>
                    <w:rPr>
                      <w:color w:val="auto"/>
                      <w:sz w:val="20"/>
                      <w:szCs w:val="20"/>
                      <w:highlight w:val="none"/>
                    </w:rPr>
                  </w:pPr>
                  <w:r>
                    <w:rPr>
                      <w:rFonts w:hint="eastAsia"/>
                      <w:color w:val="auto"/>
                      <w:sz w:val="20"/>
                      <w:szCs w:val="20"/>
                      <w:highlight w:val="none"/>
                    </w:rPr>
                    <w:t>0.01</w:t>
                  </w:r>
                </w:p>
              </w:tc>
            </w:tr>
          </w:tbl>
          <w:p w14:paraId="17472CBA">
            <w:pPr>
              <w:adjustRightInd w:val="0"/>
              <w:snapToGrid w:val="0"/>
              <w:rPr>
                <w:rFonts w:ascii="宋体" w:hAnsi="宋体" w:cs="宋体"/>
                <w:color w:val="auto"/>
                <w:kern w:val="0"/>
                <w:sz w:val="26"/>
                <w:szCs w:val="26"/>
                <w:highlight w:val="none"/>
              </w:rPr>
            </w:pPr>
            <w:r>
              <w:rPr>
                <w:rFonts w:hint="eastAsia" w:ascii="宋体" w:hAnsi="宋体" w:cs="宋体"/>
                <w:color w:val="auto"/>
                <w:kern w:val="0"/>
                <w:szCs w:val="21"/>
                <w:highlight w:val="none"/>
              </w:rPr>
              <w:t>注：贮存点应及时清运贮存的危险废物，实时贮存量不应超过3t。</w:t>
            </w:r>
          </w:p>
          <w:p w14:paraId="65F736E1">
            <w:pPr>
              <w:spacing w:line="480" w:lineRule="exact"/>
              <w:ind w:firstLine="522" w:firstLineChars="200"/>
              <w:rPr>
                <w:b/>
                <w:bCs/>
                <w:color w:val="auto"/>
                <w:sz w:val="26"/>
                <w:szCs w:val="26"/>
                <w:highlight w:val="none"/>
              </w:rPr>
            </w:pPr>
            <w:r>
              <w:rPr>
                <w:b/>
                <w:bCs/>
                <w:color w:val="auto"/>
                <w:sz w:val="26"/>
                <w:szCs w:val="26"/>
                <w:highlight w:val="none"/>
              </w:rPr>
              <w:t>（</w:t>
            </w:r>
            <w:r>
              <w:rPr>
                <w:rFonts w:hint="eastAsia"/>
                <w:b/>
                <w:bCs/>
                <w:color w:val="auto"/>
                <w:sz w:val="26"/>
                <w:szCs w:val="26"/>
                <w:highlight w:val="none"/>
              </w:rPr>
              <w:t>1</w:t>
            </w:r>
            <w:r>
              <w:rPr>
                <w:b/>
                <w:bCs/>
                <w:color w:val="auto"/>
                <w:sz w:val="26"/>
                <w:szCs w:val="26"/>
                <w:highlight w:val="none"/>
              </w:rPr>
              <w:t>）生活垃圾</w:t>
            </w:r>
          </w:p>
          <w:p w14:paraId="0E403940">
            <w:pPr>
              <w:pStyle w:val="67"/>
              <w:spacing w:line="480" w:lineRule="exact"/>
              <w:ind w:firstLine="520"/>
              <w:jc w:val="both"/>
              <w:rPr>
                <w:color w:val="auto"/>
                <w:sz w:val="26"/>
                <w:szCs w:val="26"/>
                <w:highlight w:val="none"/>
              </w:rPr>
            </w:pPr>
            <w:r>
              <w:rPr>
                <w:rFonts w:hint="eastAsia"/>
                <w:color w:val="auto"/>
                <w:sz w:val="26"/>
                <w:szCs w:val="26"/>
                <w:highlight w:val="none"/>
              </w:rPr>
              <w:t>本项目</w:t>
            </w:r>
            <w:r>
              <w:rPr>
                <w:color w:val="auto"/>
                <w:sz w:val="26"/>
                <w:szCs w:val="26"/>
                <w:highlight w:val="none"/>
              </w:rPr>
              <w:t>工作人员生活垃圾产生量按0.</w:t>
            </w:r>
            <w:r>
              <w:rPr>
                <w:rFonts w:hint="eastAsia"/>
                <w:color w:val="auto"/>
                <w:sz w:val="26"/>
                <w:szCs w:val="26"/>
                <w:highlight w:val="none"/>
              </w:rPr>
              <w:t>5</w:t>
            </w:r>
            <w:r>
              <w:rPr>
                <w:color w:val="auto"/>
                <w:sz w:val="26"/>
                <w:szCs w:val="26"/>
                <w:highlight w:val="none"/>
              </w:rPr>
              <w:t>kg/d·人计</w:t>
            </w:r>
            <w:r>
              <w:rPr>
                <w:rFonts w:hint="eastAsia"/>
                <w:color w:val="auto"/>
                <w:sz w:val="26"/>
                <w:szCs w:val="26"/>
                <w:highlight w:val="none"/>
              </w:rPr>
              <w:t>，</w:t>
            </w:r>
            <w:r>
              <w:rPr>
                <w:color w:val="auto"/>
                <w:sz w:val="26"/>
                <w:szCs w:val="26"/>
                <w:highlight w:val="none"/>
              </w:rPr>
              <w:t>工作人员共计</w:t>
            </w:r>
            <w:r>
              <w:rPr>
                <w:rFonts w:hint="eastAsia"/>
                <w:color w:val="auto"/>
                <w:sz w:val="26"/>
                <w:szCs w:val="26"/>
                <w:highlight w:val="none"/>
              </w:rPr>
              <w:t>12</w:t>
            </w:r>
            <w:r>
              <w:rPr>
                <w:color w:val="auto"/>
                <w:sz w:val="26"/>
                <w:szCs w:val="26"/>
                <w:highlight w:val="none"/>
              </w:rPr>
              <w:t>0人</w:t>
            </w:r>
            <w:r>
              <w:rPr>
                <w:rFonts w:hint="eastAsia"/>
                <w:color w:val="auto"/>
                <w:sz w:val="26"/>
                <w:szCs w:val="26"/>
                <w:highlight w:val="none"/>
              </w:rPr>
              <w:t>，</w:t>
            </w:r>
            <w:r>
              <w:rPr>
                <w:color w:val="auto"/>
                <w:sz w:val="26"/>
                <w:szCs w:val="26"/>
                <w:highlight w:val="none"/>
              </w:rPr>
              <w:t>则本项目生活垃圾产生量为</w:t>
            </w:r>
            <w:r>
              <w:rPr>
                <w:rFonts w:hint="eastAsia"/>
                <w:color w:val="auto"/>
                <w:sz w:val="26"/>
                <w:szCs w:val="26"/>
                <w:highlight w:val="none"/>
              </w:rPr>
              <w:t>18</w:t>
            </w:r>
            <w:r>
              <w:rPr>
                <w:color w:val="auto"/>
                <w:sz w:val="26"/>
                <w:szCs w:val="26"/>
                <w:highlight w:val="none"/>
              </w:rPr>
              <w:t>t/a。本项目运营期间将在</w:t>
            </w:r>
            <w:r>
              <w:rPr>
                <w:rFonts w:hint="eastAsia"/>
                <w:color w:val="auto"/>
                <w:sz w:val="26"/>
                <w:szCs w:val="26"/>
                <w:highlight w:val="none"/>
              </w:rPr>
              <w:t>办公楼</w:t>
            </w:r>
            <w:r>
              <w:rPr>
                <w:color w:val="auto"/>
                <w:sz w:val="26"/>
                <w:szCs w:val="26"/>
                <w:highlight w:val="none"/>
              </w:rPr>
              <w:t>设置分类垃圾桶，生活办公垃圾经分类收集后</w:t>
            </w:r>
            <w:r>
              <w:rPr>
                <w:rFonts w:hint="eastAsia"/>
                <w:color w:val="auto"/>
                <w:sz w:val="26"/>
                <w:szCs w:val="26"/>
                <w:highlight w:val="none"/>
              </w:rPr>
              <w:t>统一</w:t>
            </w:r>
            <w:r>
              <w:rPr>
                <w:color w:val="auto"/>
                <w:sz w:val="26"/>
                <w:szCs w:val="26"/>
                <w:highlight w:val="none"/>
              </w:rPr>
              <w:t>交由环卫部门清运。</w:t>
            </w:r>
          </w:p>
          <w:p w14:paraId="55EBF32F">
            <w:pPr>
              <w:pStyle w:val="67"/>
              <w:spacing w:line="480" w:lineRule="exact"/>
              <w:ind w:firstLine="522"/>
              <w:jc w:val="both"/>
              <w:rPr>
                <w:b/>
                <w:bCs/>
                <w:color w:val="auto"/>
                <w:sz w:val="26"/>
                <w:szCs w:val="26"/>
                <w:highlight w:val="none"/>
              </w:rPr>
            </w:pPr>
            <w:r>
              <w:rPr>
                <w:rFonts w:hint="eastAsia"/>
                <w:b/>
                <w:bCs/>
                <w:color w:val="auto"/>
                <w:sz w:val="26"/>
                <w:szCs w:val="26"/>
                <w:highlight w:val="none"/>
              </w:rPr>
              <w:t>（2）一般固体废物</w:t>
            </w:r>
          </w:p>
          <w:p w14:paraId="37FE65C3">
            <w:pPr>
              <w:spacing w:line="480" w:lineRule="exact"/>
              <w:ind w:firstLine="520" w:firstLineChars="200"/>
              <w:rPr>
                <w:color w:val="auto"/>
                <w:sz w:val="26"/>
                <w:szCs w:val="26"/>
                <w:highlight w:val="none"/>
              </w:rPr>
            </w:pPr>
            <w:r>
              <w:rPr>
                <w:rFonts w:hint="eastAsia"/>
                <w:color w:val="auto"/>
                <w:sz w:val="26"/>
                <w:szCs w:val="26"/>
                <w:highlight w:val="none"/>
              </w:rPr>
              <w:t>①一般废包装材料：项目一般原辅材料使用过程中会产生废包装，根据建设单位提供资料，产生量约5t/a，属于一般工业固废，定期交由物资回收单位回收处置。</w:t>
            </w:r>
          </w:p>
          <w:p w14:paraId="6396C79A">
            <w:pPr>
              <w:spacing w:line="480" w:lineRule="exact"/>
              <w:ind w:firstLine="520" w:firstLineChars="200"/>
              <w:rPr>
                <w:color w:val="auto"/>
                <w:sz w:val="26"/>
                <w:szCs w:val="26"/>
                <w:highlight w:val="none"/>
              </w:rPr>
            </w:pPr>
            <w:r>
              <w:rPr>
                <w:rFonts w:hint="eastAsia"/>
                <w:color w:val="auto"/>
                <w:sz w:val="26"/>
                <w:szCs w:val="26"/>
                <w:highlight w:val="none"/>
              </w:rPr>
              <w:t>②废金属边角料：本项目在切割、冲液压、不合格产品打磨过程中产生金属废边角料，项目原料用量约34090t</w:t>
            </w:r>
            <w:r>
              <w:rPr>
                <w:rFonts w:hint="eastAsia"/>
                <w:color w:val="auto"/>
                <w:sz w:val="26"/>
                <w:szCs w:val="26"/>
                <w:highlight w:val="none"/>
                <w:lang w:eastAsia="zh-CN"/>
              </w:rPr>
              <w:t>、产品</w:t>
            </w:r>
            <w:r>
              <w:rPr>
                <w:rFonts w:hint="eastAsia"/>
                <w:color w:val="auto"/>
                <w:sz w:val="26"/>
                <w:szCs w:val="26"/>
                <w:highlight w:val="none"/>
                <w:lang w:val="en-US" w:eastAsia="zh-CN"/>
              </w:rPr>
              <w:t>30000t、不合格产品300t、除尘灰约1.33t、粉尘排放量约0.17t</w:t>
            </w:r>
            <w:r>
              <w:rPr>
                <w:rFonts w:hint="eastAsia"/>
                <w:color w:val="auto"/>
                <w:sz w:val="26"/>
                <w:szCs w:val="26"/>
                <w:highlight w:val="none"/>
                <w:lang w:eastAsia="zh-CN"/>
              </w:rPr>
              <w:t>，</w:t>
            </w:r>
            <w:r>
              <w:rPr>
                <w:rFonts w:hint="eastAsia"/>
                <w:color w:val="auto"/>
                <w:sz w:val="26"/>
                <w:szCs w:val="26"/>
                <w:highlight w:val="none"/>
              </w:rPr>
              <w:t>则废金属边角料产生量约</w:t>
            </w:r>
            <w:r>
              <w:rPr>
                <w:rFonts w:hint="eastAsia"/>
                <w:color w:val="auto"/>
                <w:sz w:val="26"/>
                <w:szCs w:val="26"/>
                <w:highlight w:val="none"/>
                <w:lang w:val="en-US" w:eastAsia="zh-CN"/>
              </w:rPr>
              <w:t>3788</w:t>
            </w:r>
            <w:r>
              <w:rPr>
                <w:rFonts w:hint="eastAsia"/>
                <w:color w:val="auto"/>
                <w:sz w:val="26"/>
                <w:szCs w:val="26"/>
                <w:highlight w:val="none"/>
              </w:rPr>
              <w:t>t/a，压块打包后定期交由物资回收单位回收处置。</w:t>
            </w:r>
          </w:p>
          <w:p w14:paraId="3CC27652">
            <w:pPr>
              <w:spacing w:line="480" w:lineRule="exact"/>
              <w:ind w:firstLine="520" w:firstLineChars="200"/>
              <w:rPr>
                <w:color w:val="auto"/>
                <w:sz w:val="26"/>
                <w:szCs w:val="26"/>
                <w:highlight w:val="none"/>
              </w:rPr>
            </w:pPr>
            <w:r>
              <w:rPr>
                <w:rFonts w:hint="eastAsia"/>
                <w:color w:val="auto"/>
                <w:sz w:val="26"/>
                <w:szCs w:val="26"/>
                <w:highlight w:val="none"/>
              </w:rPr>
              <w:t>③不合格产品：项目在检验过程中产生不合格产品，根据建设单位提供资料，不合格产品产生量约为产品量的1%，因此本项目不合格产品产生量约300t/a，压块打包后定期交由物资回收单位回收处置。</w:t>
            </w:r>
          </w:p>
          <w:p w14:paraId="51F4E207">
            <w:pPr>
              <w:spacing w:line="480" w:lineRule="exact"/>
              <w:ind w:firstLine="520" w:firstLineChars="200"/>
              <w:rPr>
                <w:color w:val="auto"/>
                <w:sz w:val="26"/>
                <w:szCs w:val="26"/>
                <w:highlight w:val="none"/>
              </w:rPr>
            </w:pPr>
            <w:r>
              <w:rPr>
                <w:rFonts w:hint="eastAsia"/>
                <w:color w:val="auto"/>
                <w:sz w:val="26"/>
                <w:szCs w:val="26"/>
                <w:highlight w:val="none"/>
              </w:rPr>
              <w:t>④废焊丝：项目再焊接过程中产生废焊丝，焊接过程废焊丝产生量约占焊材使用量的2%，本项目焊丝使用量为16t/a，则废焊丝产生量约0.32t/a，定期交由物资回收单位回收处置。</w:t>
            </w:r>
          </w:p>
          <w:p w14:paraId="452E6B17">
            <w:pPr>
              <w:spacing w:line="480" w:lineRule="exact"/>
              <w:ind w:firstLine="520" w:firstLineChars="200"/>
              <w:rPr>
                <w:color w:val="auto"/>
                <w:sz w:val="26"/>
                <w:szCs w:val="26"/>
                <w:highlight w:val="none"/>
              </w:rPr>
            </w:pPr>
            <w:r>
              <w:rPr>
                <w:rFonts w:hint="eastAsia"/>
                <w:color w:val="auto"/>
                <w:sz w:val="26"/>
                <w:szCs w:val="26"/>
                <w:highlight w:val="none"/>
              </w:rPr>
              <w:t>⑤废模具维护耗材：模具维护时产生，包括丝锥、弹簧、冲针等废耗材，类比同类型企业，产生约0.5t/a，定期交由物资回收单位回收处置。</w:t>
            </w:r>
          </w:p>
          <w:p w14:paraId="7CD8E4E2">
            <w:pPr>
              <w:spacing w:line="480" w:lineRule="exact"/>
              <w:ind w:firstLine="520" w:firstLineChars="200"/>
              <w:rPr>
                <w:color w:val="auto"/>
                <w:sz w:val="26"/>
                <w:szCs w:val="26"/>
                <w:highlight w:val="none"/>
              </w:rPr>
            </w:pPr>
            <w:r>
              <w:rPr>
                <w:rFonts w:hint="eastAsia"/>
                <w:color w:val="auto"/>
                <w:sz w:val="26"/>
                <w:szCs w:val="26"/>
                <w:highlight w:val="none"/>
              </w:rPr>
              <w:t>⑥废滤芯：本项目使用滤芯除尘器，产生废滤芯，类比同类型企业，产生量约0.2t/a，定期交由物资回收单位回收处置。</w:t>
            </w:r>
          </w:p>
          <w:p w14:paraId="0A919EEB">
            <w:pPr>
              <w:spacing w:line="480" w:lineRule="exact"/>
              <w:ind w:firstLine="520" w:firstLineChars="200"/>
              <w:rPr>
                <w:color w:val="auto"/>
                <w:sz w:val="26"/>
                <w:szCs w:val="26"/>
                <w:highlight w:val="none"/>
              </w:rPr>
            </w:pPr>
            <w:r>
              <w:rPr>
                <w:rFonts w:hint="eastAsia"/>
                <w:color w:val="auto"/>
                <w:sz w:val="26"/>
                <w:szCs w:val="26"/>
                <w:highlight w:val="none"/>
              </w:rPr>
              <w:t>⑦除尘灰：本项目滤芯除尘器除尘收集的粉尘约</w:t>
            </w:r>
            <w:r>
              <w:rPr>
                <w:rFonts w:hint="eastAsia"/>
                <w:color w:val="auto"/>
                <w:sz w:val="26"/>
                <w:szCs w:val="26"/>
                <w:highlight w:val="none"/>
                <w:lang w:val="en-US" w:eastAsia="zh-CN"/>
              </w:rPr>
              <w:t>1.33</w:t>
            </w:r>
            <w:r>
              <w:rPr>
                <w:rFonts w:hint="eastAsia"/>
                <w:color w:val="auto"/>
                <w:sz w:val="26"/>
                <w:szCs w:val="26"/>
                <w:highlight w:val="none"/>
              </w:rPr>
              <w:t>t/a，定期交由物资回收单位回收处置。</w:t>
            </w:r>
          </w:p>
          <w:p w14:paraId="760802AF">
            <w:pPr>
              <w:spacing w:line="480" w:lineRule="exact"/>
              <w:ind w:firstLine="520" w:firstLineChars="200"/>
              <w:rPr>
                <w:color w:val="auto"/>
                <w:sz w:val="26"/>
                <w:szCs w:val="26"/>
                <w:highlight w:val="none"/>
              </w:rPr>
            </w:pPr>
            <w:r>
              <w:rPr>
                <w:rFonts w:hint="eastAsia"/>
                <w:color w:val="auto"/>
                <w:sz w:val="26"/>
                <w:szCs w:val="26"/>
                <w:highlight w:val="none"/>
              </w:rPr>
              <w:t>⑧生化污泥：综合生化池定期清掏废物，生化污泥产生量约0.5t/a。</w:t>
            </w:r>
          </w:p>
          <w:p w14:paraId="24963614">
            <w:pPr>
              <w:spacing w:line="480" w:lineRule="exact"/>
              <w:ind w:firstLine="522" w:firstLineChars="200"/>
              <w:rPr>
                <w:b/>
                <w:bCs/>
                <w:color w:val="auto"/>
                <w:sz w:val="26"/>
                <w:szCs w:val="26"/>
                <w:highlight w:val="none"/>
              </w:rPr>
            </w:pPr>
            <w:r>
              <w:rPr>
                <w:rFonts w:hint="eastAsia"/>
                <w:b/>
                <w:bCs/>
                <w:color w:val="auto"/>
                <w:sz w:val="26"/>
                <w:szCs w:val="26"/>
                <w:highlight w:val="none"/>
              </w:rPr>
              <w:t>（3）危险废物</w:t>
            </w:r>
          </w:p>
          <w:p w14:paraId="593463BF">
            <w:pPr>
              <w:pStyle w:val="67"/>
              <w:spacing w:line="480" w:lineRule="exact"/>
              <w:ind w:firstLine="520"/>
              <w:jc w:val="both"/>
              <w:rPr>
                <w:color w:val="auto"/>
                <w:sz w:val="26"/>
                <w:szCs w:val="26"/>
                <w:highlight w:val="none"/>
              </w:rPr>
            </w:pPr>
            <w:r>
              <w:rPr>
                <w:rFonts w:hint="eastAsia"/>
                <w:color w:val="auto"/>
                <w:sz w:val="26"/>
                <w:szCs w:val="26"/>
                <w:highlight w:val="none"/>
              </w:rPr>
              <w:t>①废胶瓶：由于折边胶使用过程中会产生废胶瓶，类比同类型企业，产生量约0.01t/a，属于危险废物，废物代码为HW49（900-041-49），集中收集后存放在危废贮存点，定期交由有资质单位处置。</w:t>
            </w:r>
          </w:p>
          <w:p w14:paraId="0A064956">
            <w:pPr>
              <w:pStyle w:val="67"/>
              <w:spacing w:line="480" w:lineRule="exact"/>
              <w:ind w:firstLine="520"/>
              <w:jc w:val="both"/>
              <w:rPr>
                <w:color w:val="auto"/>
                <w:sz w:val="26"/>
                <w:szCs w:val="26"/>
                <w:highlight w:val="none"/>
              </w:rPr>
            </w:pPr>
            <w:r>
              <w:rPr>
                <w:rFonts w:hint="eastAsia"/>
                <w:color w:val="auto"/>
                <w:sz w:val="26"/>
                <w:szCs w:val="26"/>
                <w:highlight w:val="none"/>
              </w:rPr>
              <w:t>②废油桶：项目润滑油、液压油使用过程中会产生废油桶，产生量约为0.2t/a，属于危险废物，废物代码为HW08（900-249-08），集中收集后暂存于危废贮存点，定期交由有资质单位处置。</w:t>
            </w:r>
          </w:p>
          <w:p w14:paraId="0C5CD7C1">
            <w:pPr>
              <w:pStyle w:val="67"/>
              <w:spacing w:line="480" w:lineRule="exact"/>
              <w:ind w:firstLine="520"/>
              <w:jc w:val="both"/>
              <w:rPr>
                <w:color w:val="auto"/>
                <w:sz w:val="26"/>
                <w:szCs w:val="26"/>
                <w:highlight w:val="none"/>
              </w:rPr>
            </w:pPr>
            <w:r>
              <w:rPr>
                <w:rFonts w:hint="eastAsia"/>
                <w:color w:val="auto"/>
                <w:sz w:val="26"/>
                <w:szCs w:val="26"/>
                <w:highlight w:val="none"/>
              </w:rPr>
              <w:t>③废润滑油：项目设备维修保养会产生废润滑油，产生量约0.15t/a，属于危险废物，废物代码为HW08（900-217-08），集中收集后暂存于危废贮存点，定期交由有资质单位处置。</w:t>
            </w:r>
          </w:p>
          <w:p w14:paraId="40B26E3B">
            <w:pPr>
              <w:pStyle w:val="67"/>
              <w:spacing w:line="480" w:lineRule="exact"/>
              <w:ind w:firstLine="520"/>
              <w:jc w:val="both"/>
              <w:rPr>
                <w:color w:val="auto"/>
                <w:sz w:val="26"/>
                <w:szCs w:val="26"/>
                <w:highlight w:val="none"/>
              </w:rPr>
            </w:pPr>
            <w:r>
              <w:rPr>
                <w:rFonts w:hint="eastAsia"/>
                <w:color w:val="auto"/>
                <w:sz w:val="26"/>
                <w:szCs w:val="26"/>
                <w:highlight w:val="none"/>
              </w:rPr>
              <w:t>④废液压油：根据业主提供的资料，本项目使用高品质液压油，根据实际情况不定期补充，使用周期较长，一般1年更换</w:t>
            </w:r>
            <w:r>
              <w:rPr>
                <w:rFonts w:hint="eastAsia"/>
                <w:color w:val="auto"/>
                <w:sz w:val="26"/>
                <w:szCs w:val="26"/>
                <w:highlight w:val="none"/>
                <w:lang w:val="en-US" w:eastAsia="zh-CN"/>
              </w:rPr>
              <w:t>2</w:t>
            </w:r>
            <w:r>
              <w:rPr>
                <w:rFonts w:hint="eastAsia"/>
                <w:color w:val="auto"/>
                <w:sz w:val="26"/>
                <w:szCs w:val="26"/>
                <w:highlight w:val="none"/>
              </w:rPr>
              <w:t>次，</w:t>
            </w:r>
            <w:r>
              <w:rPr>
                <w:rFonts w:hint="eastAsia"/>
                <w:color w:val="auto"/>
                <w:sz w:val="26"/>
                <w:szCs w:val="26"/>
                <w:highlight w:val="none"/>
                <w:lang w:eastAsia="zh-CN"/>
              </w:rPr>
              <w:t>一次更换量约为</w:t>
            </w:r>
            <w:r>
              <w:rPr>
                <w:rFonts w:hint="eastAsia"/>
                <w:color w:val="auto"/>
                <w:sz w:val="26"/>
                <w:szCs w:val="26"/>
                <w:highlight w:val="none"/>
                <w:lang w:val="en-US" w:eastAsia="zh-CN"/>
              </w:rPr>
              <w:t>50%</w:t>
            </w:r>
            <w:r>
              <w:rPr>
                <w:rFonts w:hint="eastAsia"/>
                <w:color w:val="auto"/>
                <w:sz w:val="26"/>
                <w:szCs w:val="26"/>
                <w:highlight w:val="none"/>
              </w:rPr>
              <w:t>，则更换时废液压油一次产生量约</w:t>
            </w:r>
            <w:r>
              <w:rPr>
                <w:rFonts w:hint="eastAsia"/>
                <w:color w:val="auto"/>
                <w:sz w:val="26"/>
                <w:szCs w:val="26"/>
                <w:highlight w:val="none"/>
                <w:lang w:val="en-US" w:eastAsia="zh-CN"/>
              </w:rPr>
              <w:t>8.5</w:t>
            </w:r>
            <w:r>
              <w:rPr>
                <w:rFonts w:hint="eastAsia"/>
                <w:color w:val="auto"/>
                <w:sz w:val="26"/>
                <w:szCs w:val="26"/>
                <w:highlight w:val="none"/>
              </w:rPr>
              <w:t>t，</w:t>
            </w:r>
            <w:r>
              <w:rPr>
                <w:rFonts w:hint="eastAsia"/>
                <w:color w:val="auto"/>
                <w:sz w:val="26"/>
                <w:szCs w:val="26"/>
                <w:highlight w:val="none"/>
                <w:lang w:eastAsia="zh-CN"/>
              </w:rPr>
              <w:t>年产生量为</w:t>
            </w:r>
            <w:r>
              <w:rPr>
                <w:rFonts w:hint="eastAsia"/>
                <w:color w:val="auto"/>
                <w:sz w:val="26"/>
                <w:szCs w:val="26"/>
                <w:highlight w:val="none"/>
                <w:lang w:val="en-US" w:eastAsia="zh-CN"/>
              </w:rPr>
              <w:t>17t/a</w:t>
            </w:r>
            <w:r>
              <w:rPr>
                <w:rFonts w:hint="eastAsia"/>
                <w:color w:val="auto"/>
                <w:sz w:val="26"/>
                <w:szCs w:val="26"/>
                <w:highlight w:val="none"/>
                <w:lang w:eastAsia="zh-CN"/>
              </w:rPr>
              <w:t>，在更换时提前联系资质单位，更换后立即转运交由有资质单位处置</w:t>
            </w:r>
            <w:r>
              <w:rPr>
                <w:rFonts w:hint="eastAsia"/>
                <w:color w:val="auto"/>
                <w:sz w:val="26"/>
                <w:szCs w:val="26"/>
                <w:highlight w:val="none"/>
              </w:rPr>
              <w:t>，不在厂区内暂存。同时在设备维保时也可能会有少量废液压油产生，约0.1t/a，集中收集后暂存于危废贮存点，定期交由有资质单位处置。废液压油属于危险废物，废物代码为HW08（900-218-08）。</w:t>
            </w:r>
          </w:p>
          <w:p w14:paraId="441A7B73">
            <w:pPr>
              <w:pStyle w:val="67"/>
              <w:spacing w:line="480" w:lineRule="exact"/>
              <w:ind w:firstLine="520"/>
              <w:jc w:val="both"/>
              <w:rPr>
                <w:color w:val="auto"/>
                <w:sz w:val="26"/>
                <w:szCs w:val="26"/>
                <w:highlight w:val="none"/>
              </w:rPr>
            </w:pPr>
            <w:r>
              <w:rPr>
                <w:rFonts w:hint="eastAsia"/>
                <w:color w:val="auto"/>
                <w:sz w:val="26"/>
                <w:szCs w:val="26"/>
                <w:highlight w:val="none"/>
              </w:rPr>
              <w:t>⑤废棉纱手套：项目在生产和设备维护过程中会产生一定的废棉纱手套，属于危险废物，产生量约为0.15t/a，属于危险废物，废物代码 HW49（900-041-49），集中收集后暂存于危废贮存点，定期交由有资质单位处理。</w:t>
            </w:r>
          </w:p>
          <w:p w14:paraId="5A2FAB0F">
            <w:pPr>
              <w:pStyle w:val="67"/>
              <w:spacing w:line="480" w:lineRule="exact"/>
              <w:ind w:firstLine="520"/>
              <w:jc w:val="both"/>
              <w:rPr>
                <w:rFonts w:hint="eastAsia"/>
                <w:color w:val="auto"/>
                <w:sz w:val="26"/>
                <w:szCs w:val="26"/>
                <w:highlight w:val="none"/>
              </w:rPr>
            </w:pPr>
            <w:r>
              <w:rPr>
                <w:rFonts w:hint="eastAsia"/>
                <w:color w:val="auto"/>
                <w:sz w:val="26"/>
                <w:szCs w:val="26"/>
                <w:highlight w:val="none"/>
              </w:rPr>
              <w:t>⑥废含油抹布：模具使用过程中，表面脏污时采用抹布擦拭，会产生少量废含油抹布，属于危险废物，产生量约为</w:t>
            </w:r>
            <w:r>
              <w:rPr>
                <w:rFonts w:hint="eastAsia"/>
                <w:color w:val="auto"/>
                <w:sz w:val="26"/>
                <w:szCs w:val="26"/>
                <w:highlight w:val="none"/>
                <w:lang w:val="en-US" w:eastAsia="zh-CN"/>
              </w:rPr>
              <w:t>0.5</w:t>
            </w:r>
            <w:r>
              <w:rPr>
                <w:rFonts w:hint="eastAsia"/>
                <w:color w:val="auto"/>
                <w:sz w:val="26"/>
                <w:szCs w:val="26"/>
                <w:highlight w:val="none"/>
              </w:rPr>
              <w:t>t/a，废物代码 HW49（900-041-49），集中收集后暂存于危废贮存点，定期交由有资质单位处理。</w:t>
            </w:r>
          </w:p>
          <w:p w14:paraId="695B8257">
            <w:pPr>
              <w:pStyle w:val="67"/>
              <w:spacing w:line="480" w:lineRule="exact"/>
              <w:ind w:firstLine="520"/>
              <w:rPr>
                <w:rFonts w:hint="eastAsia"/>
                <w:color w:val="auto"/>
                <w:sz w:val="26"/>
                <w:szCs w:val="26"/>
                <w:highlight w:val="none"/>
              </w:rPr>
            </w:pPr>
            <w:r>
              <w:rPr>
                <w:rFonts w:hint="eastAsia"/>
                <w:color w:val="auto"/>
                <w:sz w:val="26"/>
                <w:szCs w:val="26"/>
                <w:highlight w:val="none"/>
              </w:rPr>
              <w:t>⑦</w:t>
            </w:r>
            <w:r>
              <w:rPr>
                <w:rFonts w:hint="eastAsia"/>
                <w:color w:val="auto"/>
                <w:sz w:val="26"/>
                <w:szCs w:val="26"/>
                <w:highlight w:val="none"/>
                <w:lang w:eastAsia="zh-CN"/>
              </w:rPr>
              <w:t>含油废液：空压机空气压缩过程会产生少量的冷凝水，产生含油废液，属于危险废物。根据设备厂家提供数据，单台空压机组含油废液约</w:t>
            </w:r>
            <w:r>
              <w:rPr>
                <w:rFonts w:hint="eastAsia"/>
                <w:color w:val="auto"/>
                <w:sz w:val="26"/>
                <w:szCs w:val="26"/>
                <w:highlight w:val="none"/>
                <w:lang w:val="en-US" w:eastAsia="zh-CN"/>
              </w:rPr>
              <w:t>2个月排放一次，一次约产生0.05m³</w:t>
            </w:r>
            <w:r>
              <w:rPr>
                <w:rFonts w:hint="eastAsia"/>
                <w:color w:val="auto"/>
                <w:sz w:val="26"/>
                <w:szCs w:val="26"/>
                <w:highlight w:val="none"/>
                <w:lang w:eastAsia="zh-CN"/>
              </w:rPr>
              <w:t>，本项目共配备</w:t>
            </w:r>
            <w:r>
              <w:rPr>
                <w:rFonts w:hint="eastAsia"/>
                <w:color w:val="auto"/>
                <w:sz w:val="26"/>
                <w:szCs w:val="26"/>
                <w:highlight w:val="none"/>
                <w:lang w:val="en-US" w:eastAsia="zh-CN"/>
              </w:rPr>
              <w:t>3</w:t>
            </w:r>
            <w:r>
              <w:rPr>
                <w:rFonts w:hint="eastAsia"/>
                <w:color w:val="auto"/>
                <w:sz w:val="26"/>
                <w:szCs w:val="26"/>
                <w:highlight w:val="none"/>
                <w:lang w:eastAsia="zh-CN"/>
              </w:rPr>
              <w:t>空压机（其中</w:t>
            </w:r>
            <w:r>
              <w:rPr>
                <w:rFonts w:hint="eastAsia"/>
                <w:color w:val="auto"/>
                <w:sz w:val="26"/>
                <w:szCs w:val="26"/>
                <w:highlight w:val="none"/>
                <w:lang w:val="en-US" w:eastAsia="zh-CN"/>
              </w:rPr>
              <w:t>2台为激光切割设备自带</w:t>
            </w:r>
            <w:r>
              <w:rPr>
                <w:rFonts w:hint="eastAsia"/>
                <w:color w:val="auto"/>
                <w:sz w:val="26"/>
                <w:szCs w:val="26"/>
                <w:highlight w:val="none"/>
                <w:lang w:eastAsia="zh-CN"/>
              </w:rPr>
              <w:t>），估算含油废液产生量约为</w:t>
            </w:r>
            <w:r>
              <w:rPr>
                <w:rFonts w:hint="eastAsia"/>
                <w:color w:val="auto"/>
                <w:sz w:val="26"/>
                <w:szCs w:val="26"/>
                <w:highlight w:val="none"/>
                <w:lang w:val="en-US" w:eastAsia="zh-CN"/>
              </w:rPr>
              <w:t>0.75</w:t>
            </w:r>
            <w:r>
              <w:rPr>
                <w:rFonts w:hint="eastAsia"/>
                <w:color w:val="auto"/>
                <w:sz w:val="26"/>
                <w:szCs w:val="26"/>
                <w:highlight w:val="none"/>
                <w:lang w:eastAsia="zh-CN"/>
              </w:rPr>
              <w:t>t/a，废物代码 HW</w:t>
            </w:r>
            <w:r>
              <w:rPr>
                <w:rFonts w:hint="eastAsia"/>
                <w:color w:val="auto"/>
                <w:sz w:val="26"/>
                <w:szCs w:val="26"/>
                <w:highlight w:val="none"/>
                <w:lang w:val="en-US" w:eastAsia="zh-CN"/>
              </w:rPr>
              <w:t>08</w:t>
            </w:r>
            <w:r>
              <w:rPr>
                <w:rFonts w:hint="eastAsia"/>
                <w:color w:val="auto"/>
                <w:sz w:val="26"/>
                <w:szCs w:val="26"/>
                <w:highlight w:val="none"/>
                <w:lang w:eastAsia="zh-CN"/>
              </w:rPr>
              <w:t>（900-007-09），集中收集后暂存于危废贮存点，定期交由有资质单位处理。</w:t>
            </w:r>
          </w:p>
          <w:p w14:paraId="5C44BC30">
            <w:pPr>
              <w:pStyle w:val="79"/>
              <w:spacing w:line="480" w:lineRule="exact"/>
              <w:ind w:firstLine="522" w:firstLineChars="200"/>
              <w:jc w:val="both"/>
              <w:rPr>
                <w:color w:val="auto"/>
                <w:sz w:val="26"/>
                <w:szCs w:val="26"/>
                <w:highlight w:val="none"/>
              </w:rPr>
            </w:pPr>
            <w:r>
              <w:rPr>
                <w:color w:val="auto"/>
                <w:sz w:val="26"/>
                <w:szCs w:val="26"/>
                <w:highlight w:val="none"/>
              </w:rPr>
              <w:t>4.</w:t>
            </w:r>
            <w:r>
              <w:rPr>
                <w:rFonts w:hint="eastAsia"/>
                <w:color w:val="auto"/>
                <w:sz w:val="26"/>
                <w:szCs w:val="26"/>
                <w:highlight w:val="none"/>
              </w:rPr>
              <w:t>2.</w:t>
            </w:r>
            <w:r>
              <w:rPr>
                <w:color w:val="auto"/>
                <w:sz w:val="26"/>
                <w:szCs w:val="26"/>
                <w:highlight w:val="none"/>
              </w:rPr>
              <w:t>4.2 固体废物环境管理要求</w:t>
            </w:r>
          </w:p>
          <w:p w14:paraId="5C2E762E">
            <w:pPr>
              <w:spacing w:line="480" w:lineRule="exact"/>
              <w:ind w:firstLine="520" w:firstLineChars="200"/>
              <w:rPr>
                <w:color w:val="auto"/>
                <w:sz w:val="26"/>
                <w:szCs w:val="26"/>
                <w:highlight w:val="none"/>
              </w:rPr>
            </w:pPr>
            <w:r>
              <w:rPr>
                <w:rFonts w:hint="eastAsia"/>
                <w:color w:val="auto"/>
                <w:sz w:val="26"/>
                <w:szCs w:val="26"/>
                <w:highlight w:val="none"/>
              </w:rPr>
              <w:t>①运行过程建立全过程的固废污染环境防治责任制度，建立工业固体废物管理台账。按照《危险废物管理计划和管理台账制定技术导则》（HJ 1259—2022）要求，制定危险废物管理计划和管理台账。</w:t>
            </w:r>
          </w:p>
          <w:p w14:paraId="6377A08E">
            <w:pPr>
              <w:spacing w:line="480" w:lineRule="exact"/>
              <w:ind w:firstLine="520" w:firstLineChars="200"/>
              <w:rPr>
                <w:color w:val="auto"/>
                <w:sz w:val="26"/>
                <w:szCs w:val="26"/>
                <w:highlight w:val="none"/>
              </w:rPr>
            </w:pPr>
            <w:r>
              <w:rPr>
                <w:rFonts w:hint="eastAsia"/>
                <w:color w:val="auto"/>
                <w:sz w:val="26"/>
                <w:szCs w:val="26"/>
                <w:highlight w:val="none"/>
              </w:rPr>
              <w:t>②办公区设置垃圾收集桶，生活垃圾统一收集后交由环卫部门统一处理。</w:t>
            </w:r>
          </w:p>
          <w:p w14:paraId="78A9B796">
            <w:pPr>
              <w:spacing w:line="480" w:lineRule="exact"/>
              <w:ind w:firstLine="520" w:firstLineChars="200"/>
              <w:rPr>
                <w:color w:val="auto"/>
                <w:sz w:val="26"/>
                <w:szCs w:val="26"/>
                <w:highlight w:val="none"/>
              </w:rPr>
            </w:pPr>
            <w:r>
              <w:rPr>
                <w:rFonts w:hint="eastAsia"/>
                <w:color w:val="auto"/>
                <w:sz w:val="26"/>
                <w:szCs w:val="26"/>
                <w:highlight w:val="none"/>
              </w:rPr>
              <w:t>③一般固废暂存区防粉尘污染、防流失、防雨水进入，贮存应设置环境保护图形的警示、提示标志、环境保护图形</w:t>
            </w:r>
            <w:bookmarkStart w:id="93" w:name="hmcheck_87947f37a6a7495583d934f4f4dfc5b8"/>
            <w:r>
              <w:rPr>
                <w:rFonts w:hint="eastAsia"/>
                <w:color w:val="auto"/>
                <w:sz w:val="26"/>
                <w:szCs w:val="26"/>
                <w:highlight w:val="none"/>
                <w:shd w:val="clear" w:fill="B2E9BC"/>
                <w:lang w:eastAsia="zh-CN"/>
              </w:rPr>
              <w:t>标识</w:t>
            </w:r>
            <w:bookmarkEnd w:id="93"/>
            <w:r>
              <w:rPr>
                <w:rFonts w:hint="eastAsia"/>
                <w:color w:val="auto"/>
                <w:sz w:val="26"/>
                <w:szCs w:val="26"/>
                <w:highlight w:val="none"/>
              </w:rPr>
              <w:t>；堆场不得混入生活垃圾或危险废物等环境保护相关要求。一般固废收集后定期外售物资回收单位回收利用。</w:t>
            </w:r>
          </w:p>
          <w:p w14:paraId="37F5C592">
            <w:pPr>
              <w:spacing w:line="480" w:lineRule="exact"/>
              <w:ind w:firstLine="520" w:firstLineChars="200"/>
              <w:rPr>
                <w:color w:val="auto"/>
                <w:sz w:val="26"/>
                <w:szCs w:val="26"/>
                <w:highlight w:val="none"/>
              </w:rPr>
            </w:pPr>
            <w:r>
              <w:rPr>
                <w:rFonts w:hint="eastAsia"/>
                <w:color w:val="auto"/>
                <w:sz w:val="26"/>
                <w:szCs w:val="26"/>
                <w:highlight w:val="none"/>
              </w:rPr>
              <w:t>④各类危险废物分类暂存于危险废物贮存点，贮存点按照《危险废物贮存污染控制标准》（GB 18597—2023）的要求规范建设和维护管理：贮存点应具有固定的区域边界，并应采取与其他区域进行隔离的措施。采取防风、防雨、防晒和防止危险废物流失、扬散等措施。贮存的危险废物应置于容器或包装物中，不应直接散堆。根据危险废物的形态、物理化学性质、包装形式等，采取防渗、防漏等污染防治措施或采用具有相应功能的装置：贮存液态危险废物（如废润滑油、废液压油等）的，应具有液体泄漏堵截设施（设置围堰或下方设置托盘进行液体泄漏堵截等），堵截设施最小容积不应低于对应贮存区域最大液态废物容器容积或液态废物总储量 1/10（二者取较大者）；地面与裙脚应采取表面防渗措施，同时地面进行基础防渗，防渗层为至少1 m厚黏土层（渗透系数不大于10</w:t>
            </w:r>
            <w:r>
              <w:rPr>
                <w:rFonts w:hint="eastAsia"/>
                <w:color w:val="auto"/>
                <w:sz w:val="26"/>
                <w:szCs w:val="26"/>
                <w:highlight w:val="none"/>
                <w:vertAlign w:val="superscript"/>
              </w:rPr>
              <w:t>-7</w:t>
            </w:r>
            <w:r>
              <w:rPr>
                <w:rFonts w:hint="eastAsia"/>
                <w:color w:val="auto"/>
                <w:sz w:val="26"/>
                <w:szCs w:val="26"/>
                <w:highlight w:val="none"/>
              </w:rPr>
              <w:t xml:space="preserve"> cm/s），或至少2 mm 厚高密度聚乙烯膜等人工防渗材料（渗透系数不大于10</w:t>
            </w:r>
            <w:r>
              <w:rPr>
                <w:rFonts w:hint="eastAsia"/>
                <w:color w:val="auto"/>
                <w:sz w:val="26"/>
                <w:szCs w:val="26"/>
                <w:highlight w:val="none"/>
                <w:vertAlign w:val="superscript"/>
              </w:rPr>
              <w:t>-10</w:t>
            </w:r>
            <w:r>
              <w:rPr>
                <w:rFonts w:hint="eastAsia"/>
                <w:color w:val="auto"/>
                <w:sz w:val="26"/>
                <w:szCs w:val="26"/>
                <w:highlight w:val="none"/>
              </w:rPr>
              <w:t xml:space="preserve"> cm/s），或其他防渗性能等效的材料。含油废物等可能产生废气的危险废物置于闭口容器内。按GB15562.2的规定设置警示标志，危险废物贮存设施应配备</w:t>
            </w:r>
            <w:bookmarkStart w:id="94" w:name="hmcheck_dbc9f46cf3f04bc2baece721d6be5811"/>
            <w:r>
              <w:rPr>
                <w:rFonts w:hint="eastAsia"/>
                <w:color w:val="auto"/>
                <w:sz w:val="26"/>
                <w:szCs w:val="26"/>
                <w:highlight w:val="none"/>
                <w:shd w:val="clear" w:fill="B2E9BC"/>
                <w:lang w:eastAsia="zh-CN"/>
              </w:rPr>
              <w:t>通信设备</w:t>
            </w:r>
            <w:bookmarkEnd w:id="94"/>
            <w:r>
              <w:rPr>
                <w:rFonts w:hint="eastAsia"/>
                <w:color w:val="auto"/>
                <w:sz w:val="26"/>
                <w:szCs w:val="26"/>
                <w:highlight w:val="none"/>
              </w:rPr>
              <w:t>、照明设施、安全防护服装及工具，并设置应急防护设施。安排专人看管，危险废物定期运至有资质的危废处置单位处置，并由有资质的运输单位承运。危险废物在转移过程中需遵守《危险废物转移管理办法》中的相关规定。贮存点应及时清运贮存的危险废物，实时贮存量不应超过3t，液压油更换时一次性产生的</w:t>
            </w:r>
            <w:r>
              <w:rPr>
                <w:rFonts w:hint="eastAsia"/>
                <w:color w:val="auto"/>
                <w:sz w:val="26"/>
                <w:szCs w:val="26"/>
                <w:highlight w:val="none"/>
                <w:lang w:val="en-US" w:eastAsia="zh-CN"/>
              </w:rPr>
              <w:t>8.5</w:t>
            </w:r>
            <w:r>
              <w:rPr>
                <w:rFonts w:hint="eastAsia"/>
                <w:color w:val="auto"/>
                <w:sz w:val="26"/>
                <w:szCs w:val="26"/>
                <w:highlight w:val="none"/>
              </w:rPr>
              <w:t>t废液压油</w:t>
            </w:r>
            <w:r>
              <w:rPr>
                <w:rFonts w:hint="eastAsia"/>
                <w:color w:val="auto"/>
                <w:sz w:val="26"/>
                <w:szCs w:val="26"/>
                <w:highlight w:val="none"/>
                <w:lang w:eastAsia="zh-CN"/>
              </w:rPr>
              <w:t>在更换时提前联系资质单位，更换后立即转运交由有资质单位处置</w:t>
            </w:r>
            <w:r>
              <w:rPr>
                <w:rFonts w:hint="eastAsia"/>
                <w:color w:val="auto"/>
                <w:sz w:val="26"/>
                <w:szCs w:val="26"/>
                <w:highlight w:val="none"/>
              </w:rPr>
              <w:t>，不在厂区内暂存。</w:t>
            </w:r>
          </w:p>
          <w:p w14:paraId="71F5616B">
            <w:pPr>
              <w:spacing w:line="480" w:lineRule="exact"/>
              <w:ind w:firstLine="520" w:firstLineChars="200"/>
              <w:rPr>
                <w:color w:val="auto"/>
                <w:sz w:val="26"/>
                <w:szCs w:val="26"/>
                <w:highlight w:val="none"/>
              </w:rPr>
            </w:pPr>
            <w:r>
              <w:rPr>
                <w:rFonts w:hint="eastAsia"/>
                <w:color w:val="auto"/>
                <w:sz w:val="26"/>
                <w:szCs w:val="26"/>
                <w:highlight w:val="none"/>
              </w:rPr>
              <w:t>在采取以上措施后，本项目产生的固体废物能够得到妥善处置，不会造成二次污染。</w:t>
            </w:r>
          </w:p>
          <w:p w14:paraId="2708520D">
            <w:pPr>
              <w:adjustRightInd w:val="0"/>
              <w:snapToGrid w:val="0"/>
              <w:spacing w:line="480" w:lineRule="exact"/>
              <w:ind w:firstLine="482" w:firstLineChars="200"/>
              <w:rPr>
                <w:b/>
                <w:bCs/>
                <w:color w:val="auto"/>
                <w:spacing w:val="-10"/>
                <w:sz w:val="26"/>
                <w:szCs w:val="26"/>
                <w:highlight w:val="none"/>
              </w:rPr>
            </w:pPr>
            <w:r>
              <w:rPr>
                <w:b/>
                <w:bCs/>
                <w:color w:val="auto"/>
                <w:spacing w:val="-10"/>
                <w:sz w:val="26"/>
                <w:szCs w:val="26"/>
                <w:highlight w:val="none"/>
              </w:rPr>
              <w:t>4.</w:t>
            </w:r>
            <w:r>
              <w:rPr>
                <w:rFonts w:hint="eastAsia"/>
                <w:b/>
                <w:bCs/>
                <w:color w:val="auto"/>
                <w:spacing w:val="-10"/>
                <w:sz w:val="26"/>
                <w:szCs w:val="26"/>
                <w:highlight w:val="none"/>
              </w:rPr>
              <w:t>2.</w:t>
            </w:r>
            <w:r>
              <w:rPr>
                <w:b/>
                <w:bCs/>
                <w:color w:val="auto"/>
                <w:spacing w:val="-10"/>
                <w:sz w:val="26"/>
                <w:szCs w:val="26"/>
                <w:highlight w:val="none"/>
              </w:rPr>
              <w:t>5 地下水和土壤环境</w:t>
            </w:r>
            <w:r>
              <w:rPr>
                <w:rFonts w:hint="eastAsia"/>
                <w:b/>
                <w:bCs/>
                <w:color w:val="auto"/>
                <w:spacing w:val="-10"/>
                <w:sz w:val="26"/>
                <w:szCs w:val="26"/>
                <w:highlight w:val="none"/>
              </w:rPr>
              <w:t xml:space="preserve"> </w:t>
            </w:r>
          </w:p>
          <w:p w14:paraId="45E0D8CE">
            <w:pPr>
              <w:adjustRightInd w:val="0"/>
              <w:snapToGrid w:val="0"/>
              <w:spacing w:line="480" w:lineRule="exact"/>
              <w:ind w:firstLine="482" w:firstLineChars="200"/>
              <w:rPr>
                <w:rFonts w:eastAsiaTheme="minorEastAsia"/>
                <w:b/>
                <w:color w:val="auto"/>
                <w:spacing w:val="-10"/>
                <w:sz w:val="26"/>
                <w:szCs w:val="26"/>
                <w:highlight w:val="none"/>
              </w:rPr>
            </w:pPr>
            <w:r>
              <w:rPr>
                <w:rFonts w:hint="eastAsia" w:eastAsiaTheme="minorEastAsia"/>
                <w:b/>
                <w:color w:val="auto"/>
                <w:spacing w:val="-10"/>
                <w:sz w:val="26"/>
                <w:szCs w:val="26"/>
                <w:highlight w:val="none"/>
              </w:rPr>
              <w:t>4.2.5.1</w:t>
            </w:r>
            <w:r>
              <w:rPr>
                <w:rFonts w:eastAsiaTheme="minorEastAsia"/>
                <w:b/>
                <w:color w:val="auto"/>
                <w:spacing w:val="-10"/>
                <w:sz w:val="26"/>
                <w:szCs w:val="26"/>
                <w:highlight w:val="none"/>
              </w:rPr>
              <w:t>地下水及土壤污染源、污染物类型及污染途径</w:t>
            </w:r>
          </w:p>
          <w:p w14:paraId="76FD3AE2">
            <w:pPr>
              <w:adjustRightInd w:val="0"/>
              <w:snapToGrid w:val="0"/>
              <w:spacing w:line="480" w:lineRule="exact"/>
              <w:ind w:firstLine="480" w:firstLineChars="200"/>
              <w:rPr>
                <w:rFonts w:eastAsiaTheme="minorEastAsia"/>
                <w:bCs/>
                <w:color w:val="auto"/>
                <w:spacing w:val="-10"/>
                <w:sz w:val="26"/>
                <w:szCs w:val="26"/>
                <w:highlight w:val="none"/>
              </w:rPr>
            </w:pPr>
            <w:r>
              <w:rPr>
                <w:rFonts w:eastAsiaTheme="minorEastAsia"/>
                <w:bCs/>
                <w:color w:val="auto"/>
                <w:spacing w:val="-10"/>
                <w:sz w:val="26"/>
                <w:szCs w:val="26"/>
                <w:highlight w:val="none"/>
              </w:rPr>
              <w:t>本项目废气不含重金属、持久性有机污染物，对土壤主要影响方式为垂直入渗，租用</w:t>
            </w:r>
            <w:r>
              <w:rPr>
                <w:rFonts w:hint="eastAsia" w:eastAsiaTheme="minorEastAsia"/>
                <w:bCs/>
                <w:color w:val="auto"/>
                <w:spacing w:val="-10"/>
                <w:sz w:val="26"/>
                <w:szCs w:val="26"/>
                <w:highlight w:val="none"/>
              </w:rPr>
              <w:t>友拓合川厂区工程建设项目</w:t>
            </w:r>
            <w:r>
              <w:rPr>
                <w:rFonts w:eastAsiaTheme="minorEastAsia"/>
                <w:bCs/>
                <w:color w:val="auto"/>
                <w:spacing w:val="-10"/>
                <w:sz w:val="26"/>
                <w:szCs w:val="26"/>
                <w:highlight w:val="none"/>
              </w:rPr>
              <w:t>厂房生产，在本项目入驻前厂房地面已全部实施硬化，周边50m范围内为现状或规划工业用地。项目危险废物贮存点、</w:t>
            </w:r>
            <w:r>
              <w:rPr>
                <w:rFonts w:hint="eastAsia" w:eastAsiaTheme="minorEastAsia"/>
                <w:bCs/>
                <w:color w:val="auto"/>
                <w:spacing w:val="-10"/>
                <w:sz w:val="26"/>
                <w:szCs w:val="26"/>
                <w:highlight w:val="none"/>
              </w:rPr>
              <w:t>油料库</w:t>
            </w:r>
            <w:r>
              <w:rPr>
                <w:rFonts w:eastAsiaTheme="minorEastAsia"/>
                <w:bCs/>
                <w:color w:val="auto"/>
                <w:spacing w:val="-10"/>
                <w:sz w:val="26"/>
                <w:szCs w:val="26"/>
                <w:highlight w:val="none"/>
              </w:rPr>
              <w:t>按照要求采取防腐、防渗处理，在严格落实“源头控制、分区防控”措施、加强环境管理杜绝事故泄漏的基础上，可有效防止项目运营期对地下水及土壤环境造成污染。</w:t>
            </w:r>
          </w:p>
          <w:p w14:paraId="1E88B6AA">
            <w:pPr>
              <w:adjustRightInd w:val="0"/>
              <w:snapToGrid w:val="0"/>
              <w:spacing w:line="480" w:lineRule="exact"/>
              <w:ind w:firstLine="482" w:firstLineChars="200"/>
              <w:rPr>
                <w:rFonts w:eastAsiaTheme="minorEastAsia"/>
                <w:b/>
                <w:color w:val="auto"/>
                <w:spacing w:val="-10"/>
                <w:sz w:val="26"/>
                <w:szCs w:val="26"/>
                <w:highlight w:val="none"/>
              </w:rPr>
            </w:pPr>
            <w:r>
              <w:rPr>
                <w:rFonts w:hint="eastAsia" w:eastAsiaTheme="minorEastAsia"/>
                <w:b/>
                <w:color w:val="auto"/>
                <w:spacing w:val="-10"/>
                <w:sz w:val="26"/>
                <w:szCs w:val="26"/>
                <w:highlight w:val="none"/>
              </w:rPr>
              <w:t>4.2.5.2</w:t>
            </w:r>
            <w:r>
              <w:rPr>
                <w:rFonts w:eastAsiaTheme="minorEastAsia"/>
                <w:b/>
                <w:color w:val="auto"/>
                <w:spacing w:val="-10"/>
                <w:sz w:val="26"/>
                <w:szCs w:val="26"/>
                <w:highlight w:val="none"/>
              </w:rPr>
              <w:t>地下水及土壤污染防控措施</w:t>
            </w:r>
          </w:p>
          <w:p w14:paraId="0007A446">
            <w:pPr>
              <w:adjustRightInd w:val="0"/>
              <w:snapToGrid w:val="0"/>
              <w:spacing w:line="480" w:lineRule="exact"/>
              <w:ind w:firstLine="520" w:firstLineChars="200"/>
              <w:rPr>
                <w:color w:val="auto"/>
                <w:kern w:val="0"/>
                <w:sz w:val="26"/>
                <w:szCs w:val="26"/>
                <w:highlight w:val="none"/>
              </w:rPr>
            </w:pPr>
            <w:r>
              <w:rPr>
                <w:color w:val="auto"/>
                <w:kern w:val="0"/>
                <w:sz w:val="26"/>
                <w:szCs w:val="26"/>
                <w:highlight w:val="none"/>
              </w:rPr>
              <w:t>本项目地下水污染防治措施</w:t>
            </w:r>
            <w:r>
              <w:rPr>
                <w:rFonts w:hint="eastAsia"/>
                <w:color w:val="auto"/>
                <w:kern w:val="0"/>
                <w:sz w:val="26"/>
                <w:szCs w:val="26"/>
                <w:highlight w:val="none"/>
              </w:rPr>
              <w:t>应坚持</w:t>
            </w:r>
            <w:r>
              <w:rPr>
                <w:color w:val="auto"/>
                <w:kern w:val="0"/>
                <w:sz w:val="26"/>
                <w:szCs w:val="26"/>
                <w:highlight w:val="none"/>
              </w:rPr>
              <w:t>“源头控制、分区防治、污染监控、应急响应”相结合的原则</w:t>
            </w:r>
            <w:r>
              <w:rPr>
                <w:rFonts w:hint="eastAsia"/>
                <w:color w:val="auto"/>
                <w:kern w:val="0"/>
                <w:sz w:val="26"/>
                <w:szCs w:val="26"/>
                <w:highlight w:val="none"/>
              </w:rPr>
              <w:t>，土壤污染防治措施应坚持“源头控制、过程防控、跟踪监测”</w:t>
            </w:r>
            <w:r>
              <w:rPr>
                <w:color w:val="auto"/>
                <w:kern w:val="0"/>
                <w:sz w:val="26"/>
                <w:szCs w:val="26"/>
                <w:highlight w:val="none"/>
              </w:rPr>
              <w:t>相结合的原则</w:t>
            </w:r>
            <w:r>
              <w:rPr>
                <w:rFonts w:hint="eastAsia"/>
                <w:color w:val="auto"/>
                <w:kern w:val="0"/>
                <w:sz w:val="26"/>
                <w:szCs w:val="26"/>
                <w:highlight w:val="none"/>
              </w:rPr>
              <w:t>。</w:t>
            </w:r>
          </w:p>
          <w:p w14:paraId="4714E28B">
            <w:pPr>
              <w:adjustRightInd w:val="0"/>
              <w:snapToGrid w:val="0"/>
              <w:spacing w:line="480" w:lineRule="exact"/>
              <w:ind w:firstLine="520" w:firstLineChars="200"/>
              <w:rPr>
                <w:color w:val="auto"/>
                <w:kern w:val="0"/>
                <w:sz w:val="26"/>
                <w:szCs w:val="26"/>
                <w:highlight w:val="none"/>
              </w:rPr>
            </w:pPr>
            <w:r>
              <w:rPr>
                <w:rFonts w:hint="eastAsia" w:ascii="宋体" w:hAnsi="宋体" w:cs="宋体"/>
                <w:color w:val="auto"/>
                <w:kern w:val="0"/>
                <w:sz w:val="26"/>
                <w:szCs w:val="26"/>
                <w:highlight w:val="none"/>
              </w:rPr>
              <w:t>①</w:t>
            </w:r>
            <w:r>
              <w:rPr>
                <w:color w:val="auto"/>
                <w:kern w:val="0"/>
                <w:sz w:val="26"/>
                <w:szCs w:val="26"/>
                <w:highlight w:val="none"/>
              </w:rPr>
              <w:t>源头控制</w:t>
            </w:r>
          </w:p>
          <w:p w14:paraId="5A3CD1DC">
            <w:pPr>
              <w:autoSpaceDE w:val="0"/>
              <w:autoSpaceDN w:val="0"/>
              <w:adjustRightInd w:val="0"/>
              <w:spacing w:line="480" w:lineRule="exact"/>
              <w:ind w:firstLine="520" w:firstLineChars="200"/>
              <w:rPr>
                <w:color w:val="auto"/>
                <w:kern w:val="0"/>
                <w:sz w:val="26"/>
                <w:szCs w:val="26"/>
                <w:highlight w:val="none"/>
              </w:rPr>
            </w:pPr>
            <w:r>
              <w:rPr>
                <w:color w:val="auto"/>
                <w:kern w:val="0"/>
                <w:sz w:val="26"/>
                <w:szCs w:val="26"/>
                <w:highlight w:val="none"/>
                <w:lang w:val="zh-CN"/>
              </w:rPr>
              <w:t>根据国家现行相关规范加强环境管理</w:t>
            </w:r>
            <w:r>
              <w:rPr>
                <w:rFonts w:hint="eastAsia"/>
                <w:color w:val="auto"/>
                <w:kern w:val="0"/>
                <w:sz w:val="26"/>
                <w:szCs w:val="26"/>
                <w:highlight w:val="none"/>
                <w:lang w:val="zh-CN"/>
              </w:rPr>
              <w:t>，</w:t>
            </w:r>
            <w:r>
              <w:rPr>
                <w:color w:val="auto"/>
                <w:kern w:val="0"/>
                <w:sz w:val="26"/>
                <w:szCs w:val="26"/>
                <w:highlight w:val="none"/>
                <w:lang w:val="zh-CN"/>
              </w:rPr>
              <w:t>采取控制措施，防止污染物的跑、冒、滴、漏，将污染物泄漏的环境风险事故降到最低限度</w:t>
            </w:r>
            <w:r>
              <w:rPr>
                <w:rFonts w:hint="eastAsia"/>
                <w:color w:val="auto"/>
                <w:kern w:val="0"/>
                <w:sz w:val="26"/>
                <w:szCs w:val="26"/>
                <w:highlight w:val="none"/>
                <w:lang w:val="zh-CN"/>
              </w:rPr>
              <w:t>；</w:t>
            </w:r>
            <w:r>
              <w:rPr>
                <w:color w:val="auto"/>
                <w:kern w:val="0"/>
                <w:sz w:val="26"/>
                <w:szCs w:val="26"/>
                <w:highlight w:val="none"/>
                <w:lang w:val="zh-CN"/>
              </w:rPr>
              <w:t>正常生产过程中应加强巡检及时处理污染物跑、冒、滴、漏，同时应加强对防渗工程的检查，若发现防渗密封材料老化或损坏，应及时维修更换。</w:t>
            </w:r>
          </w:p>
          <w:p w14:paraId="713DE89D">
            <w:pPr>
              <w:adjustRightInd w:val="0"/>
              <w:snapToGrid w:val="0"/>
              <w:spacing w:line="480" w:lineRule="exact"/>
              <w:ind w:firstLine="520" w:firstLineChars="200"/>
              <w:rPr>
                <w:color w:val="auto"/>
                <w:kern w:val="0"/>
                <w:sz w:val="26"/>
                <w:szCs w:val="26"/>
                <w:highlight w:val="none"/>
              </w:rPr>
            </w:pPr>
            <w:r>
              <w:rPr>
                <w:rFonts w:hint="eastAsia" w:ascii="宋体" w:hAnsi="宋体" w:cs="宋体"/>
                <w:color w:val="auto"/>
                <w:kern w:val="0"/>
                <w:sz w:val="26"/>
                <w:szCs w:val="26"/>
                <w:highlight w:val="none"/>
              </w:rPr>
              <w:t>②</w:t>
            </w:r>
            <w:r>
              <w:rPr>
                <w:color w:val="auto"/>
                <w:kern w:val="0"/>
                <w:sz w:val="26"/>
                <w:szCs w:val="26"/>
                <w:highlight w:val="none"/>
              </w:rPr>
              <w:t>分区防治</w:t>
            </w:r>
            <w:r>
              <w:rPr>
                <w:rFonts w:hint="eastAsia"/>
                <w:color w:val="auto"/>
                <w:kern w:val="0"/>
                <w:sz w:val="26"/>
                <w:szCs w:val="26"/>
                <w:highlight w:val="none"/>
              </w:rPr>
              <w:t>/过程防控</w:t>
            </w:r>
          </w:p>
          <w:p w14:paraId="657668A8">
            <w:pPr>
              <w:autoSpaceDE w:val="0"/>
              <w:autoSpaceDN w:val="0"/>
              <w:adjustRightInd w:val="0"/>
              <w:spacing w:line="480" w:lineRule="exact"/>
              <w:ind w:firstLine="520" w:firstLineChars="200"/>
              <w:rPr>
                <w:color w:val="auto"/>
                <w:kern w:val="0"/>
                <w:sz w:val="26"/>
                <w:szCs w:val="26"/>
                <w:highlight w:val="none"/>
              </w:rPr>
            </w:pPr>
            <w:r>
              <w:rPr>
                <w:rFonts w:hint="eastAsia"/>
                <w:color w:val="auto"/>
                <w:kern w:val="0"/>
                <w:sz w:val="26"/>
                <w:szCs w:val="26"/>
                <w:highlight w:val="none"/>
              </w:rPr>
              <w:t>按照分区防控原则，将厂区分为重点防渗区、一般防渗区、简单防渗区。</w:t>
            </w:r>
          </w:p>
          <w:p w14:paraId="057146FB">
            <w:pPr>
              <w:snapToGrid w:val="0"/>
              <w:ind w:firstLine="480" w:firstLineChars="200"/>
              <w:jc w:val="center"/>
              <w:rPr>
                <w:color w:val="auto"/>
                <w:sz w:val="24"/>
                <w:szCs w:val="26"/>
                <w:highlight w:val="none"/>
              </w:rPr>
            </w:pPr>
          </w:p>
          <w:p w14:paraId="70CCD64C">
            <w:pPr>
              <w:snapToGrid w:val="0"/>
              <w:ind w:firstLine="480" w:firstLineChars="200"/>
              <w:jc w:val="center"/>
              <w:rPr>
                <w:color w:val="auto"/>
                <w:sz w:val="24"/>
                <w:szCs w:val="26"/>
                <w:highlight w:val="none"/>
              </w:rPr>
            </w:pPr>
            <w:r>
              <w:rPr>
                <w:color w:val="auto"/>
                <w:sz w:val="24"/>
                <w:szCs w:val="26"/>
                <w:highlight w:val="none"/>
              </w:rPr>
              <w:t>表</w:t>
            </w:r>
            <w:r>
              <w:rPr>
                <w:rFonts w:hint="eastAsia"/>
                <w:color w:val="auto"/>
                <w:sz w:val="24"/>
                <w:szCs w:val="26"/>
                <w:highlight w:val="none"/>
              </w:rPr>
              <w:t>4.2-20 项目地下水、土壤</w:t>
            </w:r>
            <w:r>
              <w:rPr>
                <w:color w:val="auto"/>
                <w:sz w:val="24"/>
                <w:szCs w:val="26"/>
                <w:highlight w:val="none"/>
              </w:rPr>
              <w:t>污染防渗分区参照表</w:t>
            </w:r>
          </w:p>
          <w:tbl>
            <w:tblPr>
              <w:tblStyle w:val="16"/>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959"/>
              <w:gridCol w:w="1960"/>
              <w:gridCol w:w="1316"/>
              <w:gridCol w:w="3005"/>
            </w:tblGrid>
            <w:tr w14:paraId="69025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dxa"/>
                  <w:vAlign w:val="center"/>
                </w:tcPr>
                <w:p w14:paraId="14A16503">
                  <w:pPr>
                    <w:autoSpaceDE w:val="0"/>
                    <w:autoSpaceDN w:val="0"/>
                    <w:adjustRightInd w:val="0"/>
                    <w:jc w:val="center"/>
                    <w:textAlignment w:val="center"/>
                    <w:rPr>
                      <w:color w:val="auto"/>
                      <w:kern w:val="0"/>
                      <w:sz w:val="22"/>
                      <w:szCs w:val="21"/>
                      <w:highlight w:val="none"/>
                    </w:rPr>
                  </w:pPr>
                  <w:r>
                    <w:rPr>
                      <w:color w:val="auto"/>
                      <w:kern w:val="0"/>
                      <w:sz w:val="22"/>
                      <w:szCs w:val="21"/>
                      <w:highlight w:val="none"/>
                    </w:rPr>
                    <w:t>序号</w:t>
                  </w:r>
                </w:p>
              </w:tc>
              <w:tc>
                <w:tcPr>
                  <w:tcW w:w="959" w:type="dxa"/>
                  <w:vAlign w:val="center"/>
                </w:tcPr>
                <w:p w14:paraId="2A8C2ED1">
                  <w:pPr>
                    <w:autoSpaceDE w:val="0"/>
                    <w:autoSpaceDN w:val="0"/>
                    <w:adjustRightInd w:val="0"/>
                    <w:jc w:val="center"/>
                    <w:textAlignment w:val="center"/>
                    <w:rPr>
                      <w:color w:val="auto"/>
                      <w:kern w:val="0"/>
                      <w:sz w:val="22"/>
                      <w:szCs w:val="21"/>
                      <w:highlight w:val="none"/>
                    </w:rPr>
                  </w:pPr>
                  <w:r>
                    <w:rPr>
                      <w:color w:val="auto"/>
                      <w:kern w:val="0"/>
                      <w:sz w:val="22"/>
                      <w:szCs w:val="21"/>
                      <w:highlight w:val="none"/>
                    </w:rPr>
                    <w:t>防渗程度</w:t>
                  </w:r>
                </w:p>
              </w:tc>
              <w:tc>
                <w:tcPr>
                  <w:tcW w:w="1960" w:type="dxa"/>
                  <w:vAlign w:val="center"/>
                </w:tcPr>
                <w:p w14:paraId="406725CB">
                  <w:pPr>
                    <w:autoSpaceDE w:val="0"/>
                    <w:autoSpaceDN w:val="0"/>
                    <w:adjustRightInd w:val="0"/>
                    <w:jc w:val="center"/>
                    <w:textAlignment w:val="center"/>
                    <w:rPr>
                      <w:color w:val="auto"/>
                      <w:kern w:val="0"/>
                      <w:sz w:val="22"/>
                      <w:szCs w:val="21"/>
                      <w:highlight w:val="none"/>
                    </w:rPr>
                  </w:pPr>
                  <w:r>
                    <w:rPr>
                      <w:color w:val="auto"/>
                      <w:kern w:val="0"/>
                      <w:sz w:val="22"/>
                      <w:szCs w:val="21"/>
                      <w:highlight w:val="none"/>
                    </w:rPr>
                    <w:t>装置及设施名称</w:t>
                  </w:r>
                </w:p>
              </w:tc>
              <w:tc>
                <w:tcPr>
                  <w:tcW w:w="1316" w:type="dxa"/>
                  <w:vAlign w:val="center"/>
                </w:tcPr>
                <w:p w14:paraId="7CB10587">
                  <w:pPr>
                    <w:autoSpaceDE w:val="0"/>
                    <w:autoSpaceDN w:val="0"/>
                    <w:adjustRightInd w:val="0"/>
                    <w:jc w:val="center"/>
                    <w:textAlignment w:val="center"/>
                    <w:rPr>
                      <w:color w:val="auto"/>
                      <w:kern w:val="0"/>
                      <w:sz w:val="22"/>
                      <w:szCs w:val="21"/>
                      <w:highlight w:val="none"/>
                    </w:rPr>
                  </w:pPr>
                  <w:r>
                    <w:rPr>
                      <w:color w:val="auto"/>
                      <w:kern w:val="0"/>
                      <w:sz w:val="22"/>
                      <w:szCs w:val="21"/>
                      <w:highlight w:val="none"/>
                    </w:rPr>
                    <w:t>防渗区域</w:t>
                  </w:r>
                </w:p>
              </w:tc>
              <w:tc>
                <w:tcPr>
                  <w:tcW w:w="3005" w:type="dxa"/>
                  <w:vAlign w:val="center"/>
                </w:tcPr>
                <w:p w14:paraId="46066901">
                  <w:pPr>
                    <w:autoSpaceDE w:val="0"/>
                    <w:autoSpaceDN w:val="0"/>
                    <w:adjustRightInd w:val="0"/>
                    <w:jc w:val="center"/>
                    <w:textAlignment w:val="center"/>
                    <w:rPr>
                      <w:color w:val="auto"/>
                      <w:kern w:val="0"/>
                      <w:sz w:val="22"/>
                      <w:szCs w:val="21"/>
                      <w:highlight w:val="none"/>
                    </w:rPr>
                  </w:pPr>
                  <w:r>
                    <w:rPr>
                      <w:rFonts w:hint="eastAsia"/>
                      <w:color w:val="auto"/>
                      <w:kern w:val="0"/>
                      <w:sz w:val="22"/>
                      <w:szCs w:val="21"/>
                      <w:highlight w:val="none"/>
                    </w:rPr>
                    <w:t>分区防渗要求</w:t>
                  </w:r>
                </w:p>
              </w:tc>
            </w:tr>
            <w:tr w14:paraId="28C7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dxa"/>
                  <w:vMerge w:val="restart"/>
                  <w:vAlign w:val="center"/>
                </w:tcPr>
                <w:p w14:paraId="2DB5BC53">
                  <w:pPr>
                    <w:autoSpaceDE w:val="0"/>
                    <w:autoSpaceDN w:val="0"/>
                    <w:adjustRightInd w:val="0"/>
                    <w:jc w:val="center"/>
                    <w:textAlignment w:val="center"/>
                    <w:rPr>
                      <w:color w:val="auto"/>
                      <w:kern w:val="0"/>
                      <w:sz w:val="22"/>
                      <w:szCs w:val="21"/>
                      <w:highlight w:val="none"/>
                    </w:rPr>
                  </w:pPr>
                  <w:r>
                    <w:rPr>
                      <w:color w:val="auto"/>
                      <w:kern w:val="0"/>
                      <w:sz w:val="22"/>
                      <w:szCs w:val="21"/>
                      <w:highlight w:val="none"/>
                    </w:rPr>
                    <w:t>1</w:t>
                  </w:r>
                </w:p>
              </w:tc>
              <w:tc>
                <w:tcPr>
                  <w:tcW w:w="959" w:type="dxa"/>
                  <w:vMerge w:val="restart"/>
                  <w:vAlign w:val="center"/>
                </w:tcPr>
                <w:p w14:paraId="5E1E7C33">
                  <w:pPr>
                    <w:autoSpaceDE w:val="0"/>
                    <w:autoSpaceDN w:val="0"/>
                    <w:adjustRightInd w:val="0"/>
                    <w:jc w:val="center"/>
                    <w:textAlignment w:val="center"/>
                    <w:rPr>
                      <w:color w:val="auto"/>
                      <w:kern w:val="0"/>
                      <w:sz w:val="22"/>
                      <w:szCs w:val="21"/>
                      <w:highlight w:val="none"/>
                    </w:rPr>
                  </w:pPr>
                  <w:r>
                    <w:rPr>
                      <w:rFonts w:hint="eastAsia"/>
                      <w:color w:val="auto"/>
                      <w:kern w:val="0"/>
                      <w:sz w:val="22"/>
                      <w:szCs w:val="21"/>
                      <w:highlight w:val="none"/>
                    </w:rPr>
                    <w:t>重点</w:t>
                  </w:r>
                  <w:r>
                    <w:rPr>
                      <w:color w:val="auto"/>
                      <w:kern w:val="0"/>
                      <w:sz w:val="22"/>
                      <w:szCs w:val="21"/>
                      <w:highlight w:val="none"/>
                    </w:rPr>
                    <w:t>防渗区</w:t>
                  </w:r>
                </w:p>
              </w:tc>
              <w:tc>
                <w:tcPr>
                  <w:tcW w:w="1960" w:type="dxa"/>
                  <w:vAlign w:val="center"/>
                </w:tcPr>
                <w:p w14:paraId="3F4937D3">
                  <w:pPr>
                    <w:autoSpaceDE w:val="0"/>
                    <w:autoSpaceDN w:val="0"/>
                    <w:adjustRightInd w:val="0"/>
                    <w:jc w:val="center"/>
                    <w:textAlignment w:val="center"/>
                    <w:rPr>
                      <w:color w:val="auto"/>
                      <w:kern w:val="0"/>
                      <w:sz w:val="22"/>
                      <w:szCs w:val="21"/>
                      <w:highlight w:val="none"/>
                    </w:rPr>
                  </w:pPr>
                  <w:r>
                    <w:rPr>
                      <w:rFonts w:hint="eastAsia"/>
                      <w:color w:val="auto"/>
                      <w:kern w:val="0"/>
                      <w:sz w:val="22"/>
                      <w:szCs w:val="21"/>
                      <w:highlight w:val="none"/>
                    </w:rPr>
                    <w:t>油料库</w:t>
                  </w:r>
                </w:p>
              </w:tc>
              <w:tc>
                <w:tcPr>
                  <w:tcW w:w="1316" w:type="dxa"/>
                  <w:vAlign w:val="center"/>
                </w:tcPr>
                <w:p w14:paraId="714479C4">
                  <w:pPr>
                    <w:autoSpaceDE w:val="0"/>
                    <w:autoSpaceDN w:val="0"/>
                    <w:adjustRightInd w:val="0"/>
                    <w:jc w:val="center"/>
                    <w:textAlignment w:val="center"/>
                    <w:rPr>
                      <w:color w:val="auto"/>
                      <w:kern w:val="0"/>
                      <w:sz w:val="22"/>
                      <w:szCs w:val="21"/>
                      <w:highlight w:val="none"/>
                    </w:rPr>
                  </w:pPr>
                  <w:r>
                    <w:rPr>
                      <w:color w:val="auto"/>
                      <w:kern w:val="0"/>
                      <w:sz w:val="22"/>
                      <w:szCs w:val="21"/>
                      <w:highlight w:val="none"/>
                    </w:rPr>
                    <w:t>地面防渗</w:t>
                  </w:r>
                </w:p>
              </w:tc>
              <w:tc>
                <w:tcPr>
                  <w:tcW w:w="3005" w:type="dxa"/>
                  <w:vAlign w:val="center"/>
                </w:tcPr>
                <w:p w14:paraId="1D2403CB">
                  <w:pPr>
                    <w:autoSpaceDE w:val="0"/>
                    <w:autoSpaceDN w:val="0"/>
                    <w:adjustRightInd w:val="0"/>
                    <w:jc w:val="center"/>
                    <w:textAlignment w:val="center"/>
                    <w:rPr>
                      <w:color w:val="auto"/>
                      <w:kern w:val="0"/>
                      <w:sz w:val="22"/>
                      <w:szCs w:val="21"/>
                      <w:highlight w:val="none"/>
                    </w:rPr>
                  </w:pPr>
                  <w:r>
                    <w:rPr>
                      <w:rFonts w:hint="eastAsia"/>
                      <w:color w:val="auto"/>
                      <w:kern w:val="0"/>
                      <w:sz w:val="22"/>
                      <w:szCs w:val="21"/>
                      <w:highlight w:val="none"/>
                    </w:rPr>
                    <w:t>等</w:t>
                  </w:r>
                  <w:r>
                    <w:rPr>
                      <w:color w:val="auto"/>
                      <w:kern w:val="0"/>
                      <w:sz w:val="22"/>
                      <w:szCs w:val="21"/>
                      <w:highlight w:val="none"/>
                    </w:rPr>
                    <w:t>效黏土防渗层厚度Mb≥6.0m，K≤1×10</w:t>
                  </w:r>
                  <w:bookmarkStart w:id="95" w:name="hmcheck_3fc93b4e00f64c66904c14288b7cb5cc"/>
                  <w:r>
                    <w:rPr>
                      <w:color w:val="auto"/>
                      <w:kern w:val="0"/>
                      <w:sz w:val="22"/>
                      <w:szCs w:val="21"/>
                      <w:highlight w:val="none"/>
                      <w:shd w:val="clear" w:fill="FFAFAA"/>
                      <w:vertAlign w:val="superscript"/>
                    </w:rPr>
                    <w:t>-</w:t>
                  </w:r>
                  <w:bookmarkEnd w:id="95"/>
                  <w:r>
                    <w:rPr>
                      <w:color w:val="auto"/>
                      <w:kern w:val="0"/>
                      <w:sz w:val="22"/>
                      <w:szCs w:val="21"/>
                      <w:highlight w:val="none"/>
                      <w:vertAlign w:val="superscript"/>
                    </w:rPr>
                    <w:t>7</w:t>
                  </w:r>
                  <w:r>
                    <w:rPr>
                      <w:color w:val="auto"/>
                      <w:kern w:val="0"/>
                      <w:sz w:val="22"/>
                      <w:szCs w:val="21"/>
                      <w:highlight w:val="none"/>
                    </w:rPr>
                    <w:t xml:space="preserve">cm/s </w:t>
                  </w:r>
                </w:p>
              </w:tc>
            </w:tr>
            <w:tr w14:paraId="5B00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dxa"/>
                  <w:vMerge w:val="continue"/>
                  <w:vAlign w:val="center"/>
                </w:tcPr>
                <w:p w14:paraId="1BD2620E">
                  <w:pPr>
                    <w:autoSpaceDE w:val="0"/>
                    <w:autoSpaceDN w:val="0"/>
                    <w:adjustRightInd w:val="0"/>
                    <w:jc w:val="center"/>
                    <w:textAlignment w:val="center"/>
                    <w:rPr>
                      <w:color w:val="auto"/>
                      <w:kern w:val="0"/>
                      <w:sz w:val="22"/>
                      <w:szCs w:val="21"/>
                      <w:highlight w:val="none"/>
                    </w:rPr>
                  </w:pPr>
                </w:p>
              </w:tc>
              <w:tc>
                <w:tcPr>
                  <w:tcW w:w="959" w:type="dxa"/>
                  <w:vMerge w:val="continue"/>
                  <w:vAlign w:val="center"/>
                </w:tcPr>
                <w:p w14:paraId="4EDBF7BB">
                  <w:pPr>
                    <w:autoSpaceDE w:val="0"/>
                    <w:autoSpaceDN w:val="0"/>
                    <w:adjustRightInd w:val="0"/>
                    <w:jc w:val="center"/>
                    <w:textAlignment w:val="center"/>
                    <w:rPr>
                      <w:color w:val="auto"/>
                      <w:kern w:val="0"/>
                      <w:sz w:val="22"/>
                      <w:szCs w:val="21"/>
                      <w:highlight w:val="none"/>
                    </w:rPr>
                  </w:pPr>
                </w:p>
              </w:tc>
              <w:tc>
                <w:tcPr>
                  <w:tcW w:w="1960" w:type="dxa"/>
                  <w:vAlign w:val="center"/>
                </w:tcPr>
                <w:p w14:paraId="77417969">
                  <w:pPr>
                    <w:autoSpaceDE w:val="0"/>
                    <w:autoSpaceDN w:val="0"/>
                    <w:adjustRightInd w:val="0"/>
                    <w:jc w:val="center"/>
                    <w:textAlignment w:val="center"/>
                    <w:rPr>
                      <w:color w:val="auto"/>
                      <w:kern w:val="0"/>
                      <w:sz w:val="22"/>
                      <w:szCs w:val="21"/>
                      <w:highlight w:val="none"/>
                    </w:rPr>
                  </w:pPr>
                  <w:r>
                    <w:rPr>
                      <w:rFonts w:hint="eastAsia"/>
                      <w:color w:val="auto"/>
                      <w:kern w:val="0"/>
                      <w:sz w:val="22"/>
                      <w:szCs w:val="21"/>
                      <w:highlight w:val="none"/>
                    </w:rPr>
                    <w:t>危险废物贮存点</w:t>
                  </w:r>
                </w:p>
              </w:tc>
              <w:tc>
                <w:tcPr>
                  <w:tcW w:w="1316" w:type="dxa"/>
                  <w:vAlign w:val="center"/>
                </w:tcPr>
                <w:p w14:paraId="1CDCA8EA">
                  <w:pPr>
                    <w:autoSpaceDE w:val="0"/>
                    <w:autoSpaceDN w:val="0"/>
                    <w:adjustRightInd w:val="0"/>
                    <w:jc w:val="center"/>
                    <w:textAlignment w:val="center"/>
                    <w:rPr>
                      <w:color w:val="auto"/>
                      <w:kern w:val="0"/>
                      <w:sz w:val="22"/>
                      <w:szCs w:val="21"/>
                      <w:highlight w:val="none"/>
                    </w:rPr>
                  </w:pPr>
                  <w:r>
                    <w:rPr>
                      <w:color w:val="auto"/>
                      <w:kern w:val="0"/>
                      <w:sz w:val="22"/>
                      <w:szCs w:val="21"/>
                      <w:highlight w:val="none"/>
                    </w:rPr>
                    <w:t>地面防渗</w:t>
                  </w:r>
                </w:p>
              </w:tc>
              <w:tc>
                <w:tcPr>
                  <w:tcW w:w="3005" w:type="dxa"/>
                  <w:vMerge w:val="restart"/>
                  <w:vAlign w:val="center"/>
                </w:tcPr>
                <w:p w14:paraId="56B9A091">
                  <w:pPr>
                    <w:autoSpaceDE w:val="0"/>
                    <w:autoSpaceDN w:val="0"/>
                    <w:adjustRightInd w:val="0"/>
                    <w:jc w:val="center"/>
                    <w:textAlignment w:val="center"/>
                    <w:rPr>
                      <w:color w:val="auto"/>
                      <w:kern w:val="0"/>
                      <w:sz w:val="22"/>
                      <w:szCs w:val="21"/>
                      <w:highlight w:val="none"/>
                    </w:rPr>
                  </w:pPr>
                  <w:r>
                    <w:rPr>
                      <w:rFonts w:hint="eastAsia"/>
                      <w:color w:val="auto"/>
                      <w:kern w:val="0"/>
                      <w:sz w:val="22"/>
                      <w:szCs w:val="21"/>
                      <w:highlight w:val="none"/>
                    </w:rPr>
                    <w:t>按照《危险废物贮存污染控制标准》（GB 18597—2023）要求规范建设和维护管理</w:t>
                  </w:r>
                </w:p>
              </w:tc>
            </w:tr>
            <w:tr w14:paraId="26937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dxa"/>
                  <w:vMerge w:val="continue"/>
                  <w:vAlign w:val="center"/>
                </w:tcPr>
                <w:p w14:paraId="3FD5D456">
                  <w:pPr>
                    <w:autoSpaceDE w:val="0"/>
                    <w:autoSpaceDN w:val="0"/>
                    <w:adjustRightInd w:val="0"/>
                    <w:jc w:val="center"/>
                    <w:textAlignment w:val="center"/>
                    <w:rPr>
                      <w:color w:val="auto"/>
                      <w:kern w:val="0"/>
                      <w:sz w:val="22"/>
                      <w:szCs w:val="21"/>
                      <w:highlight w:val="none"/>
                    </w:rPr>
                  </w:pPr>
                </w:p>
              </w:tc>
              <w:tc>
                <w:tcPr>
                  <w:tcW w:w="959" w:type="dxa"/>
                  <w:vMerge w:val="continue"/>
                  <w:vAlign w:val="center"/>
                </w:tcPr>
                <w:p w14:paraId="0F37AD28">
                  <w:pPr>
                    <w:autoSpaceDE w:val="0"/>
                    <w:autoSpaceDN w:val="0"/>
                    <w:adjustRightInd w:val="0"/>
                    <w:jc w:val="center"/>
                    <w:textAlignment w:val="center"/>
                    <w:rPr>
                      <w:color w:val="auto"/>
                      <w:kern w:val="0"/>
                      <w:sz w:val="22"/>
                      <w:szCs w:val="21"/>
                      <w:highlight w:val="none"/>
                    </w:rPr>
                  </w:pPr>
                </w:p>
              </w:tc>
              <w:tc>
                <w:tcPr>
                  <w:tcW w:w="1960" w:type="dxa"/>
                  <w:vAlign w:val="center"/>
                </w:tcPr>
                <w:p w14:paraId="1C6A50DD">
                  <w:pPr>
                    <w:autoSpaceDE w:val="0"/>
                    <w:autoSpaceDN w:val="0"/>
                    <w:adjustRightInd w:val="0"/>
                    <w:jc w:val="center"/>
                    <w:textAlignment w:val="center"/>
                    <w:rPr>
                      <w:rFonts w:hint="eastAsia" w:eastAsia="宋体"/>
                      <w:color w:val="auto"/>
                      <w:kern w:val="0"/>
                      <w:sz w:val="22"/>
                      <w:szCs w:val="21"/>
                      <w:highlight w:val="none"/>
                      <w:lang w:eastAsia="zh-CN"/>
                    </w:rPr>
                  </w:pPr>
                  <w:r>
                    <w:rPr>
                      <w:rFonts w:hint="eastAsia"/>
                      <w:color w:val="auto"/>
                      <w:kern w:val="0"/>
                      <w:sz w:val="22"/>
                      <w:szCs w:val="21"/>
                      <w:highlight w:val="none"/>
                      <w:lang w:eastAsia="zh-CN"/>
                    </w:rPr>
                    <w:t>液压机集油箱</w:t>
                  </w:r>
                </w:p>
              </w:tc>
              <w:tc>
                <w:tcPr>
                  <w:tcW w:w="1316" w:type="dxa"/>
                  <w:vAlign w:val="center"/>
                </w:tcPr>
                <w:p w14:paraId="6275459A">
                  <w:pPr>
                    <w:autoSpaceDE w:val="0"/>
                    <w:autoSpaceDN w:val="0"/>
                    <w:adjustRightInd w:val="0"/>
                    <w:jc w:val="center"/>
                    <w:textAlignment w:val="center"/>
                    <w:rPr>
                      <w:rFonts w:hint="eastAsia" w:eastAsia="宋体"/>
                      <w:color w:val="auto"/>
                      <w:kern w:val="0"/>
                      <w:sz w:val="22"/>
                      <w:szCs w:val="21"/>
                      <w:highlight w:val="none"/>
                      <w:lang w:eastAsia="zh-CN"/>
                    </w:rPr>
                  </w:pPr>
                  <w:r>
                    <w:rPr>
                      <w:rFonts w:hint="eastAsia"/>
                      <w:color w:val="auto"/>
                      <w:kern w:val="0"/>
                      <w:sz w:val="22"/>
                      <w:szCs w:val="21"/>
                      <w:highlight w:val="none"/>
                      <w:lang w:eastAsia="zh-CN"/>
                    </w:rPr>
                    <w:t>地面防渗</w:t>
                  </w:r>
                </w:p>
              </w:tc>
              <w:tc>
                <w:tcPr>
                  <w:tcW w:w="3005" w:type="dxa"/>
                  <w:vMerge w:val="continue"/>
                  <w:vAlign w:val="center"/>
                </w:tcPr>
                <w:p w14:paraId="2444ED4C">
                  <w:pPr>
                    <w:autoSpaceDE w:val="0"/>
                    <w:autoSpaceDN w:val="0"/>
                    <w:adjustRightInd w:val="0"/>
                    <w:jc w:val="center"/>
                    <w:textAlignment w:val="center"/>
                    <w:rPr>
                      <w:rFonts w:hint="eastAsia"/>
                      <w:color w:val="auto"/>
                      <w:kern w:val="0"/>
                      <w:sz w:val="22"/>
                      <w:szCs w:val="21"/>
                      <w:highlight w:val="none"/>
                    </w:rPr>
                  </w:pPr>
                </w:p>
              </w:tc>
            </w:tr>
            <w:tr w14:paraId="739C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dxa"/>
                  <w:vAlign w:val="center"/>
                </w:tcPr>
                <w:p w14:paraId="13EECDA2">
                  <w:pPr>
                    <w:autoSpaceDE w:val="0"/>
                    <w:autoSpaceDN w:val="0"/>
                    <w:adjustRightInd w:val="0"/>
                    <w:jc w:val="center"/>
                    <w:textAlignment w:val="center"/>
                    <w:rPr>
                      <w:color w:val="auto"/>
                      <w:kern w:val="0"/>
                      <w:sz w:val="22"/>
                      <w:szCs w:val="21"/>
                      <w:highlight w:val="none"/>
                    </w:rPr>
                  </w:pPr>
                  <w:r>
                    <w:rPr>
                      <w:rFonts w:hint="eastAsia"/>
                      <w:color w:val="auto"/>
                      <w:kern w:val="0"/>
                      <w:sz w:val="22"/>
                      <w:szCs w:val="21"/>
                      <w:highlight w:val="none"/>
                    </w:rPr>
                    <w:t>2</w:t>
                  </w:r>
                </w:p>
              </w:tc>
              <w:tc>
                <w:tcPr>
                  <w:tcW w:w="959" w:type="dxa"/>
                  <w:vAlign w:val="center"/>
                </w:tcPr>
                <w:p w14:paraId="34B061A3">
                  <w:pPr>
                    <w:autoSpaceDE w:val="0"/>
                    <w:autoSpaceDN w:val="0"/>
                    <w:adjustRightInd w:val="0"/>
                    <w:jc w:val="center"/>
                    <w:textAlignment w:val="center"/>
                    <w:rPr>
                      <w:color w:val="auto"/>
                      <w:kern w:val="0"/>
                      <w:sz w:val="22"/>
                      <w:szCs w:val="21"/>
                      <w:highlight w:val="none"/>
                    </w:rPr>
                  </w:pPr>
                  <w:r>
                    <w:rPr>
                      <w:rFonts w:hint="eastAsia"/>
                      <w:color w:val="auto"/>
                      <w:kern w:val="0"/>
                      <w:sz w:val="22"/>
                      <w:szCs w:val="21"/>
                      <w:highlight w:val="none"/>
                    </w:rPr>
                    <w:t>一般防渗区</w:t>
                  </w:r>
                </w:p>
              </w:tc>
              <w:tc>
                <w:tcPr>
                  <w:tcW w:w="1960" w:type="dxa"/>
                  <w:vAlign w:val="center"/>
                </w:tcPr>
                <w:p w14:paraId="773AAC08">
                  <w:pPr>
                    <w:autoSpaceDE w:val="0"/>
                    <w:autoSpaceDN w:val="0"/>
                    <w:adjustRightInd w:val="0"/>
                    <w:jc w:val="center"/>
                    <w:textAlignment w:val="center"/>
                    <w:rPr>
                      <w:color w:val="auto"/>
                      <w:kern w:val="0"/>
                      <w:sz w:val="22"/>
                      <w:szCs w:val="21"/>
                      <w:highlight w:val="none"/>
                    </w:rPr>
                  </w:pPr>
                  <w:r>
                    <w:rPr>
                      <w:rFonts w:hint="eastAsia"/>
                      <w:color w:val="auto"/>
                      <w:kern w:val="0"/>
                      <w:sz w:val="22"/>
                      <w:szCs w:val="21"/>
                      <w:highlight w:val="none"/>
                    </w:rPr>
                    <w:t>油压机、涂胶机区域</w:t>
                  </w:r>
                </w:p>
              </w:tc>
              <w:tc>
                <w:tcPr>
                  <w:tcW w:w="1316" w:type="dxa"/>
                  <w:vAlign w:val="center"/>
                </w:tcPr>
                <w:p w14:paraId="1B3EADCE">
                  <w:pPr>
                    <w:autoSpaceDE w:val="0"/>
                    <w:autoSpaceDN w:val="0"/>
                    <w:adjustRightInd w:val="0"/>
                    <w:jc w:val="center"/>
                    <w:textAlignment w:val="center"/>
                    <w:rPr>
                      <w:color w:val="auto"/>
                      <w:kern w:val="0"/>
                      <w:sz w:val="22"/>
                      <w:szCs w:val="21"/>
                      <w:highlight w:val="none"/>
                    </w:rPr>
                  </w:pPr>
                  <w:r>
                    <w:rPr>
                      <w:color w:val="auto"/>
                      <w:kern w:val="0"/>
                      <w:sz w:val="22"/>
                      <w:szCs w:val="21"/>
                      <w:highlight w:val="none"/>
                    </w:rPr>
                    <w:t>地面防渗</w:t>
                  </w:r>
                </w:p>
              </w:tc>
              <w:tc>
                <w:tcPr>
                  <w:tcW w:w="3005" w:type="dxa"/>
                  <w:vAlign w:val="center"/>
                </w:tcPr>
                <w:p w14:paraId="218187AE">
                  <w:pPr>
                    <w:autoSpaceDE w:val="0"/>
                    <w:autoSpaceDN w:val="0"/>
                    <w:adjustRightInd w:val="0"/>
                    <w:jc w:val="center"/>
                    <w:textAlignment w:val="center"/>
                    <w:rPr>
                      <w:color w:val="auto"/>
                      <w:kern w:val="0"/>
                      <w:sz w:val="22"/>
                      <w:szCs w:val="21"/>
                      <w:highlight w:val="none"/>
                    </w:rPr>
                  </w:pPr>
                  <w:r>
                    <w:rPr>
                      <w:rFonts w:hint="eastAsia"/>
                      <w:color w:val="auto"/>
                      <w:kern w:val="0"/>
                      <w:sz w:val="22"/>
                      <w:szCs w:val="21"/>
                      <w:highlight w:val="none"/>
                    </w:rPr>
                    <w:t>等效黏土防渗层Mb≥1.5m，K≤1×</w:t>
                  </w:r>
                  <w:r>
                    <w:rPr>
                      <w:color w:val="auto"/>
                      <w:kern w:val="0"/>
                      <w:sz w:val="22"/>
                      <w:szCs w:val="21"/>
                      <w:highlight w:val="none"/>
                    </w:rPr>
                    <w:t>10</w:t>
                  </w:r>
                  <w:bookmarkStart w:id="96" w:name="hmcheck_89554dfb62754e60bdb12a73e5ecc14b"/>
                  <w:r>
                    <w:rPr>
                      <w:color w:val="auto"/>
                      <w:kern w:val="0"/>
                      <w:sz w:val="22"/>
                      <w:szCs w:val="21"/>
                      <w:highlight w:val="none"/>
                      <w:shd w:val="clear" w:fill="FFAFAA"/>
                      <w:vertAlign w:val="superscript"/>
                    </w:rPr>
                    <w:t>-</w:t>
                  </w:r>
                  <w:bookmarkEnd w:id="96"/>
                  <w:r>
                    <w:rPr>
                      <w:color w:val="auto"/>
                      <w:kern w:val="0"/>
                      <w:sz w:val="22"/>
                      <w:szCs w:val="21"/>
                      <w:highlight w:val="none"/>
                      <w:vertAlign w:val="superscript"/>
                    </w:rPr>
                    <w:t>7</w:t>
                  </w:r>
                  <w:r>
                    <w:rPr>
                      <w:rFonts w:hint="eastAsia"/>
                      <w:color w:val="auto"/>
                      <w:kern w:val="0"/>
                      <w:sz w:val="22"/>
                      <w:szCs w:val="21"/>
                      <w:highlight w:val="none"/>
                    </w:rPr>
                    <w:t>cm/s</w:t>
                  </w:r>
                </w:p>
              </w:tc>
            </w:tr>
            <w:tr w14:paraId="344B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dxa"/>
                  <w:vAlign w:val="center"/>
                </w:tcPr>
                <w:p w14:paraId="49F2B8F3">
                  <w:pPr>
                    <w:autoSpaceDE w:val="0"/>
                    <w:autoSpaceDN w:val="0"/>
                    <w:adjustRightInd w:val="0"/>
                    <w:jc w:val="center"/>
                    <w:textAlignment w:val="center"/>
                    <w:rPr>
                      <w:color w:val="auto"/>
                      <w:kern w:val="0"/>
                      <w:sz w:val="22"/>
                      <w:szCs w:val="21"/>
                      <w:highlight w:val="none"/>
                    </w:rPr>
                  </w:pPr>
                  <w:r>
                    <w:rPr>
                      <w:rFonts w:hint="eastAsia"/>
                      <w:color w:val="auto"/>
                      <w:kern w:val="0"/>
                      <w:sz w:val="22"/>
                      <w:szCs w:val="21"/>
                      <w:highlight w:val="none"/>
                    </w:rPr>
                    <w:t>3</w:t>
                  </w:r>
                </w:p>
              </w:tc>
              <w:tc>
                <w:tcPr>
                  <w:tcW w:w="959" w:type="dxa"/>
                  <w:vAlign w:val="center"/>
                </w:tcPr>
                <w:p w14:paraId="3CABA215">
                  <w:pPr>
                    <w:autoSpaceDE w:val="0"/>
                    <w:autoSpaceDN w:val="0"/>
                    <w:adjustRightInd w:val="0"/>
                    <w:jc w:val="center"/>
                    <w:textAlignment w:val="center"/>
                    <w:rPr>
                      <w:color w:val="auto"/>
                      <w:kern w:val="0"/>
                      <w:sz w:val="22"/>
                      <w:szCs w:val="21"/>
                      <w:highlight w:val="none"/>
                    </w:rPr>
                  </w:pPr>
                  <w:r>
                    <w:rPr>
                      <w:color w:val="auto"/>
                      <w:kern w:val="0"/>
                      <w:sz w:val="22"/>
                      <w:szCs w:val="21"/>
                      <w:highlight w:val="none"/>
                    </w:rPr>
                    <w:t>简单防渗区</w:t>
                  </w:r>
                </w:p>
              </w:tc>
              <w:tc>
                <w:tcPr>
                  <w:tcW w:w="1960" w:type="dxa"/>
                  <w:vAlign w:val="center"/>
                </w:tcPr>
                <w:p w14:paraId="3F973AB7">
                  <w:pPr>
                    <w:autoSpaceDE w:val="0"/>
                    <w:autoSpaceDN w:val="0"/>
                    <w:adjustRightInd w:val="0"/>
                    <w:jc w:val="center"/>
                    <w:textAlignment w:val="center"/>
                    <w:rPr>
                      <w:color w:val="auto"/>
                      <w:kern w:val="0"/>
                      <w:sz w:val="22"/>
                      <w:szCs w:val="21"/>
                      <w:highlight w:val="none"/>
                    </w:rPr>
                  </w:pPr>
                  <w:r>
                    <w:rPr>
                      <w:rFonts w:hint="eastAsia"/>
                      <w:color w:val="auto"/>
                      <w:kern w:val="0"/>
                      <w:sz w:val="22"/>
                      <w:szCs w:val="21"/>
                      <w:highlight w:val="none"/>
                    </w:rPr>
                    <w:t>其他区域</w:t>
                  </w:r>
                </w:p>
              </w:tc>
              <w:tc>
                <w:tcPr>
                  <w:tcW w:w="1316" w:type="dxa"/>
                  <w:vAlign w:val="center"/>
                </w:tcPr>
                <w:p w14:paraId="197A3DBA">
                  <w:pPr>
                    <w:autoSpaceDE w:val="0"/>
                    <w:autoSpaceDN w:val="0"/>
                    <w:adjustRightInd w:val="0"/>
                    <w:jc w:val="center"/>
                    <w:textAlignment w:val="center"/>
                    <w:rPr>
                      <w:color w:val="auto"/>
                      <w:kern w:val="0"/>
                      <w:sz w:val="22"/>
                      <w:szCs w:val="21"/>
                      <w:highlight w:val="none"/>
                    </w:rPr>
                  </w:pPr>
                  <w:r>
                    <w:rPr>
                      <w:color w:val="auto"/>
                      <w:kern w:val="0"/>
                      <w:sz w:val="22"/>
                      <w:szCs w:val="21"/>
                      <w:highlight w:val="none"/>
                    </w:rPr>
                    <w:t>地面防渗</w:t>
                  </w:r>
                </w:p>
              </w:tc>
              <w:tc>
                <w:tcPr>
                  <w:tcW w:w="3005" w:type="dxa"/>
                  <w:vAlign w:val="center"/>
                </w:tcPr>
                <w:p w14:paraId="77AADE40">
                  <w:pPr>
                    <w:autoSpaceDE w:val="0"/>
                    <w:autoSpaceDN w:val="0"/>
                    <w:adjustRightInd w:val="0"/>
                    <w:jc w:val="center"/>
                    <w:textAlignment w:val="center"/>
                    <w:rPr>
                      <w:color w:val="auto"/>
                      <w:kern w:val="0"/>
                      <w:sz w:val="22"/>
                      <w:szCs w:val="21"/>
                      <w:highlight w:val="none"/>
                    </w:rPr>
                  </w:pPr>
                  <w:r>
                    <w:rPr>
                      <w:color w:val="auto"/>
                      <w:kern w:val="0"/>
                      <w:sz w:val="22"/>
                      <w:szCs w:val="21"/>
                      <w:highlight w:val="none"/>
                    </w:rPr>
                    <w:t>采用一般地面硬化</w:t>
                  </w:r>
                </w:p>
              </w:tc>
            </w:tr>
          </w:tbl>
          <w:p w14:paraId="37B1C4EB">
            <w:pPr>
              <w:adjustRightInd w:val="0"/>
              <w:snapToGrid w:val="0"/>
              <w:ind w:firstLine="400" w:firstLineChars="200"/>
              <w:rPr>
                <w:color w:val="auto"/>
                <w:kern w:val="0"/>
                <w:sz w:val="20"/>
                <w:szCs w:val="26"/>
                <w:highlight w:val="none"/>
              </w:rPr>
            </w:pPr>
          </w:p>
          <w:p w14:paraId="6FDD8B8E">
            <w:pPr>
              <w:adjustRightInd w:val="0"/>
              <w:snapToGrid w:val="0"/>
              <w:spacing w:line="480" w:lineRule="exact"/>
              <w:ind w:firstLine="520" w:firstLineChars="200"/>
              <w:rPr>
                <w:color w:val="auto"/>
                <w:kern w:val="0"/>
                <w:sz w:val="26"/>
                <w:szCs w:val="26"/>
                <w:highlight w:val="none"/>
              </w:rPr>
            </w:pPr>
            <w:r>
              <w:rPr>
                <w:rFonts w:hint="eastAsia" w:ascii="宋体" w:hAnsi="宋体" w:cs="宋体"/>
                <w:color w:val="auto"/>
                <w:kern w:val="0"/>
                <w:sz w:val="26"/>
                <w:szCs w:val="26"/>
                <w:highlight w:val="none"/>
              </w:rPr>
              <w:t>③</w:t>
            </w:r>
            <w:r>
              <w:rPr>
                <w:color w:val="auto"/>
                <w:kern w:val="0"/>
                <w:sz w:val="26"/>
                <w:szCs w:val="26"/>
                <w:highlight w:val="none"/>
              </w:rPr>
              <w:t>污染监控</w:t>
            </w:r>
            <w:r>
              <w:rPr>
                <w:rFonts w:hint="eastAsia"/>
                <w:color w:val="auto"/>
                <w:kern w:val="0"/>
                <w:sz w:val="26"/>
                <w:szCs w:val="26"/>
                <w:highlight w:val="none"/>
              </w:rPr>
              <w:t>/跟踪监测</w:t>
            </w:r>
          </w:p>
          <w:p w14:paraId="6001117E">
            <w:pPr>
              <w:adjustRightInd w:val="0"/>
              <w:snapToGrid w:val="0"/>
              <w:spacing w:line="480" w:lineRule="exact"/>
              <w:ind w:firstLine="520" w:firstLineChars="200"/>
              <w:rPr>
                <w:color w:val="auto"/>
                <w:kern w:val="0"/>
                <w:sz w:val="26"/>
                <w:szCs w:val="26"/>
                <w:highlight w:val="none"/>
              </w:rPr>
            </w:pPr>
            <w:r>
              <w:rPr>
                <w:color w:val="auto"/>
                <w:kern w:val="0"/>
                <w:sz w:val="26"/>
                <w:szCs w:val="26"/>
                <w:highlight w:val="none"/>
              </w:rPr>
              <w:t>建设单位</w:t>
            </w:r>
            <w:r>
              <w:rPr>
                <w:rFonts w:hint="eastAsia"/>
                <w:color w:val="auto"/>
                <w:kern w:val="0"/>
                <w:sz w:val="26"/>
                <w:szCs w:val="26"/>
                <w:highlight w:val="none"/>
              </w:rPr>
              <w:t>可依托园区自行监测体系，</w:t>
            </w:r>
            <w:r>
              <w:rPr>
                <w:color w:val="auto"/>
                <w:kern w:val="0"/>
                <w:sz w:val="26"/>
                <w:szCs w:val="26"/>
                <w:highlight w:val="none"/>
              </w:rPr>
              <w:t>建立</w:t>
            </w:r>
            <w:r>
              <w:rPr>
                <w:rFonts w:hint="eastAsia"/>
                <w:color w:val="auto"/>
                <w:kern w:val="0"/>
                <w:sz w:val="26"/>
                <w:szCs w:val="26"/>
                <w:highlight w:val="none"/>
              </w:rPr>
              <w:t>项目土壤、</w:t>
            </w:r>
            <w:r>
              <w:rPr>
                <w:color w:val="auto"/>
                <w:kern w:val="0"/>
                <w:sz w:val="26"/>
                <w:szCs w:val="26"/>
                <w:highlight w:val="none"/>
              </w:rPr>
              <w:t>地下水环境监测管理体系，以便掌握拟建项目</w:t>
            </w:r>
            <w:r>
              <w:rPr>
                <w:rFonts w:hint="eastAsia"/>
                <w:color w:val="auto"/>
                <w:kern w:val="0"/>
                <w:sz w:val="26"/>
                <w:szCs w:val="26"/>
                <w:highlight w:val="none"/>
              </w:rPr>
              <w:t>污染情况，及时发现问题，及时采取措施</w:t>
            </w:r>
            <w:r>
              <w:rPr>
                <w:color w:val="auto"/>
                <w:kern w:val="0"/>
                <w:sz w:val="26"/>
                <w:szCs w:val="26"/>
                <w:highlight w:val="none"/>
              </w:rPr>
              <w:t>。</w:t>
            </w:r>
          </w:p>
          <w:p w14:paraId="4E2E2D6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520" w:firstLineChars="200"/>
              <w:textAlignment w:val="auto"/>
              <w:rPr>
                <w:color w:val="auto"/>
                <w:kern w:val="0"/>
                <w:sz w:val="26"/>
                <w:szCs w:val="26"/>
                <w:highlight w:val="none"/>
              </w:rPr>
            </w:pPr>
            <w:r>
              <w:rPr>
                <w:rFonts w:hint="eastAsia" w:ascii="宋体" w:hAnsi="宋体" w:cs="宋体"/>
                <w:color w:val="auto"/>
                <w:kern w:val="0"/>
                <w:sz w:val="26"/>
                <w:szCs w:val="26"/>
                <w:highlight w:val="none"/>
              </w:rPr>
              <w:t>④地下水</w:t>
            </w:r>
            <w:r>
              <w:rPr>
                <w:color w:val="auto"/>
                <w:kern w:val="0"/>
                <w:sz w:val="26"/>
                <w:szCs w:val="26"/>
                <w:highlight w:val="none"/>
              </w:rPr>
              <w:t>污染应急响应</w:t>
            </w:r>
          </w:p>
          <w:p w14:paraId="3437331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520" w:firstLineChars="200"/>
              <w:textAlignment w:val="auto"/>
              <w:rPr>
                <w:color w:val="auto"/>
                <w:kern w:val="0"/>
                <w:sz w:val="26"/>
                <w:szCs w:val="26"/>
                <w:highlight w:val="none"/>
              </w:rPr>
            </w:pPr>
            <w:r>
              <w:rPr>
                <w:color w:val="auto"/>
                <w:kern w:val="0"/>
                <w:sz w:val="26"/>
                <w:szCs w:val="26"/>
                <w:highlight w:val="none"/>
              </w:rPr>
              <w:t>建设单位应制定地下水污染应急响</w:t>
            </w:r>
            <w:r>
              <w:rPr>
                <w:rFonts w:hint="eastAsia"/>
                <w:color w:val="auto"/>
                <w:kern w:val="0"/>
                <w:sz w:val="26"/>
                <w:szCs w:val="26"/>
                <w:highlight w:val="none"/>
              </w:rPr>
              <w:t>应制度</w:t>
            </w:r>
            <w:r>
              <w:rPr>
                <w:color w:val="auto"/>
                <w:kern w:val="0"/>
                <w:sz w:val="26"/>
                <w:szCs w:val="26"/>
                <w:highlight w:val="none"/>
              </w:rPr>
              <w:t>，明确污废水发生泄漏情况下应采取的污染源控制措施及切断污染途径的措施。一旦发现渗漏情况，应及时采取补救措施，同时组织相关人员“追根溯源”，查明渗漏源头，分析原因并</w:t>
            </w:r>
            <w:r>
              <w:rPr>
                <w:rFonts w:hint="eastAsia"/>
                <w:color w:val="auto"/>
                <w:kern w:val="0"/>
                <w:sz w:val="26"/>
                <w:szCs w:val="26"/>
                <w:highlight w:val="none"/>
              </w:rPr>
              <w:t>做出</w:t>
            </w:r>
            <w:r>
              <w:rPr>
                <w:color w:val="auto"/>
                <w:kern w:val="0"/>
                <w:sz w:val="26"/>
                <w:szCs w:val="26"/>
                <w:highlight w:val="none"/>
              </w:rPr>
              <w:t>整改。</w:t>
            </w:r>
          </w:p>
          <w:p w14:paraId="2D2F666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522" w:firstLineChars="200"/>
              <w:textAlignment w:val="auto"/>
              <w:rPr>
                <w:b/>
                <w:color w:val="auto"/>
                <w:kern w:val="0"/>
                <w:sz w:val="26"/>
                <w:szCs w:val="26"/>
                <w:highlight w:val="none"/>
              </w:rPr>
            </w:pPr>
            <w:r>
              <w:rPr>
                <w:rFonts w:hint="eastAsia"/>
                <w:b/>
                <w:color w:val="auto"/>
                <w:kern w:val="0"/>
                <w:sz w:val="26"/>
                <w:szCs w:val="26"/>
                <w:highlight w:val="none"/>
              </w:rPr>
              <w:t>4.2.5.3</w:t>
            </w:r>
            <w:r>
              <w:rPr>
                <w:b/>
                <w:color w:val="auto"/>
                <w:kern w:val="0"/>
                <w:sz w:val="26"/>
                <w:szCs w:val="26"/>
                <w:highlight w:val="none"/>
              </w:rPr>
              <w:t>跟踪监测</w:t>
            </w:r>
            <w:r>
              <w:rPr>
                <w:rFonts w:hint="eastAsia"/>
                <w:b/>
                <w:color w:val="auto"/>
                <w:kern w:val="0"/>
                <w:sz w:val="26"/>
                <w:szCs w:val="26"/>
                <w:highlight w:val="none"/>
              </w:rPr>
              <w:t>计划</w:t>
            </w:r>
          </w:p>
          <w:p w14:paraId="076B191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520" w:firstLineChars="200"/>
              <w:textAlignment w:val="auto"/>
              <w:rPr>
                <w:rFonts w:hint="eastAsia" w:eastAsia="宋体"/>
                <w:color w:val="auto"/>
                <w:kern w:val="0"/>
                <w:sz w:val="26"/>
                <w:szCs w:val="26"/>
                <w:highlight w:val="none"/>
                <w:lang w:eastAsia="zh-CN"/>
              </w:rPr>
            </w:pPr>
            <w:r>
              <w:rPr>
                <w:color w:val="auto"/>
                <w:kern w:val="0"/>
                <w:sz w:val="26"/>
                <w:szCs w:val="26"/>
                <w:highlight w:val="none"/>
              </w:rPr>
              <w:t>《排污许可证申请与核发技术规范 汽车制造业》（HJ971-2018）</w:t>
            </w:r>
            <w:r>
              <w:rPr>
                <w:rFonts w:hint="eastAsia"/>
                <w:color w:val="auto"/>
                <w:kern w:val="0"/>
                <w:sz w:val="26"/>
                <w:szCs w:val="26"/>
                <w:highlight w:val="none"/>
              </w:rPr>
              <w:t>中未对地下水及土壤监测提出要求</w:t>
            </w:r>
            <w:r>
              <w:rPr>
                <w:rFonts w:hint="eastAsia"/>
                <w:color w:val="auto"/>
                <w:kern w:val="0"/>
                <w:sz w:val="26"/>
                <w:szCs w:val="26"/>
                <w:highlight w:val="none"/>
                <w:lang w:eastAsia="zh-CN"/>
              </w:rPr>
              <w:t>，可依托园区地下水、土壤监测。</w:t>
            </w:r>
          </w:p>
          <w:p w14:paraId="5849A12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362" w:firstLineChars="150"/>
              <w:textAlignment w:val="auto"/>
              <w:rPr>
                <w:b/>
                <w:bCs/>
                <w:color w:val="auto"/>
                <w:spacing w:val="-10"/>
                <w:sz w:val="26"/>
                <w:szCs w:val="26"/>
                <w:highlight w:val="none"/>
              </w:rPr>
            </w:pPr>
            <w:r>
              <w:rPr>
                <w:rFonts w:hint="eastAsia"/>
                <w:b/>
                <w:bCs/>
                <w:color w:val="auto"/>
                <w:spacing w:val="-10"/>
                <w:sz w:val="26"/>
                <w:szCs w:val="26"/>
                <w:highlight w:val="none"/>
              </w:rPr>
              <w:t>4.2.6</w:t>
            </w:r>
            <w:r>
              <w:rPr>
                <w:b/>
                <w:bCs/>
                <w:color w:val="auto"/>
                <w:spacing w:val="-10"/>
                <w:sz w:val="26"/>
                <w:szCs w:val="26"/>
                <w:highlight w:val="none"/>
              </w:rPr>
              <w:t xml:space="preserve"> 环境风险</w:t>
            </w:r>
          </w:p>
          <w:p w14:paraId="207BCD3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2" w:firstLineChars="200"/>
              <w:textAlignment w:val="auto"/>
              <w:rPr>
                <w:b/>
                <w:bCs/>
                <w:color w:val="auto"/>
                <w:spacing w:val="-10"/>
                <w:sz w:val="26"/>
                <w:szCs w:val="26"/>
                <w:highlight w:val="none"/>
              </w:rPr>
            </w:pPr>
            <w:r>
              <w:rPr>
                <w:rFonts w:hint="eastAsia"/>
                <w:b/>
                <w:bCs/>
                <w:color w:val="auto"/>
                <w:spacing w:val="-10"/>
                <w:sz w:val="26"/>
                <w:szCs w:val="26"/>
                <w:highlight w:val="none"/>
              </w:rPr>
              <w:t>4.2.6.1危险物质和风险源分布情况</w:t>
            </w:r>
          </w:p>
          <w:p w14:paraId="01BC81A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520" w:firstLineChars="200"/>
              <w:textAlignment w:val="auto"/>
              <w:rPr>
                <w:color w:val="auto"/>
                <w:kern w:val="0"/>
                <w:sz w:val="26"/>
                <w:szCs w:val="26"/>
                <w:highlight w:val="none"/>
              </w:rPr>
            </w:pPr>
            <w:r>
              <w:rPr>
                <w:color w:val="auto"/>
                <w:kern w:val="0"/>
                <w:sz w:val="26"/>
                <w:szCs w:val="26"/>
                <w:highlight w:val="none"/>
              </w:rPr>
              <w:t>根据《建设项目环境风险评价技术导则》（HJ169-2018）附录B重点关注的危险物质及临界量，本项目</w:t>
            </w:r>
            <w:r>
              <w:rPr>
                <w:rFonts w:hint="eastAsia"/>
                <w:color w:val="auto"/>
                <w:kern w:val="0"/>
                <w:sz w:val="26"/>
                <w:szCs w:val="26"/>
                <w:highlight w:val="none"/>
              </w:rPr>
              <w:t>涉及的</w:t>
            </w:r>
            <w:r>
              <w:rPr>
                <w:color w:val="auto"/>
                <w:kern w:val="0"/>
                <w:sz w:val="26"/>
                <w:szCs w:val="26"/>
                <w:highlight w:val="none"/>
              </w:rPr>
              <w:t>主要危险性物质及</w:t>
            </w:r>
            <w:r>
              <w:rPr>
                <w:rFonts w:hint="eastAsia"/>
                <w:color w:val="auto"/>
                <w:kern w:val="0"/>
                <w:sz w:val="26"/>
                <w:szCs w:val="26"/>
                <w:highlight w:val="none"/>
              </w:rPr>
              <w:t>分布</w:t>
            </w:r>
            <w:r>
              <w:rPr>
                <w:color w:val="auto"/>
                <w:kern w:val="0"/>
                <w:sz w:val="26"/>
                <w:szCs w:val="26"/>
                <w:highlight w:val="none"/>
              </w:rPr>
              <w:t>详见</w:t>
            </w:r>
            <w:r>
              <w:rPr>
                <w:rFonts w:hint="eastAsia"/>
                <w:color w:val="auto"/>
                <w:kern w:val="0"/>
                <w:sz w:val="26"/>
                <w:szCs w:val="26"/>
                <w:highlight w:val="none"/>
              </w:rPr>
              <w:t>下</w:t>
            </w:r>
            <w:r>
              <w:rPr>
                <w:color w:val="auto"/>
                <w:kern w:val="0"/>
                <w:sz w:val="26"/>
                <w:szCs w:val="26"/>
                <w:highlight w:val="none"/>
              </w:rPr>
              <w:t>表。</w:t>
            </w:r>
          </w:p>
          <w:p w14:paraId="177D430D">
            <w:pPr>
              <w:adjustRightInd w:val="0"/>
              <w:snapToGrid w:val="0"/>
              <w:jc w:val="center"/>
              <w:rPr>
                <w:color w:val="auto"/>
                <w:kern w:val="0"/>
                <w:sz w:val="24"/>
                <w:szCs w:val="26"/>
                <w:highlight w:val="none"/>
              </w:rPr>
            </w:pPr>
          </w:p>
          <w:p w14:paraId="4D574C77">
            <w:pPr>
              <w:adjustRightInd w:val="0"/>
              <w:snapToGrid w:val="0"/>
              <w:jc w:val="center"/>
              <w:rPr>
                <w:color w:val="auto"/>
                <w:kern w:val="0"/>
                <w:sz w:val="24"/>
                <w:szCs w:val="26"/>
                <w:highlight w:val="none"/>
              </w:rPr>
            </w:pPr>
            <w:r>
              <w:rPr>
                <w:color w:val="auto"/>
                <w:kern w:val="0"/>
                <w:sz w:val="24"/>
                <w:szCs w:val="26"/>
                <w:highlight w:val="none"/>
              </w:rPr>
              <w:t>表4.</w:t>
            </w:r>
            <w:r>
              <w:rPr>
                <w:rFonts w:hint="eastAsia"/>
                <w:color w:val="auto"/>
                <w:kern w:val="0"/>
                <w:sz w:val="24"/>
                <w:szCs w:val="26"/>
                <w:highlight w:val="none"/>
              </w:rPr>
              <w:t>2-22</w:t>
            </w:r>
            <w:r>
              <w:rPr>
                <w:color w:val="auto"/>
                <w:kern w:val="0"/>
                <w:sz w:val="24"/>
                <w:szCs w:val="26"/>
                <w:highlight w:val="none"/>
              </w:rPr>
              <w:t xml:space="preserve">  主要危险物质储存情况一览表</w:t>
            </w:r>
          </w:p>
          <w:tbl>
            <w:tblPr>
              <w:tblStyle w:val="16"/>
              <w:tblW w:w="48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75"/>
              <w:gridCol w:w="930"/>
              <w:gridCol w:w="991"/>
              <w:gridCol w:w="1137"/>
              <w:gridCol w:w="715"/>
              <w:gridCol w:w="711"/>
              <w:gridCol w:w="1148"/>
              <w:gridCol w:w="596"/>
              <w:gridCol w:w="597"/>
            </w:tblGrid>
            <w:tr w14:paraId="3D4E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5" w:type="dxa"/>
                  <w:vAlign w:val="center"/>
                </w:tcPr>
                <w:p w14:paraId="431E0429">
                  <w:pPr>
                    <w:snapToGrid w:val="0"/>
                    <w:jc w:val="center"/>
                    <w:rPr>
                      <w:snapToGrid w:val="0"/>
                      <w:color w:val="auto"/>
                      <w:sz w:val="22"/>
                      <w:szCs w:val="22"/>
                      <w:highlight w:val="none"/>
                    </w:rPr>
                  </w:pPr>
                  <w:r>
                    <w:rPr>
                      <w:snapToGrid w:val="0"/>
                      <w:color w:val="auto"/>
                      <w:sz w:val="22"/>
                      <w:szCs w:val="22"/>
                      <w:highlight w:val="none"/>
                    </w:rPr>
                    <w:t>项目</w:t>
                  </w:r>
                </w:p>
              </w:tc>
              <w:tc>
                <w:tcPr>
                  <w:tcW w:w="930" w:type="dxa"/>
                  <w:vAlign w:val="center"/>
                </w:tcPr>
                <w:p w14:paraId="039A107F">
                  <w:pPr>
                    <w:snapToGrid w:val="0"/>
                    <w:jc w:val="center"/>
                    <w:rPr>
                      <w:snapToGrid w:val="0"/>
                      <w:color w:val="auto"/>
                      <w:sz w:val="22"/>
                      <w:szCs w:val="22"/>
                      <w:highlight w:val="none"/>
                    </w:rPr>
                  </w:pPr>
                  <w:r>
                    <w:rPr>
                      <w:snapToGrid w:val="0"/>
                      <w:color w:val="auto"/>
                      <w:sz w:val="22"/>
                      <w:szCs w:val="22"/>
                      <w:highlight w:val="none"/>
                    </w:rPr>
                    <w:t>危险物质名称</w:t>
                  </w:r>
                </w:p>
              </w:tc>
              <w:tc>
                <w:tcPr>
                  <w:tcW w:w="991" w:type="dxa"/>
                  <w:vAlign w:val="center"/>
                </w:tcPr>
                <w:p w14:paraId="2067E85A">
                  <w:pPr>
                    <w:snapToGrid w:val="0"/>
                    <w:jc w:val="center"/>
                    <w:rPr>
                      <w:snapToGrid w:val="0"/>
                      <w:color w:val="auto"/>
                      <w:sz w:val="22"/>
                      <w:szCs w:val="22"/>
                      <w:highlight w:val="none"/>
                    </w:rPr>
                  </w:pPr>
                  <w:r>
                    <w:rPr>
                      <w:snapToGrid w:val="0"/>
                      <w:color w:val="auto"/>
                      <w:sz w:val="22"/>
                      <w:szCs w:val="22"/>
                      <w:highlight w:val="none"/>
                    </w:rPr>
                    <w:t>最大储存量</w:t>
                  </w:r>
                </w:p>
              </w:tc>
              <w:tc>
                <w:tcPr>
                  <w:tcW w:w="1137" w:type="dxa"/>
                  <w:vAlign w:val="center"/>
                </w:tcPr>
                <w:p w14:paraId="3FCC3A77">
                  <w:pPr>
                    <w:snapToGrid w:val="0"/>
                    <w:jc w:val="center"/>
                    <w:rPr>
                      <w:snapToGrid w:val="0"/>
                      <w:color w:val="auto"/>
                      <w:sz w:val="22"/>
                      <w:szCs w:val="22"/>
                      <w:highlight w:val="none"/>
                    </w:rPr>
                  </w:pPr>
                  <w:r>
                    <w:rPr>
                      <w:snapToGrid w:val="0"/>
                      <w:color w:val="auto"/>
                      <w:sz w:val="22"/>
                      <w:szCs w:val="22"/>
                      <w:highlight w:val="none"/>
                    </w:rPr>
                    <w:t>储存位置</w:t>
                  </w:r>
                </w:p>
              </w:tc>
              <w:tc>
                <w:tcPr>
                  <w:tcW w:w="715" w:type="dxa"/>
                  <w:vAlign w:val="center"/>
                </w:tcPr>
                <w:p w14:paraId="1F1A31AA">
                  <w:pPr>
                    <w:snapToGrid w:val="0"/>
                    <w:jc w:val="center"/>
                    <w:rPr>
                      <w:snapToGrid w:val="0"/>
                      <w:color w:val="auto"/>
                      <w:sz w:val="22"/>
                      <w:szCs w:val="22"/>
                      <w:highlight w:val="none"/>
                    </w:rPr>
                  </w:pPr>
                  <w:r>
                    <w:rPr>
                      <w:snapToGrid w:val="0"/>
                      <w:color w:val="auto"/>
                      <w:sz w:val="22"/>
                      <w:szCs w:val="22"/>
                      <w:highlight w:val="none"/>
                    </w:rPr>
                    <w:t>形态</w:t>
                  </w:r>
                </w:p>
              </w:tc>
              <w:tc>
                <w:tcPr>
                  <w:tcW w:w="711" w:type="dxa"/>
                  <w:vAlign w:val="center"/>
                </w:tcPr>
                <w:p w14:paraId="145F33D4">
                  <w:pPr>
                    <w:snapToGrid w:val="0"/>
                    <w:jc w:val="center"/>
                    <w:rPr>
                      <w:snapToGrid w:val="0"/>
                      <w:color w:val="auto"/>
                      <w:sz w:val="22"/>
                      <w:szCs w:val="22"/>
                      <w:highlight w:val="none"/>
                    </w:rPr>
                  </w:pPr>
                  <w:r>
                    <w:rPr>
                      <w:snapToGrid w:val="0"/>
                      <w:color w:val="auto"/>
                      <w:sz w:val="22"/>
                      <w:szCs w:val="22"/>
                      <w:highlight w:val="none"/>
                    </w:rPr>
                    <w:t>CAS号</w:t>
                  </w:r>
                </w:p>
              </w:tc>
              <w:tc>
                <w:tcPr>
                  <w:tcW w:w="1148" w:type="dxa"/>
                  <w:vAlign w:val="center"/>
                </w:tcPr>
                <w:p w14:paraId="3A786E1C">
                  <w:pPr>
                    <w:snapToGrid w:val="0"/>
                    <w:jc w:val="center"/>
                    <w:rPr>
                      <w:snapToGrid w:val="0"/>
                      <w:color w:val="auto"/>
                      <w:sz w:val="22"/>
                      <w:szCs w:val="22"/>
                      <w:highlight w:val="none"/>
                    </w:rPr>
                  </w:pPr>
                  <w:r>
                    <w:rPr>
                      <w:snapToGrid w:val="0"/>
                      <w:color w:val="auto"/>
                      <w:sz w:val="22"/>
                      <w:szCs w:val="22"/>
                      <w:highlight w:val="none"/>
                    </w:rPr>
                    <w:t>主要危险特性</w:t>
                  </w:r>
                </w:p>
              </w:tc>
              <w:tc>
                <w:tcPr>
                  <w:tcW w:w="596" w:type="dxa"/>
                  <w:vAlign w:val="center"/>
                </w:tcPr>
                <w:p w14:paraId="7F0C8A39">
                  <w:pPr>
                    <w:snapToGrid w:val="0"/>
                    <w:jc w:val="center"/>
                    <w:rPr>
                      <w:snapToGrid w:val="0"/>
                      <w:color w:val="auto"/>
                      <w:sz w:val="22"/>
                      <w:szCs w:val="22"/>
                      <w:highlight w:val="none"/>
                    </w:rPr>
                  </w:pPr>
                  <w:r>
                    <w:rPr>
                      <w:rFonts w:hint="eastAsia"/>
                      <w:snapToGrid w:val="0"/>
                      <w:color w:val="auto"/>
                      <w:sz w:val="22"/>
                      <w:szCs w:val="22"/>
                      <w:highlight w:val="none"/>
                    </w:rPr>
                    <w:t>临界量</w:t>
                  </w:r>
                </w:p>
              </w:tc>
              <w:tc>
                <w:tcPr>
                  <w:tcW w:w="597" w:type="dxa"/>
                  <w:vAlign w:val="center"/>
                </w:tcPr>
                <w:p w14:paraId="2902058C">
                  <w:pPr>
                    <w:snapToGrid w:val="0"/>
                    <w:jc w:val="center"/>
                    <w:rPr>
                      <w:snapToGrid w:val="0"/>
                      <w:color w:val="auto"/>
                      <w:sz w:val="22"/>
                      <w:szCs w:val="22"/>
                      <w:highlight w:val="none"/>
                    </w:rPr>
                  </w:pPr>
                  <w:r>
                    <w:rPr>
                      <w:rFonts w:hint="eastAsia"/>
                      <w:snapToGrid w:val="0"/>
                      <w:color w:val="auto"/>
                      <w:sz w:val="22"/>
                      <w:szCs w:val="22"/>
                      <w:highlight w:val="none"/>
                    </w:rPr>
                    <w:t>Q值</w:t>
                  </w:r>
                </w:p>
              </w:tc>
            </w:tr>
            <w:tr w14:paraId="7615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5" w:type="dxa"/>
                  <w:vMerge w:val="restart"/>
                  <w:vAlign w:val="center"/>
                </w:tcPr>
                <w:p w14:paraId="20973552">
                  <w:pPr>
                    <w:snapToGrid w:val="0"/>
                    <w:jc w:val="center"/>
                    <w:rPr>
                      <w:snapToGrid w:val="0"/>
                      <w:color w:val="auto"/>
                      <w:sz w:val="22"/>
                      <w:szCs w:val="22"/>
                      <w:highlight w:val="none"/>
                    </w:rPr>
                  </w:pPr>
                  <w:r>
                    <w:rPr>
                      <w:snapToGrid w:val="0"/>
                      <w:color w:val="auto"/>
                      <w:sz w:val="22"/>
                      <w:szCs w:val="22"/>
                      <w:highlight w:val="none"/>
                    </w:rPr>
                    <w:t>危险物质数量及分布情况</w:t>
                  </w:r>
                </w:p>
              </w:tc>
              <w:tc>
                <w:tcPr>
                  <w:tcW w:w="930" w:type="dxa"/>
                  <w:vAlign w:val="center"/>
                </w:tcPr>
                <w:p w14:paraId="493D6893">
                  <w:pPr>
                    <w:snapToGrid w:val="0"/>
                    <w:jc w:val="center"/>
                    <w:rPr>
                      <w:snapToGrid w:val="0"/>
                      <w:color w:val="auto"/>
                      <w:sz w:val="22"/>
                      <w:szCs w:val="22"/>
                      <w:highlight w:val="none"/>
                    </w:rPr>
                  </w:pPr>
                  <w:r>
                    <w:rPr>
                      <w:rFonts w:hint="eastAsia"/>
                      <w:color w:val="auto"/>
                      <w:sz w:val="22"/>
                      <w:szCs w:val="22"/>
                      <w:highlight w:val="none"/>
                    </w:rPr>
                    <w:t>油类物质</w:t>
                  </w:r>
                </w:p>
              </w:tc>
              <w:tc>
                <w:tcPr>
                  <w:tcW w:w="991" w:type="dxa"/>
                  <w:vAlign w:val="center"/>
                </w:tcPr>
                <w:p w14:paraId="769E4B03">
                  <w:pPr>
                    <w:snapToGrid w:val="0"/>
                    <w:jc w:val="center"/>
                    <w:rPr>
                      <w:snapToGrid w:val="0"/>
                      <w:color w:val="auto"/>
                      <w:sz w:val="22"/>
                      <w:szCs w:val="22"/>
                      <w:highlight w:val="none"/>
                    </w:rPr>
                  </w:pPr>
                  <w:r>
                    <w:rPr>
                      <w:rFonts w:hint="eastAsia"/>
                      <w:snapToGrid w:val="0"/>
                      <w:color w:val="auto"/>
                      <w:sz w:val="22"/>
                      <w:szCs w:val="22"/>
                      <w:highlight w:val="none"/>
                      <w:lang w:val="en-US" w:eastAsia="zh-CN"/>
                    </w:rPr>
                    <w:t>17</w:t>
                  </w:r>
                  <w:r>
                    <w:rPr>
                      <w:rFonts w:hint="eastAsia"/>
                      <w:snapToGrid w:val="0"/>
                      <w:color w:val="auto"/>
                      <w:sz w:val="22"/>
                      <w:szCs w:val="22"/>
                      <w:highlight w:val="none"/>
                    </w:rPr>
                    <w:t>.88t</w:t>
                  </w:r>
                </w:p>
              </w:tc>
              <w:tc>
                <w:tcPr>
                  <w:tcW w:w="1137" w:type="dxa"/>
                  <w:vAlign w:val="center"/>
                </w:tcPr>
                <w:p w14:paraId="63880C49">
                  <w:pPr>
                    <w:snapToGrid w:val="0"/>
                    <w:jc w:val="center"/>
                    <w:rPr>
                      <w:rFonts w:hint="eastAsia" w:eastAsia="宋体"/>
                      <w:snapToGrid w:val="0"/>
                      <w:color w:val="auto"/>
                      <w:sz w:val="22"/>
                      <w:szCs w:val="22"/>
                      <w:highlight w:val="none"/>
                      <w:lang w:eastAsia="zh-CN"/>
                    </w:rPr>
                  </w:pPr>
                  <w:r>
                    <w:rPr>
                      <w:rFonts w:hint="eastAsia"/>
                      <w:snapToGrid w:val="0"/>
                      <w:color w:val="auto"/>
                      <w:sz w:val="22"/>
                      <w:szCs w:val="22"/>
                      <w:highlight w:val="none"/>
                    </w:rPr>
                    <w:t>油料库</w:t>
                  </w:r>
                  <w:r>
                    <w:rPr>
                      <w:rFonts w:hint="eastAsia"/>
                      <w:snapToGrid w:val="0"/>
                      <w:color w:val="auto"/>
                      <w:sz w:val="22"/>
                      <w:szCs w:val="22"/>
                      <w:highlight w:val="none"/>
                      <w:lang w:eastAsia="zh-CN"/>
                    </w:rPr>
                    <w:t>、设备在线</w:t>
                  </w:r>
                </w:p>
              </w:tc>
              <w:tc>
                <w:tcPr>
                  <w:tcW w:w="715" w:type="dxa"/>
                  <w:vAlign w:val="center"/>
                </w:tcPr>
                <w:p w14:paraId="2B147173">
                  <w:pPr>
                    <w:snapToGrid w:val="0"/>
                    <w:jc w:val="center"/>
                    <w:rPr>
                      <w:snapToGrid w:val="0"/>
                      <w:color w:val="auto"/>
                      <w:sz w:val="22"/>
                      <w:szCs w:val="22"/>
                      <w:highlight w:val="none"/>
                    </w:rPr>
                  </w:pPr>
                  <w:r>
                    <w:rPr>
                      <w:rFonts w:hint="eastAsia"/>
                      <w:snapToGrid w:val="0"/>
                      <w:color w:val="auto"/>
                      <w:sz w:val="22"/>
                      <w:szCs w:val="22"/>
                      <w:highlight w:val="none"/>
                    </w:rPr>
                    <w:t>液体</w:t>
                  </w:r>
                </w:p>
              </w:tc>
              <w:tc>
                <w:tcPr>
                  <w:tcW w:w="711" w:type="dxa"/>
                  <w:vAlign w:val="center"/>
                </w:tcPr>
                <w:p w14:paraId="14643157">
                  <w:pPr>
                    <w:snapToGrid w:val="0"/>
                    <w:jc w:val="center"/>
                    <w:rPr>
                      <w:snapToGrid w:val="0"/>
                      <w:color w:val="auto"/>
                      <w:sz w:val="22"/>
                      <w:szCs w:val="22"/>
                      <w:highlight w:val="none"/>
                    </w:rPr>
                  </w:pPr>
                  <w:r>
                    <w:rPr>
                      <w:rFonts w:hint="eastAsia"/>
                      <w:snapToGrid w:val="0"/>
                      <w:color w:val="auto"/>
                      <w:sz w:val="22"/>
                      <w:szCs w:val="22"/>
                      <w:highlight w:val="none"/>
                    </w:rPr>
                    <w:t>/</w:t>
                  </w:r>
                </w:p>
              </w:tc>
              <w:tc>
                <w:tcPr>
                  <w:tcW w:w="1148" w:type="dxa"/>
                  <w:vAlign w:val="center"/>
                </w:tcPr>
                <w:p w14:paraId="406B84EC">
                  <w:pPr>
                    <w:snapToGrid w:val="0"/>
                    <w:jc w:val="center"/>
                    <w:rPr>
                      <w:snapToGrid w:val="0"/>
                      <w:color w:val="auto"/>
                      <w:sz w:val="22"/>
                      <w:szCs w:val="22"/>
                      <w:highlight w:val="none"/>
                    </w:rPr>
                  </w:pPr>
                  <w:r>
                    <w:rPr>
                      <w:rFonts w:hint="eastAsia"/>
                      <w:snapToGrid w:val="0"/>
                      <w:color w:val="auto"/>
                      <w:sz w:val="22"/>
                      <w:szCs w:val="22"/>
                      <w:highlight w:val="none"/>
                    </w:rPr>
                    <w:t>易燃性、火灾、毒性</w:t>
                  </w:r>
                </w:p>
              </w:tc>
              <w:tc>
                <w:tcPr>
                  <w:tcW w:w="596" w:type="dxa"/>
                  <w:vAlign w:val="center"/>
                </w:tcPr>
                <w:p w14:paraId="3DD97B7A">
                  <w:pPr>
                    <w:snapToGrid w:val="0"/>
                    <w:jc w:val="center"/>
                    <w:rPr>
                      <w:snapToGrid w:val="0"/>
                      <w:color w:val="auto"/>
                      <w:sz w:val="22"/>
                      <w:szCs w:val="22"/>
                      <w:highlight w:val="none"/>
                    </w:rPr>
                  </w:pPr>
                  <w:r>
                    <w:rPr>
                      <w:rFonts w:hint="eastAsia"/>
                      <w:snapToGrid w:val="0"/>
                      <w:color w:val="auto"/>
                      <w:sz w:val="22"/>
                      <w:szCs w:val="22"/>
                      <w:highlight w:val="none"/>
                    </w:rPr>
                    <w:t>2500t</w:t>
                  </w:r>
                </w:p>
              </w:tc>
              <w:tc>
                <w:tcPr>
                  <w:tcW w:w="597" w:type="dxa"/>
                  <w:vAlign w:val="center"/>
                </w:tcPr>
                <w:p w14:paraId="55138A4C">
                  <w:pPr>
                    <w:snapToGrid w:val="0"/>
                    <w:jc w:val="center"/>
                    <w:rPr>
                      <w:rFonts w:hint="eastAsia" w:eastAsia="宋体"/>
                      <w:snapToGrid w:val="0"/>
                      <w:color w:val="auto"/>
                      <w:sz w:val="22"/>
                      <w:szCs w:val="22"/>
                      <w:highlight w:val="none"/>
                      <w:lang w:val="en-US" w:eastAsia="zh-CN"/>
                    </w:rPr>
                  </w:pPr>
                  <w:r>
                    <w:rPr>
                      <w:rFonts w:hint="eastAsia"/>
                      <w:snapToGrid w:val="0"/>
                      <w:color w:val="auto"/>
                      <w:sz w:val="22"/>
                      <w:szCs w:val="22"/>
                      <w:highlight w:val="none"/>
                    </w:rPr>
                    <w:t>0.00</w:t>
                  </w:r>
                  <w:r>
                    <w:rPr>
                      <w:rFonts w:hint="eastAsia"/>
                      <w:snapToGrid w:val="0"/>
                      <w:color w:val="auto"/>
                      <w:sz w:val="22"/>
                      <w:szCs w:val="22"/>
                      <w:highlight w:val="none"/>
                      <w:lang w:val="en-US" w:eastAsia="zh-CN"/>
                    </w:rPr>
                    <w:t>7</w:t>
                  </w:r>
                </w:p>
              </w:tc>
            </w:tr>
            <w:tr w14:paraId="6D97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5" w:type="dxa"/>
                  <w:vMerge w:val="continue"/>
                  <w:vAlign w:val="center"/>
                </w:tcPr>
                <w:p w14:paraId="44A2FA88">
                  <w:pPr>
                    <w:snapToGrid w:val="0"/>
                    <w:jc w:val="center"/>
                    <w:rPr>
                      <w:snapToGrid w:val="0"/>
                      <w:color w:val="auto"/>
                      <w:sz w:val="22"/>
                      <w:szCs w:val="22"/>
                      <w:highlight w:val="none"/>
                    </w:rPr>
                  </w:pPr>
                </w:p>
              </w:tc>
              <w:tc>
                <w:tcPr>
                  <w:tcW w:w="930" w:type="dxa"/>
                  <w:vAlign w:val="center"/>
                </w:tcPr>
                <w:p w14:paraId="3DC1F0F8">
                  <w:pPr>
                    <w:snapToGrid w:val="0"/>
                    <w:jc w:val="center"/>
                    <w:rPr>
                      <w:color w:val="auto"/>
                      <w:sz w:val="22"/>
                      <w:szCs w:val="22"/>
                      <w:highlight w:val="none"/>
                    </w:rPr>
                  </w:pPr>
                  <w:r>
                    <w:rPr>
                      <w:rFonts w:hint="eastAsia"/>
                      <w:color w:val="auto"/>
                      <w:sz w:val="22"/>
                      <w:szCs w:val="22"/>
                      <w:highlight w:val="none"/>
                    </w:rPr>
                    <w:t>危险废物</w:t>
                  </w:r>
                </w:p>
              </w:tc>
              <w:tc>
                <w:tcPr>
                  <w:tcW w:w="991" w:type="dxa"/>
                  <w:vAlign w:val="center"/>
                </w:tcPr>
                <w:p w14:paraId="7FD05893">
                  <w:pPr>
                    <w:snapToGrid w:val="0"/>
                    <w:jc w:val="center"/>
                    <w:rPr>
                      <w:snapToGrid w:val="0"/>
                      <w:color w:val="auto"/>
                      <w:sz w:val="22"/>
                      <w:szCs w:val="22"/>
                      <w:highlight w:val="none"/>
                    </w:rPr>
                  </w:pPr>
                  <w:r>
                    <w:rPr>
                      <w:rFonts w:hint="eastAsia"/>
                      <w:snapToGrid w:val="0"/>
                      <w:color w:val="auto"/>
                      <w:sz w:val="22"/>
                      <w:szCs w:val="22"/>
                      <w:highlight w:val="none"/>
                    </w:rPr>
                    <w:t>3t</w:t>
                  </w:r>
                </w:p>
              </w:tc>
              <w:tc>
                <w:tcPr>
                  <w:tcW w:w="1137" w:type="dxa"/>
                  <w:vAlign w:val="center"/>
                </w:tcPr>
                <w:p w14:paraId="0335A65B">
                  <w:pPr>
                    <w:snapToGrid w:val="0"/>
                    <w:jc w:val="center"/>
                    <w:rPr>
                      <w:color w:val="auto"/>
                      <w:sz w:val="22"/>
                      <w:szCs w:val="22"/>
                      <w:highlight w:val="none"/>
                    </w:rPr>
                  </w:pPr>
                  <w:r>
                    <w:rPr>
                      <w:rFonts w:hint="eastAsia"/>
                      <w:color w:val="auto"/>
                      <w:sz w:val="22"/>
                      <w:szCs w:val="22"/>
                      <w:highlight w:val="none"/>
                    </w:rPr>
                    <w:t>危险废物贮存点</w:t>
                  </w:r>
                </w:p>
              </w:tc>
              <w:tc>
                <w:tcPr>
                  <w:tcW w:w="715" w:type="dxa"/>
                  <w:vAlign w:val="center"/>
                </w:tcPr>
                <w:p w14:paraId="4E99353D">
                  <w:pPr>
                    <w:snapToGrid w:val="0"/>
                    <w:jc w:val="center"/>
                    <w:rPr>
                      <w:snapToGrid w:val="0"/>
                      <w:color w:val="auto"/>
                      <w:sz w:val="22"/>
                      <w:szCs w:val="22"/>
                      <w:highlight w:val="none"/>
                    </w:rPr>
                  </w:pPr>
                  <w:r>
                    <w:rPr>
                      <w:rFonts w:hint="eastAsia"/>
                      <w:snapToGrid w:val="0"/>
                      <w:color w:val="auto"/>
                      <w:sz w:val="22"/>
                      <w:szCs w:val="22"/>
                      <w:highlight w:val="none"/>
                    </w:rPr>
                    <w:t>液体、固体</w:t>
                  </w:r>
                </w:p>
              </w:tc>
              <w:tc>
                <w:tcPr>
                  <w:tcW w:w="711" w:type="dxa"/>
                  <w:vAlign w:val="center"/>
                </w:tcPr>
                <w:p w14:paraId="6A9AB121">
                  <w:pPr>
                    <w:snapToGrid w:val="0"/>
                    <w:jc w:val="center"/>
                    <w:rPr>
                      <w:snapToGrid w:val="0"/>
                      <w:color w:val="auto"/>
                      <w:sz w:val="22"/>
                      <w:szCs w:val="22"/>
                      <w:highlight w:val="none"/>
                    </w:rPr>
                  </w:pPr>
                  <w:r>
                    <w:rPr>
                      <w:rFonts w:hint="eastAsia"/>
                      <w:snapToGrid w:val="0"/>
                      <w:color w:val="auto"/>
                      <w:sz w:val="22"/>
                      <w:szCs w:val="22"/>
                      <w:highlight w:val="none"/>
                    </w:rPr>
                    <w:t>/</w:t>
                  </w:r>
                </w:p>
              </w:tc>
              <w:tc>
                <w:tcPr>
                  <w:tcW w:w="1148" w:type="dxa"/>
                  <w:vAlign w:val="center"/>
                </w:tcPr>
                <w:p w14:paraId="7EBEB434">
                  <w:pPr>
                    <w:snapToGrid w:val="0"/>
                    <w:jc w:val="center"/>
                    <w:rPr>
                      <w:snapToGrid w:val="0"/>
                      <w:color w:val="auto"/>
                      <w:sz w:val="22"/>
                      <w:szCs w:val="22"/>
                      <w:highlight w:val="none"/>
                    </w:rPr>
                  </w:pPr>
                  <w:r>
                    <w:rPr>
                      <w:rFonts w:hint="eastAsia"/>
                      <w:snapToGrid w:val="0"/>
                      <w:color w:val="auto"/>
                      <w:sz w:val="22"/>
                      <w:szCs w:val="22"/>
                      <w:highlight w:val="none"/>
                    </w:rPr>
                    <w:t>毒性、易燃性</w:t>
                  </w:r>
                </w:p>
              </w:tc>
              <w:tc>
                <w:tcPr>
                  <w:tcW w:w="596" w:type="dxa"/>
                  <w:vAlign w:val="center"/>
                </w:tcPr>
                <w:p w14:paraId="3331F99C">
                  <w:pPr>
                    <w:snapToGrid w:val="0"/>
                    <w:jc w:val="center"/>
                    <w:rPr>
                      <w:snapToGrid w:val="0"/>
                      <w:color w:val="auto"/>
                      <w:sz w:val="22"/>
                      <w:szCs w:val="22"/>
                      <w:highlight w:val="none"/>
                    </w:rPr>
                  </w:pPr>
                  <w:r>
                    <w:rPr>
                      <w:rFonts w:hint="eastAsia"/>
                      <w:snapToGrid w:val="0"/>
                      <w:color w:val="auto"/>
                      <w:sz w:val="22"/>
                      <w:szCs w:val="22"/>
                      <w:highlight w:val="none"/>
                    </w:rPr>
                    <w:t>50t</w:t>
                  </w:r>
                </w:p>
              </w:tc>
              <w:tc>
                <w:tcPr>
                  <w:tcW w:w="597" w:type="dxa"/>
                  <w:vAlign w:val="center"/>
                </w:tcPr>
                <w:p w14:paraId="5C02AEF7">
                  <w:pPr>
                    <w:snapToGrid w:val="0"/>
                    <w:jc w:val="center"/>
                    <w:rPr>
                      <w:snapToGrid w:val="0"/>
                      <w:color w:val="auto"/>
                      <w:sz w:val="22"/>
                      <w:szCs w:val="22"/>
                      <w:highlight w:val="none"/>
                    </w:rPr>
                  </w:pPr>
                  <w:r>
                    <w:rPr>
                      <w:rFonts w:hint="eastAsia"/>
                      <w:snapToGrid w:val="0"/>
                      <w:color w:val="auto"/>
                      <w:sz w:val="22"/>
                      <w:szCs w:val="22"/>
                      <w:highlight w:val="none"/>
                    </w:rPr>
                    <w:t>0.06</w:t>
                  </w:r>
                </w:p>
              </w:tc>
            </w:tr>
            <w:tr w14:paraId="3761C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5" w:type="dxa"/>
                  <w:vMerge w:val="continue"/>
                  <w:vAlign w:val="center"/>
                </w:tcPr>
                <w:p w14:paraId="3594EEC0">
                  <w:pPr>
                    <w:snapToGrid w:val="0"/>
                    <w:jc w:val="center"/>
                    <w:rPr>
                      <w:snapToGrid w:val="0"/>
                      <w:color w:val="auto"/>
                      <w:sz w:val="22"/>
                      <w:szCs w:val="22"/>
                      <w:highlight w:val="none"/>
                    </w:rPr>
                  </w:pPr>
                </w:p>
              </w:tc>
              <w:tc>
                <w:tcPr>
                  <w:tcW w:w="930" w:type="dxa"/>
                  <w:vAlign w:val="center"/>
                </w:tcPr>
                <w:p w14:paraId="18AE7509">
                  <w:pPr>
                    <w:snapToGrid w:val="0"/>
                    <w:jc w:val="center"/>
                    <w:rPr>
                      <w:color w:val="auto"/>
                      <w:sz w:val="22"/>
                      <w:szCs w:val="22"/>
                      <w:highlight w:val="none"/>
                    </w:rPr>
                  </w:pPr>
                  <w:r>
                    <w:rPr>
                      <w:rFonts w:hint="eastAsia"/>
                      <w:color w:val="auto"/>
                      <w:sz w:val="22"/>
                      <w:szCs w:val="22"/>
                      <w:highlight w:val="none"/>
                    </w:rPr>
                    <w:t>乙炔</w:t>
                  </w:r>
                </w:p>
              </w:tc>
              <w:tc>
                <w:tcPr>
                  <w:tcW w:w="991" w:type="dxa"/>
                  <w:vAlign w:val="center"/>
                </w:tcPr>
                <w:p w14:paraId="706982FE">
                  <w:pPr>
                    <w:snapToGrid w:val="0"/>
                    <w:jc w:val="center"/>
                    <w:rPr>
                      <w:snapToGrid w:val="0"/>
                      <w:color w:val="auto"/>
                      <w:sz w:val="22"/>
                      <w:szCs w:val="22"/>
                      <w:highlight w:val="none"/>
                    </w:rPr>
                  </w:pPr>
                  <w:r>
                    <w:rPr>
                      <w:rFonts w:hint="eastAsia"/>
                      <w:snapToGrid w:val="0"/>
                      <w:color w:val="auto"/>
                      <w:sz w:val="22"/>
                      <w:szCs w:val="22"/>
                      <w:highlight w:val="none"/>
                    </w:rPr>
                    <w:t>0.04t</w:t>
                  </w:r>
                </w:p>
              </w:tc>
              <w:tc>
                <w:tcPr>
                  <w:tcW w:w="1137" w:type="dxa"/>
                  <w:vAlign w:val="center"/>
                </w:tcPr>
                <w:p w14:paraId="0CED72B0">
                  <w:pPr>
                    <w:snapToGrid w:val="0"/>
                    <w:jc w:val="center"/>
                    <w:rPr>
                      <w:snapToGrid w:val="0"/>
                      <w:color w:val="auto"/>
                      <w:sz w:val="22"/>
                      <w:szCs w:val="22"/>
                      <w:highlight w:val="none"/>
                    </w:rPr>
                  </w:pPr>
                  <w:r>
                    <w:rPr>
                      <w:rFonts w:hint="eastAsia"/>
                      <w:snapToGrid w:val="0"/>
                      <w:color w:val="auto"/>
                      <w:sz w:val="22"/>
                      <w:szCs w:val="22"/>
                      <w:highlight w:val="none"/>
                    </w:rPr>
                    <w:t>气库</w:t>
                  </w:r>
                </w:p>
              </w:tc>
              <w:tc>
                <w:tcPr>
                  <w:tcW w:w="715" w:type="dxa"/>
                  <w:vAlign w:val="center"/>
                </w:tcPr>
                <w:p w14:paraId="72C16DAC">
                  <w:pPr>
                    <w:snapToGrid w:val="0"/>
                    <w:jc w:val="center"/>
                    <w:rPr>
                      <w:snapToGrid w:val="0"/>
                      <w:color w:val="auto"/>
                      <w:sz w:val="22"/>
                      <w:szCs w:val="22"/>
                      <w:highlight w:val="none"/>
                    </w:rPr>
                  </w:pPr>
                  <w:r>
                    <w:rPr>
                      <w:rFonts w:hint="eastAsia"/>
                      <w:snapToGrid w:val="0"/>
                      <w:color w:val="auto"/>
                      <w:sz w:val="22"/>
                      <w:szCs w:val="22"/>
                      <w:highlight w:val="none"/>
                    </w:rPr>
                    <w:t>气液共存</w:t>
                  </w:r>
                </w:p>
              </w:tc>
              <w:tc>
                <w:tcPr>
                  <w:tcW w:w="711" w:type="dxa"/>
                  <w:vAlign w:val="center"/>
                </w:tcPr>
                <w:p w14:paraId="5E3DF89C">
                  <w:pPr>
                    <w:snapToGrid w:val="0"/>
                    <w:jc w:val="center"/>
                    <w:rPr>
                      <w:snapToGrid w:val="0"/>
                      <w:color w:val="auto"/>
                      <w:sz w:val="22"/>
                      <w:szCs w:val="22"/>
                      <w:highlight w:val="none"/>
                    </w:rPr>
                  </w:pPr>
                  <w:r>
                    <w:rPr>
                      <w:rFonts w:hint="eastAsia"/>
                      <w:snapToGrid w:val="0"/>
                      <w:color w:val="auto"/>
                      <w:sz w:val="22"/>
                      <w:szCs w:val="22"/>
                      <w:highlight w:val="none"/>
                    </w:rPr>
                    <w:t xml:space="preserve">74-86-2 </w:t>
                  </w:r>
                </w:p>
              </w:tc>
              <w:tc>
                <w:tcPr>
                  <w:tcW w:w="1148" w:type="dxa"/>
                  <w:vAlign w:val="center"/>
                </w:tcPr>
                <w:p w14:paraId="0966E2EA">
                  <w:pPr>
                    <w:snapToGrid w:val="0"/>
                    <w:jc w:val="center"/>
                    <w:rPr>
                      <w:snapToGrid w:val="0"/>
                      <w:color w:val="auto"/>
                      <w:sz w:val="22"/>
                      <w:szCs w:val="22"/>
                      <w:highlight w:val="none"/>
                    </w:rPr>
                  </w:pPr>
                  <w:r>
                    <w:rPr>
                      <w:rFonts w:hint="eastAsia"/>
                      <w:snapToGrid w:val="0"/>
                      <w:color w:val="auto"/>
                      <w:sz w:val="22"/>
                      <w:szCs w:val="22"/>
                      <w:highlight w:val="none"/>
                    </w:rPr>
                    <w:t>易燃性、火灾</w:t>
                  </w:r>
                </w:p>
              </w:tc>
              <w:tc>
                <w:tcPr>
                  <w:tcW w:w="596" w:type="dxa"/>
                  <w:vAlign w:val="center"/>
                </w:tcPr>
                <w:p w14:paraId="59488184">
                  <w:pPr>
                    <w:snapToGrid w:val="0"/>
                    <w:jc w:val="center"/>
                    <w:rPr>
                      <w:snapToGrid w:val="0"/>
                      <w:color w:val="auto"/>
                      <w:sz w:val="22"/>
                      <w:szCs w:val="22"/>
                      <w:highlight w:val="none"/>
                    </w:rPr>
                  </w:pPr>
                  <w:r>
                    <w:rPr>
                      <w:rFonts w:hint="eastAsia"/>
                      <w:snapToGrid w:val="0"/>
                      <w:color w:val="auto"/>
                      <w:sz w:val="22"/>
                      <w:szCs w:val="22"/>
                      <w:highlight w:val="none"/>
                    </w:rPr>
                    <w:t>10t</w:t>
                  </w:r>
                </w:p>
              </w:tc>
              <w:tc>
                <w:tcPr>
                  <w:tcW w:w="597" w:type="dxa"/>
                  <w:vAlign w:val="center"/>
                </w:tcPr>
                <w:p w14:paraId="4DB17184">
                  <w:pPr>
                    <w:snapToGrid w:val="0"/>
                    <w:jc w:val="center"/>
                    <w:rPr>
                      <w:snapToGrid w:val="0"/>
                      <w:color w:val="auto"/>
                      <w:sz w:val="22"/>
                      <w:szCs w:val="22"/>
                      <w:highlight w:val="none"/>
                    </w:rPr>
                  </w:pPr>
                  <w:r>
                    <w:rPr>
                      <w:rFonts w:hint="eastAsia"/>
                      <w:snapToGrid w:val="0"/>
                      <w:color w:val="auto"/>
                      <w:sz w:val="22"/>
                      <w:szCs w:val="22"/>
                      <w:highlight w:val="none"/>
                    </w:rPr>
                    <w:t>0.004</w:t>
                  </w:r>
                </w:p>
              </w:tc>
            </w:tr>
            <w:tr w14:paraId="0F54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5" w:type="dxa"/>
                  <w:vAlign w:val="center"/>
                </w:tcPr>
                <w:p w14:paraId="592184D8">
                  <w:pPr>
                    <w:snapToGrid w:val="0"/>
                    <w:jc w:val="center"/>
                    <w:rPr>
                      <w:snapToGrid w:val="0"/>
                      <w:color w:val="auto"/>
                      <w:sz w:val="22"/>
                      <w:szCs w:val="22"/>
                      <w:highlight w:val="none"/>
                    </w:rPr>
                  </w:pPr>
                  <w:r>
                    <w:rPr>
                      <w:snapToGrid w:val="0"/>
                      <w:color w:val="auto"/>
                      <w:sz w:val="22"/>
                      <w:szCs w:val="22"/>
                      <w:highlight w:val="none"/>
                    </w:rPr>
                    <w:t>生产工艺特点</w:t>
                  </w:r>
                </w:p>
              </w:tc>
              <w:tc>
                <w:tcPr>
                  <w:tcW w:w="6825" w:type="dxa"/>
                  <w:gridSpan w:val="8"/>
                  <w:vAlign w:val="center"/>
                </w:tcPr>
                <w:p w14:paraId="7B360C91">
                  <w:pPr>
                    <w:widowControl/>
                    <w:snapToGrid w:val="0"/>
                    <w:jc w:val="center"/>
                    <w:rPr>
                      <w:snapToGrid w:val="0"/>
                      <w:color w:val="auto"/>
                      <w:sz w:val="22"/>
                      <w:szCs w:val="22"/>
                      <w:highlight w:val="none"/>
                    </w:rPr>
                  </w:pPr>
                  <w:r>
                    <w:rPr>
                      <w:snapToGrid w:val="0"/>
                      <w:color w:val="auto"/>
                      <w:sz w:val="22"/>
                      <w:szCs w:val="22"/>
                      <w:highlight w:val="none"/>
                    </w:rPr>
                    <w:t>本项目属于风险导则中的其他行业。</w:t>
                  </w:r>
                </w:p>
              </w:tc>
            </w:tr>
          </w:tbl>
          <w:p w14:paraId="542B5375">
            <w:pPr>
              <w:adjustRightInd w:val="0"/>
              <w:snapToGrid w:val="0"/>
              <w:ind w:firstLine="480" w:firstLineChars="200"/>
              <w:jc w:val="center"/>
              <w:rPr>
                <w:bCs/>
                <w:color w:val="auto"/>
                <w:sz w:val="24"/>
                <w:szCs w:val="26"/>
                <w:highlight w:val="none"/>
              </w:rPr>
            </w:pPr>
          </w:p>
          <w:p w14:paraId="0D1E0C1C">
            <w:pPr>
              <w:adjustRightInd w:val="0"/>
              <w:snapToGrid w:val="0"/>
              <w:ind w:firstLine="480" w:firstLineChars="200"/>
              <w:jc w:val="center"/>
              <w:rPr>
                <w:bCs/>
                <w:color w:val="auto"/>
                <w:sz w:val="24"/>
                <w:szCs w:val="26"/>
                <w:highlight w:val="none"/>
              </w:rPr>
            </w:pPr>
            <w:r>
              <w:rPr>
                <w:bCs/>
                <w:color w:val="auto"/>
                <w:sz w:val="24"/>
                <w:szCs w:val="26"/>
                <w:highlight w:val="none"/>
              </w:rPr>
              <w:t>表</w:t>
            </w:r>
            <w:r>
              <w:rPr>
                <w:rFonts w:hint="eastAsia"/>
                <w:bCs/>
                <w:color w:val="auto"/>
                <w:sz w:val="24"/>
                <w:szCs w:val="26"/>
                <w:highlight w:val="none"/>
              </w:rPr>
              <w:t xml:space="preserve">4.2-23 </w:t>
            </w:r>
            <w:r>
              <w:rPr>
                <w:bCs/>
                <w:color w:val="auto"/>
                <w:sz w:val="24"/>
                <w:szCs w:val="26"/>
                <w:highlight w:val="none"/>
              </w:rPr>
              <w:t xml:space="preserve"> </w:t>
            </w:r>
            <w:r>
              <w:rPr>
                <w:rFonts w:hint="eastAsia"/>
                <w:bCs/>
                <w:color w:val="auto"/>
                <w:sz w:val="24"/>
                <w:szCs w:val="26"/>
                <w:highlight w:val="none"/>
              </w:rPr>
              <w:t>风险</w:t>
            </w:r>
            <w:r>
              <w:rPr>
                <w:bCs/>
                <w:color w:val="auto"/>
                <w:sz w:val="24"/>
                <w:szCs w:val="26"/>
                <w:highlight w:val="none"/>
              </w:rPr>
              <w:t>单元</w:t>
            </w:r>
            <w:r>
              <w:rPr>
                <w:rFonts w:hint="eastAsia"/>
                <w:bCs/>
                <w:color w:val="auto"/>
                <w:sz w:val="24"/>
                <w:szCs w:val="26"/>
                <w:highlight w:val="none"/>
              </w:rPr>
              <w:t>分布</w:t>
            </w:r>
          </w:p>
          <w:tbl>
            <w:tblPr>
              <w:tblStyle w:val="16"/>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3"/>
              <w:gridCol w:w="2593"/>
              <w:gridCol w:w="2392"/>
            </w:tblGrid>
            <w:tr w14:paraId="3039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07" w:type="dxa"/>
                  <w:vAlign w:val="center"/>
                </w:tcPr>
                <w:p w14:paraId="32777346">
                  <w:pPr>
                    <w:adjustRightInd w:val="0"/>
                    <w:snapToGrid w:val="0"/>
                    <w:jc w:val="center"/>
                    <w:rPr>
                      <w:color w:val="auto"/>
                      <w:sz w:val="22"/>
                      <w:szCs w:val="22"/>
                      <w:highlight w:val="none"/>
                    </w:rPr>
                  </w:pPr>
                  <w:r>
                    <w:rPr>
                      <w:color w:val="auto"/>
                      <w:sz w:val="22"/>
                      <w:szCs w:val="22"/>
                      <w:highlight w:val="none"/>
                    </w:rPr>
                    <w:t>单元名称</w:t>
                  </w:r>
                </w:p>
              </w:tc>
              <w:tc>
                <w:tcPr>
                  <w:tcW w:w="2777" w:type="dxa"/>
                  <w:vAlign w:val="center"/>
                </w:tcPr>
                <w:p w14:paraId="7D9ACF33">
                  <w:pPr>
                    <w:adjustRightInd w:val="0"/>
                    <w:snapToGrid w:val="0"/>
                    <w:jc w:val="center"/>
                    <w:rPr>
                      <w:color w:val="auto"/>
                      <w:sz w:val="22"/>
                      <w:szCs w:val="22"/>
                      <w:highlight w:val="none"/>
                    </w:rPr>
                  </w:pPr>
                  <w:r>
                    <w:rPr>
                      <w:color w:val="auto"/>
                      <w:sz w:val="22"/>
                      <w:szCs w:val="22"/>
                      <w:highlight w:val="none"/>
                    </w:rPr>
                    <w:t>单元功能</w:t>
                  </w:r>
                </w:p>
              </w:tc>
              <w:tc>
                <w:tcPr>
                  <w:tcW w:w="2560" w:type="dxa"/>
                  <w:vAlign w:val="center"/>
                </w:tcPr>
                <w:p w14:paraId="2DF378B9">
                  <w:pPr>
                    <w:adjustRightInd w:val="0"/>
                    <w:snapToGrid w:val="0"/>
                    <w:jc w:val="center"/>
                    <w:rPr>
                      <w:color w:val="auto"/>
                      <w:sz w:val="22"/>
                      <w:szCs w:val="22"/>
                      <w:highlight w:val="none"/>
                    </w:rPr>
                  </w:pPr>
                  <w:r>
                    <w:rPr>
                      <w:color w:val="auto"/>
                      <w:sz w:val="22"/>
                      <w:szCs w:val="22"/>
                      <w:highlight w:val="none"/>
                    </w:rPr>
                    <w:t>主要危险物质</w:t>
                  </w:r>
                </w:p>
              </w:tc>
            </w:tr>
            <w:tr w14:paraId="380D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07" w:type="dxa"/>
                  <w:vAlign w:val="center"/>
                </w:tcPr>
                <w:p w14:paraId="14863DAD">
                  <w:pPr>
                    <w:adjustRightInd w:val="0"/>
                    <w:snapToGrid w:val="0"/>
                    <w:jc w:val="center"/>
                    <w:rPr>
                      <w:color w:val="auto"/>
                      <w:sz w:val="22"/>
                      <w:szCs w:val="22"/>
                      <w:highlight w:val="none"/>
                    </w:rPr>
                  </w:pPr>
                  <w:r>
                    <w:rPr>
                      <w:rFonts w:hint="eastAsia"/>
                      <w:color w:val="auto"/>
                      <w:sz w:val="22"/>
                      <w:szCs w:val="22"/>
                      <w:highlight w:val="none"/>
                    </w:rPr>
                    <w:t>油料库</w:t>
                  </w:r>
                </w:p>
              </w:tc>
              <w:tc>
                <w:tcPr>
                  <w:tcW w:w="2777" w:type="dxa"/>
                  <w:vAlign w:val="center"/>
                </w:tcPr>
                <w:p w14:paraId="03486846">
                  <w:pPr>
                    <w:adjustRightInd w:val="0"/>
                    <w:snapToGrid w:val="0"/>
                    <w:jc w:val="center"/>
                    <w:rPr>
                      <w:color w:val="auto"/>
                      <w:sz w:val="22"/>
                      <w:szCs w:val="22"/>
                      <w:highlight w:val="none"/>
                    </w:rPr>
                  </w:pPr>
                  <w:r>
                    <w:rPr>
                      <w:rFonts w:hint="eastAsia"/>
                      <w:color w:val="auto"/>
                      <w:sz w:val="22"/>
                      <w:szCs w:val="22"/>
                      <w:highlight w:val="none"/>
                    </w:rPr>
                    <w:t>设备保养</w:t>
                  </w:r>
                </w:p>
              </w:tc>
              <w:tc>
                <w:tcPr>
                  <w:tcW w:w="2560" w:type="dxa"/>
                  <w:vAlign w:val="center"/>
                </w:tcPr>
                <w:p w14:paraId="458C723D">
                  <w:pPr>
                    <w:adjustRightInd w:val="0"/>
                    <w:snapToGrid w:val="0"/>
                    <w:jc w:val="center"/>
                    <w:rPr>
                      <w:color w:val="auto"/>
                      <w:sz w:val="22"/>
                      <w:szCs w:val="22"/>
                      <w:highlight w:val="none"/>
                    </w:rPr>
                  </w:pPr>
                  <w:r>
                    <w:rPr>
                      <w:rFonts w:hint="eastAsia"/>
                      <w:color w:val="auto"/>
                      <w:sz w:val="22"/>
                      <w:szCs w:val="22"/>
                      <w:highlight w:val="none"/>
                    </w:rPr>
                    <w:t>润滑油、液压油</w:t>
                  </w:r>
                </w:p>
              </w:tc>
            </w:tr>
            <w:tr w14:paraId="36C88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07" w:type="dxa"/>
                  <w:vAlign w:val="center"/>
                </w:tcPr>
                <w:p w14:paraId="67C7CEEC">
                  <w:pPr>
                    <w:adjustRightInd w:val="0"/>
                    <w:snapToGrid w:val="0"/>
                    <w:jc w:val="center"/>
                    <w:rPr>
                      <w:color w:val="auto"/>
                      <w:sz w:val="22"/>
                      <w:szCs w:val="22"/>
                      <w:highlight w:val="none"/>
                    </w:rPr>
                  </w:pPr>
                  <w:r>
                    <w:rPr>
                      <w:rFonts w:hint="eastAsia"/>
                      <w:color w:val="auto"/>
                      <w:sz w:val="22"/>
                      <w:szCs w:val="22"/>
                      <w:highlight w:val="none"/>
                    </w:rPr>
                    <w:t>危险废物贮存点</w:t>
                  </w:r>
                </w:p>
              </w:tc>
              <w:tc>
                <w:tcPr>
                  <w:tcW w:w="2777" w:type="dxa"/>
                  <w:vAlign w:val="center"/>
                </w:tcPr>
                <w:p w14:paraId="64D9A09D">
                  <w:pPr>
                    <w:adjustRightInd w:val="0"/>
                    <w:snapToGrid w:val="0"/>
                    <w:jc w:val="center"/>
                    <w:rPr>
                      <w:color w:val="auto"/>
                      <w:sz w:val="22"/>
                      <w:szCs w:val="22"/>
                      <w:highlight w:val="none"/>
                    </w:rPr>
                  </w:pPr>
                  <w:r>
                    <w:rPr>
                      <w:rFonts w:hint="eastAsia"/>
                      <w:color w:val="auto"/>
                      <w:sz w:val="22"/>
                      <w:szCs w:val="22"/>
                      <w:highlight w:val="none"/>
                    </w:rPr>
                    <w:t>固废处置单元</w:t>
                  </w:r>
                </w:p>
              </w:tc>
              <w:tc>
                <w:tcPr>
                  <w:tcW w:w="2560" w:type="dxa"/>
                  <w:vAlign w:val="center"/>
                </w:tcPr>
                <w:p w14:paraId="162ADF7C">
                  <w:pPr>
                    <w:adjustRightInd w:val="0"/>
                    <w:snapToGrid w:val="0"/>
                    <w:jc w:val="center"/>
                    <w:rPr>
                      <w:color w:val="auto"/>
                      <w:sz w:val="22"/>
                      <w:szCs w:val="22"/>
                      <w:highlight w:val="none"/>
                    </w:rPr>
                  </w:pPr>
                  <w:r>
                    <w:rPr>
                      <w:rFonts w:hint="eastAsia"/>
                      <w:color w:val="auto"/>
                      <w:sz w:val="22"/>
                      <w:szCs w:val="22"/>
                      <w:highlight w:val="none"/>
                    </w:rPr>
                    <w:t>危险废物</w:t>
                  </w:r>
                </w:p>
              </w:tc>
            </w:tr>
            <w:tr w14:paraId="3DAC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907" w:type="dxa"/>
                  <w:vAlign w:val="center"/>
                </w:tcPr>
                <w:p w14:paraId="50F389CC">
                  <w:pPr>
                    <w:adjustRightInd w:val="0"/>
                    <w:snapToGrid w:val="0"/>
                    <w:jc w:val="center"/>
                    <w:rPr>
                      <w:color w:val="auto"/>
                      <w:sz w:val="22"/>
                      <w:szCs w:val="22"/>
                      <w:highlight w:val="none"/>
                    </w:rPr>
                  </w:pPr>
                  <w:r>
                    <w:rPr>
                      <w:rFonts w:hint="eastAsia"/>
                      <w:color w:val="auto"/>
                      <w:sz w:val="22"/>
                      <w:szCs w:val="22"/>
                      <w:highlight w:val="none"/>
                    </w:rPr>
                    <w:t>气库</w:t>
                  </w:r>
                </w:p>
              </w:tc>
              <w:tc>
                <w:tcPr>
                  <w:tcW w:w="2777" w:type="dxa"/>
                  <w:vAlign w:val="center"/>
                </w:tcPr>
                <w:p w14:paraId="7A39A6ED">
                  <w:pPr>
                    <w:adjustRightInd w:val="0"/>
                    <w:snapToGrid w:val="0"/>
                    <w:jc w:val="center"/>
                    <w:rPr>
                      <w:color w:val="auto"/>
                      <w:sz w:val="22"/>
                      <w:szCs w:val="22"/>
                      <w:highlight w:val="none"/>
                    </w:rPr>
                  </w:pPr>
                  <w:r>
                    <w:rPr>
                      <w:rFonts w:hint="eastAsia"/>
                      <w:color w:val="auto"/>
                      <w:sz w:val="22"/>
                      <w:szCs w:val="22"/>
                      <w:highlight w:val="none"/>
                    </w:rPr>
                    <w:t>供气</w:t>
                  </w:r>
                </w:p>
              </w:tc>
              <w:tc>
                <w:tcPr>
                  <w:tcW w:w="2560" w:type="dxa"/>
                  <w:vAlign w:val="center"/>
                </w:tcPr>
                <w:p w14:paraId="0AA610C7">
                  <w:pPr>
                    <w:adjustRightInd w:val="0"/>
                    <w:snapToGrid w:val="0"/>
                    <w:jc w:val="center"/>
                    <w:rPr>
                      <w:color w:val="auto"/>
                      <w:sz w:val="22"/>
                      <w:szCs w:val="22"/>
                      <w:highlight w:val="none"/>
                    </w:rPr>
                  </w:pPr>
                  <w:r>
                    <w:rPr>
                      <w:rFonts w:hint="eastAsia"/>
                      <w:color w:val="auto"/>
                      <w:sz w:val="22"/>
                      <w:szCs w:val="22"/>
                      <w:highlight w:val="none"/>
                    </w:rPr>
                    <w:t>乙炔</w:t>
                  </w:r>
                </w:p>
              </w:tc>
            </w:tr>
          </w:tbl>
          <w:p w14:paraId="6A9F598F">
            <w:pPr>
              <w:adjustRightInd w:val="0"/>
              <w:snapToGrid w:val="0"/>
              <w:ind w:firstLine="520" w:firstLineChars="200"/>
              <w:rPr>
                <w:color w:val="auto"/>
                <w:kern w:val="0"/>
                <w:sz w:val="26"/>
                <w:szCs w:val="26"/>
                <w:highlight w:val="none"/>
              </w:rPr>
            </w:pPr>
            <w:r>
              <w:rPr>
                <w:rFonts w:hint="eastAsia"/>
                <w:color w:val="auto"/>
                <w:kern w:val="0"/>
                <w:sz w:val="26"/>
                <w:szCs w:val="26"/>
                <w:highlight w:val="none"/>
              </w:rPr>
              <w:t xml:space="preserve"> </w:t>
            </w:r>
          </w:p>
          <w:p w14:paraId="43F201C3">
            <w:pPr>
              <w:adjustRightInd w:val="0"/>
              <w:snapToGrid w:val="0"/>
              <w:spacing w:line="480" w:lineRule="exact"/>
              <w:ind w:firstLine="522" w:firstLineChars="200"/>
              <w:rPr>
                <w:b/>
                <w:color w:val="auto"/>
                <w:kern w:val="0"/>
                <w:sz w:val="26"/>
                <w:szCs w:val="26"/>
                <w:highlight w:val="none"/>
              </w:rPr>
            </w:pPr>
            <w:r>
              <w:rPr>
                <w:b/>
                <w:color w:val="auto"/>
                <w:kern w:val="0"/>
                <w:sz w:val="26"/>
                <w:szCs w:val="26"/>
                <w:highlight w:val="none"/>
              </w:rPr>
              <w:t>（2）影响途径</w:t>
            </w:r>
          </w:p>
          <w:p w14:paraId="25603AEC">
            <w:pPr>
              <w:adjustRightInd w:val="0"/>
              <w:snapToGrid w:val="0"/>
              <w:spacing w:line="480" w:lineRule="exact"/>
              <w:ind w:firstLine="520" w:firstLineChars="200"/>
              <w:rPr>
                <w:color w:val="auto"/>
                <w:kern w:val="0"/>
                <w:sz w:val="26"/>
                <w:szCs w:val="26"/>
                <w:highlight w:val="none"/>
              </w:rPr>
            </w:pPr>
            <w:r>
              <w:rPr>
                <w:color w:val="auto"/>
                <w:kern w:val="0"/>
                <w:sz w:val="26"/>
                <w:szCs w:val="26"/>
                <w:highlight w:val="none"/>
              </w:rPr>
              <w:t>本项目危险物质的主要风险为物质</w:t>
            </w:r>
            <w:r>
              <w:rPr>
                <w:rFonts w:hint="eastAsia"/>
                <w:color w:val="auto"/>
                <w:kern w:val="0"/>
                <w:sz w:val="26"/>
                <w:szCs w:val="26"/>
                <w:highlight w:val="none"/>
              </w:rPr>
              <w:t>泄漏</w:t>
            </w:r>
            <w:r>
              <w:rPr>
                <w:color w:val="auto"/>
                <w:kern w:val="0"/>
                <w:sz w:val="26"/>
                <w:szCs w:val="26"/>
                <w:highlight w:val="none"/>
              </w:rPr>
              <w:t>，对地表水、地下水</w:t>
            </w:r>
            <w:r>
              <w:rPr>
                <w:rFonts w:hint="eastAsia"/>
                <w:color w:val="auto"/>
                <w:kern w:val="0"/>
                <w:sz w:val="26"/>
                <w:szCs w:val="26"/>
                <w:highlight w:val="none"/>
              </w:rPr>
              <w:t>、</w:t>
            </w:r>
            <w:r>
              <w:rPr>
                <w:color w:val="auto"/>
                <w:kern w:val="0"/>
                <w:sz w:val="26"/>
                <w:szCs w:val="26"/>
                <w:highlight w:val="none"/>
              </w:rPr>
              <w:t>土壤</w:t>
            </w:r>
            <w:r>
              <w:rPr>
                <w:rFonts w:hint="eastAsia"/>
                <w:color w:val="auto"/>
                <w:kern w:val="0"/>
                <w:sz w:val="26"/>
                <w:szCs w:val="26"/>
                <w:highlight w:val="none"/>
              </w:rPr>
              <w:t>和大气</w:t>
            </w:r>
            <w:r>
              <w:rPr>
                <w:color w:val="auto"/>
                <w:kern w:val="0"/>
                <w:sz w:val="26"/>
                <w:szCs w:val="26"/>
                <w:highlight w:val="none"/>
              </w:rPr>
              <w:t>环境造成污染。</w:t>
            </w:r>
            <w:r>
              <w:rPr>
                <w:rFonts w:hint="eastAsia"/>
                <w:color w:val="auto"/>
                <w:kern w:val="0"/>
                <w:sz w:val="26"/>
                <w:szCs w:val="26"/>
                <w:highlight w:val="none"/>
              </w:rPr>
              <w:t>以及油类物质、乙炔遇明火、高热、撞击时易发生火灾、爆炸事故产生的CO、CO</w:t>
            </w:r>
            <w:r>
              <w:rPr>
                <w:rFonts w:hint="eastAsia"/>
                <w:color w:val="auto"/>
                <w:kern w:val="0"/>
                <w:sz w:val="26"/>
                <w:szCs w:val="26"/>
                <w:highlight w:val="none"/>
                <w:vertAlign w:val="subscript"/>
              </w:rPr>
              <w:t>2</w:t>
            </w:r>
            <w:r>
              <w:rPr>
                <w:rFonts w:hint="eastAsia"/>
                <w:color w:val="auto"/>
                <w:kern w:val="0"/>
                <w:sz w:val="26"/>
                <w:szCs w:val="26"/>
                <w:highlight w:val="none"/>
              </w:rPr>
              <w:t>、NOx等有毒有害物质二次污染。</w:t>
            </w:r>
          </w:p>
          <w:p w14:paraId="0ED737F4">
            <w:pPr>
              <w:adjustRightInd w:val="0"/>
              <w:snapToGrid w:val="0"/>
              <w:spacing w:line="480" w:lineRule="exact"/>
              <w:ind w:firstLine="522" w:firstLineChars="200"/>
              <w:rPr>
                <w:b/>
                <w:color w:val="auto"/>
                <w:kern w:val="0"/>
                <w:sz w:val="26"/>
                <w:szCs w:val="26"/>
                <w:highlight w:val="none"/>
              </w:rPr>
            </w:pPr>
            <w:r>
              <w:rPr>
                <w:b/>
                <w:color w:val="auto"/>
                <w:kern w:val="0"/>
                <w:sz w:val="26"/>
                <w:szCs w:val="26"/>
                <w:highlight w:val="none"/>
              </w:rPr>
              <w:t>（3）环境风险防范措施</w:t>
            </w:r>
          </w:p>
          <w:p w14:paraId="57D0857D">
            <w:pPr>
              <w:adjustRightInd w:val="0"/>
              <w:snapToGrid w:val="0"/>
              <w:spacing w:line="480" w:lineRule="exact"/>
              <w:ind w:firstLine="520" w:firstLineChars="200"/>
              <w:rPr>
                <w:color w:val="auto"/>
                <w:kern w:val="0"/>
                <w:sz w:val="26"/>
                <w:szCs w:val="26"/>
                <w:highlight w:val="none"/>
              </w:rPr>
            </w:pPr>
            <w:r>
              <w:rPr>
                <w:rFonts w:hint="eastAsia" w:ascii="宋体" w:hAnsi="宋体" w:cs="宋体"/>
                <w:color w:val="auto"/>
                <w:kern w:val="0"/>
                <w:sz w:val="26"/>
                <w:szCs w:val="26"/>
                <w:highlight w:val="none"/>
              </w:rPr>
              <w:t>①</w:t>
            </w:r>
            <w:r>
              <w:rPr>
                <w:rFonts w:ascii="宋体" w:hAnsi="宋体" w:cs="宋体"/>
                <w:color w:val="auto"/>
                <w:kern w:val="0"/>
                <w:sz w:val="26"/>
                <w:szCs w:val="26"/>
                <w:highlight w:val="none"/>
              </w:rPr>
              <w:t>加强管理，</w:t>
            </w:r>
            <w:r>
              <w:rPr>
                <w:rFonts w:ascii="宋体" w:hAnsi="宋体" w:cs="宋体"/>
                <w:bCs/>
                <w:color w:val="auto"/>
                <w:kern w:val="0"/>
                <w:sz w:val="26"/>
                <w:szCs w:val="26"/>
                <w:highlight w:val="none"/>
              </w:rPr>
              <w:t>对</w:t>
            </w:r>
            <w:r>
              <w:rPr>
                <w:rFonts w:hint="eastAsia" w:ascii="宋体" w:hAnsi="宋体" w:cs="宋体"/>
                <w:bCs/>
                <w:color w:val="auto"/>
                <w:kern w:val="0"/>
                <w:sz w:val="26"/>
                <w:szCs w:val="26"/>
                <w:highlight w:val="none"/>
              </w:rPr>
              <w:t>工作</w:t>
            </w:r>
            <w:r>
              <w:rPr>
                <w:rFonts w:ascii="宋体" w:hAnsi="宋体" w:cs="宋体"/>
                <w:bCs/>
                <w:color w:val="auto"/>
                <w:kern w:val="0"/>
                <w:sz w:val="26"/>
                <w:szCs w:val="26"/>
                <w:highlight w:val="none"/>
              </w:rPr>
              <w:t>人员进行上岗前培训</w:t>
            </w:r>
            <w:r>
              <w:rPr>
                <w:rFonts w:hint="eastAsia" w:ascii="宋体" w:hAnsi="宋体" w:cs="宋体"/>
                <w:bCs/>
                <w:color w:val="auto"/>
                <w:kern w:val="0"/>
                <w:sz w:val="26"/>
                <w:szCs w:val="26"/>
                <w:highlight w:val="none"/>
              </w:rPr>
              <w:t>，</w:t>
            </w:r>
            <w:r>
              <w:rPr>
                <w:rFonts w:ascii="宋体" w:hAnsi="宋体" w:cs="宋体"/>
                <w:color w:val="auto"/>
                <w:kern w:val="0"/>
                <w:sz w:val="26"/>
                <w:szCs w:val="26"/>
                <w:highlight w:val="none"/>
              </w:rPr>
              <w:t>制定严格的操作规程，对设备必须经常进行检修，避免泄漏事故的发生。</w:t>
            </w:r>
          </w:p>
          <w:p w14:paraId="5591E3E4">
            <w:pPr>
              <w:autoSpaceDE w:val="0"/>
              <w:autoSpaceDN w:val="0"/>
              <w:adjustRightInd w:val="0"/>
              <w:spacing w:line="480" w:lineRule="exact"/>
              <w:ind w:firstLine="520" w:firstLineChars="200"/>
              <w:textAlignment w:val="baseline"/>
              <w:rPr>
                <w:rFonts w:ascii="宋体" w:hAnsi="宋体" w:cs="宋体"/>
                <w:color w:val="auto"/>
                <w:kern w:val="0"/>
                <w:sz w:val="26"/>
                <w:szCs w:val="26"/>
                <w:highlight w:val="none"/>
              </w:rPr>
            </w:pPr>
            <w:r>
              <w:rPr>
                <w:rFonts w:hint="eastAsia" w:ascii="宋体" w:hAnsi="宋体" w:cs="宋体"/>
                <w:color w:val="auto"/>
                <w:kern w:val="0"/>
                <w:sz w:val="26"/>
                <w:szCs w:val="26"/>
                <w:highlight w:val="none"/>
              </w:rPr>
              <w:t>②液压油储存在液压机油箱内，油箱已做防渗处理</w:t>
            </w:r>
            <w:r>
              <w:rPr>
                <w:rFonts w:hint="eastAsia" w:ascii="宋体" w:hAnsi="宋体" w:cs="宋体"/>
                <w:color w:val="auto"/>
                <w:kern w:val="0"/>
                <w:sz w:val="26"/>
                <w:szCs w:val="26"/>
                <w:highlight w:val="none"/>
                <w:lang w:eastAsia="zh-CN"/>
              </w:rPr>
              <w:t>，液压机设备</w:t>
            </w:r>
            <w:bookmarkStart w:id="97" w:name="hmcheck_7d503876c5d94bb78325b958017cc610"/>
            <w:r>
              <w:rPr>
                <w:rFonts w:hint="eastAsia" w:ascii="宋体" w:hAnsi="宋体" w:cs="宋体"/>
                <w:color w:val="auto"/>
                <w:kern w:val="0"/>
                <w:sz w:val="26"/>
                <w:szCs w:val="26"/>
                <w:highlight w:val="none"/>
                <w:shd w:val="clear" w:fill="B2E9BC"/>
                <w:lang w:eastAsia="zh-CN"/>
              </w:rPr>
              <w:t>下方</w:t>
            </w:r>
            <w:bookmarkEnd w:id="97"/>
            <w:r>
              <w:rPr>
                <w:rFonts w:hint="eastAsia" w:ascii="宋体" w:hAnsi="宋体" w:cs="宋体"/>
                <w:color w:val="auto"/>
                <w:kern w:val="0"/>
                <w:sz w:val="26"/>
                <w:szCs w:val="26"/>
                <w:highlight w:val="none"/>
                <w:lang w:eastAsia="zh-CN"/>
              </w:rPr>
              <w:t>设置集油箱及导油管，用于收集油箱破损时泄露的液压油，集油箱所在区域做表面按重点防渗区采取防渗措施，集油箱非事故状态下保持空置状态；</w:t>
            </w:r>
            <w:r>
              <w:rPr>
                <w:rFonts w:hint="eastAsia" w:ascii="宋体" w:hAnsi="宋体" w:cs="宋体"/>
                <w:color w:val="auto"/>
                <w:kern w:val="0"/>
                <w:sz w:val="26"/>
                <w:szCs w:val="26"/>
                <w:highlight w:val="none"/>
              </w:rPr>
              <w:t>润滑油、液压油采用专用桶密封装暂存于油料库；危险废物采用专用桶或容器封装后暂存危废贮存点，分类收集；油料库及危险废物贮存点盛装容器周围设置液体泄漏堵截设施（设置围堰或下方设置托盘进行液体泄漏堵截等），并作为重点防渗区；危险废物贮存点严格按照《危险废物贮存污染控制标准》中有关要求建设；预留空桶，方便泄漏时及时转桶。</w:t>
            </w:r>
          </w:p>
          <w:p w14:paraId="230B62A5">
            <w:pPr>
              <w:spacing w:line="480" w:lineRule="exact"/>
              <w:ind w:firstLine="520" w:firstLineChars="200"/>
              <w:rPr>
                <w:rFonts w:ascii="宋体" w:hAnsi="宋体" w:cs="宋体"/>
                <w:color w:val="auto"/>
                <w:kern w:val="0"/>
                <w:sz w:val="26"/>
                <w:szCs w:val="26"/>
                <w:highlight w:val="none"/>
              </w:rPr>
            </w:pPr>
            <w:r>
              <w:rPr>
                <w:rFonts w:hint="eastAsia" w:ascii="宋体" w:hAnsi="宋体" w:cs="宋体"/>
                <w:color w:val="auto"/>
                <w:kern w:val="0"/>
                <w:sz w:val="26"/>
                <w:szCs w:val="26"/>
                <w:highlight w:val="none"/>
              </w:rPr>
              <w:t>③油料库、气库、危险废物贮存点须阴凉、干燥、通风良好，远离火源、热源及阳光直射，与易燃、可燃物等分开存放。乙炔瓶应与氧气瓶等易燃易爆物品分室存放，并保持安全距离；乙炔瓶应该直立放置，并采取防倾倒措施（如固定架或链条）；乙炔操作区域需加强通风、排风，确保乙炔浓度低于爆炸下限（2.1%），储存及使用区域安装乙炔浓度检测报警仪。</w:t>
            </w:r>
          </w:p>
          <w:p w14:paraId="620DE81D">
            <w:pPr>
              <w:adjustRightInd w:val="0"/>
              <w:snapToGrid w:val="0"/>
              <w:spacing w:line="480" w:lineRule="exact"/>
              <w:ind w:firstLine="520" w:firstLineChars="200"/>
              <w:rPr>
                <w:color w:val="auto"/>
                <w:kern w:val="0"/>
                <w:sz w:val="26"/>
                <w:szCs w:val="26"/>
                <w:highlight w:val="none"/>
              </w:rPr>
            </w:pPr>
            <w:r>
              <w:rPr>
                <w:rFonts w:hint="eastAsia" w:ascii="宋体" w:hAnsi="宋体" w:cs="宋体"/>
                <w:color w:val="auto"/>
                <w:kern w:val="0"/>
                <w:sz w:val="26"/>
                <w:szCs w:val="26"/>
                <w:highlight w:val="none"/>
              </w:rPr>
              <w:t>④</w:t>
            </w:r>
            <w:r>
              <w:rPr>
                <w:bCs/>
                <w:color w:val="auto"/>
                <w:sz w:val="26"/>
                <w:highlight w:val="none"/>
              </w:rPr>
              <w:t>购买符合相应国家标准的规定原材料，</w:t>
            </w:r>
            <w:r>
              <w:rPr>
                <w:color w:val="auto"/>
                <w:sz w:val="26"/>
                <w:szCs w:val="26"/>
                <w:highlight w:val="none"/>
              </w:rPr>
              <w:t>保证产品质量</w:t>
            </w:r>
            <w:r>
              <w:rPr>
                <w:rFonts w:hint="eastAsia"/>
                <w:color w:val="auto"/>
                <w:sz w:val="26"/>
                <w:szCs w:val="26"/>
                <w:highlight w:val="none"/>
              </w:rPr>
              <w:t>、稳定性</w:t>
            </w:r>
            <w:r>
              <w:rPr>
                <w:color w:val="auto"/>
                <w:sz w:val="26"/>
                <w:szCs w:val="26"/>
                <w:highlight w:val="none"/>
              </w:rPr>
              <w:t>；建立日常巡视制度</w:t>
            </w:r>
            <w:r>
              <w:rPr>
                <w:rFonts w:hint="eastAsia"/>
                <w:color w:val="auto"/>
                <w:sz w:val="26"/>
                <w:szCs w:val="26"/>
                <w:highlight w:val="none"/>
              </w:rPr>
              <w:t>，钢瓶、油桶需定期检测压力、密封性及腐蚀情况，发现泄漏或破损立即停用</w:t>
            </w:r>
            <w:r>
              <w:rPr>
                <w:color w:val="auto"/>
                <w:sz w:val="26"/>
                <w:szCs w:val="26"/>
                <w:highlight w:val="none"/>
              </w:rPr>
              <w:t>。</w:t>
            </w:r>
          </w:p>
          <w:p w14:paraId="3DF52E83">
            <w:pPr>
              <w:autoSpaceDE w:val="0"/>
              <w:autoSpaceDN w:val="0"/>
              <w:adjustRightInd w:val="0"/>
              <w:spacing w:line="480" w:lineRule="exact"/>
              <w:ind w:firstLine="520" w:firstLineChars="200"/>
              <w:textAlignment w:val="baseline"/>
              <w:rPr>
                <w:color w:val="auto"/>
                <w:sz w:val="26"/>
                <w:szCs w:val="26"/>
                <w:highlight w:val="none"/>
              </w:rPr>
            </w:pPr>
            <w:r>
              <w:rPr>
                <w:rFonts w:hint="eastAsia" w:ascii="宋体" w:hAnsi="宋体" w:cs="宋体"/>
                <w:color w:val="auto"/>
                <w:kern w:val="0"/>
                <w:sz w:val="26"/>
                <w:szCs w:val="26"/>
                <w:highlight w:val="none"/>
              </w:rPr>
              <w:t>⑤油料库、危险废物贮存点、气库</w:t>
            </w:r>
            <w:r>
              <w:rPr>
                <w:color w:val="auto"/>
                <w:sz w:val="26"/>
                <w:szCs w:val="26"/>
                <w:highlight w:val="none"/>
              </w:rPr>
              <w:t>设立防火标志，禁止明火现象发生，同时进行规范性管理。</w:t>
            </w:r>
          </w:p>
          <w:p w14:paraId="5E773685">
            <w:pPr>
              <w:autoSpaceDE w:val="0"/>
              <w:autoSpaceDN w:val="0"/>
              <w:adjustRightInd w:val="0"/>
              <w:spacing w:line="480" w:lineRule="exact"/>
              <w:ind w:firstLine="520" w:firstLineChars="200"/>
              <w:textAlignment w:val="baseline"/>
              <w:rPr>
                <w:color w:val="auto"/>
                <w:sz w:val="26"/>
                <w:szCs w:val="26"/>
                <w:highlight w:val="none"/>
              </w:rPr>
            </w:pPr>
            <w:r>
              <w:rPr>
                <w:rFonts w:hint="eastAsia" w:ascii="宋体" w:hAnsi="宋体" w:cs="宋体"/>
                <w:color w:val="auto"/>
                <w:kern w:val="0"/>
                <w:sz w:val="26"/>
                <w:szCs w:val="26"/>
                <w:highlight w:val="none"/>
              </w:rPr>
              <w:t>⑥</w:t>
            </w:r>
            <w:r>
              <w:rPr>
                <w:bCs/>
                <w:color w:val="auto"/>
                <w:sz w:val="26"/>
                <w:szCs w:val="26"/>
                <w:highlight w:val="none"/>
              </w:rPr>
              <w:t>配备应急设备</w:t>
            </w:r>
            <w:r>
              <w:rPr>
                <w:rFonts w:hint="eastAsia"/>
                <w:bCs/>
                <w:color w:val="auto"/>
                <w:sz w:val="26"/>
                <w:szCs w:val="26"/>
                <w:highlight w:val="none"/>
              </w:rPr>
              <w:t>及物资。</w:t>
            </w:r>
            <w:r>
              <w:rPr>
                <w:bCs/>
                <w:color w:val="auto"/>
                <w:sz w:val="26"/>
                <w:szCs w:val="26"/>
                <w:highlight w:val="none"/>
              </w:rPr>
              <w:t>应储存足量的</w:t>
            </w:r>
            <w:r>
              <w:rPr>
                <w:rFonts w:hint="eastAsia"/>
                <w:bCs/>
                <w:color w:val="auto"/>
                <w:sz w:val="26"/>
                <w:szCs w:val="26"/>
                <w:highlight w:val="none"/>
              </w:rPr>
              <w:t>灭火毯、灭火器、</w:t>
            </w:r>
            <w:r>
              <w:rPr>
                <w:bCs/>
                <w:color w:val="auto"/>
                <w:sz w:val="26"/>
                <w:szCs w:val="26"/>
                <w:highlight w:val="none"/>
              </w:rPr>
              <w:t>沙土、蛭石或其他惰性材料及泡沫，一旦发生泄漏，可用于吸收废液。吸收废液</w:t>
            </w:r>
            <w:r>
              <w:rPr>
                <w:rFonts w:hint="eastAsia"/>
                <w:bCs/>
                <w:color w:val="auto"/>
                <w:sz w:val="26"/>
                <w:szCs w:val="26"/>
                <w:highlight w:val="none"/>
              </w:rPr>
              <w:t>后的废物作为危险废物处理。</w:t>
            </w:r>
            <w:r>
              <w:rPr>
                <w:bCs/>
                <w:color w:val="auto"/>
                <w:sz w:val="26"/>
                <w:szCs w:val="26"/>
                <w:highlight w:val="none"/>
              </w:rPr>
              <w:t>废液回收后地面清洗废水引入进水管网进行处理。</w:t>
            </w:r>
            <w:r>
              <w:rPr>
                <w:color w:val="auto"/>
                <w:sz w:val="26"/>
                <w:szCs w:val="26"/>
                <w:highlight w:val="none"/>
              </w:rPr>
              <w:t>配备必需的消防器材，并定期更换，以保证消防器材在任何时候均处于有效状态。</w:t>
            </w:r>
          </w:p>
          <w:p w14:paraId="2D046A0A">
            <w:pPr>
              <w:adjustRightInd w:val="0"/>
              <w:snapToGrid w:val="0"/>
              <w:spacing w:line="480" w:lineRule="exact"/>
              <w:ind w:firstLine="520" w:firstLineChars="200"/>
              <w:rPr>
                <w:color w:val="auto"/>
                <w:sz w:val="26"/>
                <w:szCs w:val="26"/>
                <w:highlight w:val="none"/>
              </w:rPr>
            </w:pPr>
            <w:r>
              <w:rPr>
                <w:rFonts w:hint="eastAsia" w:ascii="微软雅黑" w:hAnsi="微软雅黑" w:eastAsia="微软雅黑" w:cs="微软雅黑"/>
                <w:color w:val="auto"/>
                <w:kern w:val="0"/>
                <w:sz w:val="26"/>
                <w:szCs w:val="26"/>
                <w:highlight w:val="none"/>
              </w:rPr>
              <w:t>⑦</w:t>
            </w:r>
            <w:r>
              <w:rPr>
                <w:rFonts w:ascii="宋体" w:hAnsi="宋体" w:cs="宋体"/>
                <w:color w:val="auto"/>
                <w:kern w:val="0"/>
                <w:sz w:val="26"/>
                <w:szCs w:val="26"/>
                <w:highlight w:val="none"/>
              </w:rPr>
              <w:t>成立</w:t>
            </w:r>
            <w:r>
              <w:rPr>
                <w:rFonts w:hint="eastAsia" w:ascii="宋体" w:hAnsi="宋体" w:cs="宋体"/>
                <w:color w:val="auto"/>
                <w:kern w:val="0"/>
                <w:sz w:val="26"/>
                <w:szCs w:val="26"/>
                <w:highlight w:val="none"/>
              </w:rPr>
              <w:t>应急领导小组，负责突发事件的应急管理和应急处置工作，负责组织实施环境污染事故应急处置工作</w:t>
            </w:r>
            <w:r>
              <w:rPr>
                <w:rFonts w:hint="eastAsia"/>
                <w:color w:val="auto"/>
                <w:kern w:val="0"/>
                <w:sz w:val="26"/>
                <w:szCs w:val="26"/>
                <w:highlight w:val="none"/>
              </w:rPr>
              <w:t>。</w:t>
            </w:r>
          </w:p>
          <w:p w14:paraId="2252C46B">
            <w:pPr>
              <w:adjustRightInd w:val="0"/>
              <w:snapToGrid w:val="0"/>
              <w:spacing w:line="480" w:lineRule="exact"/>
              <w:ind w:firstLine="520" w:firstLineChars="200"/>
              <w:rPr>
                <w:color w:val="auto"/>
                <w:sz w:val="26"/>
                <w:szCs w:val="26"/>
                <w:highlight w:val="none"/>
              </w:rPr>
            </w:pPr>
          </w:p>
          <w:p w14:paraId="305CDDDC">
            <w:pPr>
              <w:adjustRightInd w:val="0"/>
              <w:snapToGrid w:val="0"/>
              <w:spacing w:line="480" w:lineRule="exact"/>
              <w:ind w:firstLine="480" w:firstLineChars="200"/>
              <w:rPr>
                <w:bCs/>
                <w:color w:val="auto"/>
                <w:spacing w:val="-10"/>
                <w:sz w:val="26"/>
                <w:szCs w:val="26"/>
                <w:highlight w:val="none"/>
              </w:rPr>
            </w:pPr>
          </w:p>
        </w:tc>
      </w:tr>
    </w:tbl>
    <w:p w14:paraId="20A335EE">
      <w:pPr>
        <w:snapToGrid w:val="0"/>
        <w:jc w:val="center"/>
        <w:rPr>
          <w:color w:val="auto"/>
          <w:kern w:val="0"/>
          <w:sz w:val="26"/>
          <w:szCs w:val="26"/>
          <w:highlight w:val="none"/>
        </w:rPr>
        <w:sectPr>
          <w:pgSz w:w="11906" w:h="16838"/>
          <w:pgMar w:top="1701" w:right="1531" w:bottom="1701" w:left="1531" w:header="851" w:footer="851" w:gutter="0"/>
          <w:cols w:space="720" w:num="1"/>
          <w:docGrid w:linePitch="312" w:charSpace="0"/>
        </w:sectPr>
      </w:pPr>
    </w:p>
    <w:p w14:paraId="117BD568">
      <w:pPr>
        <w:pStyle w:val="15"/>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五、</w:t>
      </w:r>
      <w:bookmarkStart w:id="98" w:name="_Hlk54167917"/>
      <w:r>
        <w:rPr>
          <w:rFonts w:hint="eastAsia" w:ascii="黑体" w:hAnsi="黑体" w:eastAsia="黑体"/>
          <w:snapToGrid w:val="0"/>
          <w:color w:val="auto"/>
          <w:sz w:val="30"/>
          <w:szCs w:val="30"/>
          <w:highlight w:val="none"/>
        </w:rPr>
        <w:t>环境保护措施监督检查清单</w:t>
      </w:r>
      <w:bookmarkEnd w:id="98"/>
    </w:p>
    <w:tbl>
      <w:tblPr>
        <w:tblStyle w:val="16"/>
        <w:tblW w:w="484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257"/>
        <w:gridCol w:w="1074"/>
        <w:gridCol w:w="3199"/>
        <w:gridCol w:w="2149"/>
      </w:tblGrid>
      <w:tr w14:paraId="7DB56D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9" w:type="pct"/>
            <w:tcBorders>
              <w:tl2br w:val="single" w:color="auto" w:sz="4" w:space="0"/>
            </w:tcBorders>
          </w:tcPr>
          <w:p w14:paraId="371B9EDE">
            <w:pPr>
              <w:adjustRightInd w:val="0"/>
              <w:snapToGrid w:val="0"/>
              <w:ind w:firstLine="220" w:firstLineChars="100"/>
              <w:rPr>
                <w:color w:val="auto"/>
                <w:sz w:val="22"/>
                <w:szCs w:val="22"/>
                <w:highlight w:val="none"/>
              </w:rPr>
            </w:pPr>
            <w:r>
              <w:rPr>
                <w:rFonts w:hint="eastAsia"/>
                <w:color w:val="auto"/>
                <w:sz w:val="22"/>
                <w:szCs w:val="22"/>
                <w:highlight w:val="none"/>
              </w:rPr>
              <w:t>内</w:t>
            </w:r>
            <w:r>
              <w:rPr>
                <w:color w:val="auto"/>
                <w:sz w:val="22"/>
                <w:szCs w:val="22"/>
                <w:highlight w:val="none"/>
              </w:rPr>
              <w:t>容</w:t>
            </w:r>
          </w:p>
          <w:p w14:paraId="561AC028">
            <w:pPr>
              <w:adjustRightInd w:val="0"/>
              <w:snapToGrid w:val="0"/>
              <w:rPr>
                <w:color w:val="auto"/>
                <w:sz w:val="22"/>
                <w:szCs w:val="22"/>
                <w:highlight w:val="none"/>
              </w:rPr>
            </w:pPr>
          </w:p>
          <w:p w14:paraId="22EF334E">
            <w:pPr>
              <w:adjustRightInd w:val="0"/>
              <w:snapToGrid w:val="0"/>
              <w:rPr>
                <w:color w:val="auto"/>
                <w:sz w:val="22"/>
                <w:szCs w:val="22"/>
                <w:highlight w:val="none"/>
              </w:rPr>
            </w:pPr>
            <w:r>
              <w:rPr>
                <w:color w:val="auto"/>
                <w:sz w:val="22"/>
                <w:szCs w:val="22"/>
                <w:highlight w:val="none"/>
              </w:rPr>
              <w:t>要素</w:t>
            </w:r>
          </w:p>
        </w:tc>
        <w:tc>
          <w:tcPr>
            <w:tcW w:w="715" w:type="pct"/>
            <w:vAlign w:val="center"/>
          </w:tcPr>
          <w:p w14:paraId="6012C3A0">
            <w:pPr>
              <w:adjustRightInd w:val="0"/>
              <w:snapToGrid w:val="0"/>
              <w:jc w:val="center"/>
              <w:rPr>
                <w:color w:val="auto"/>
                <w:sz w:val="22"/>
                <w:szCs w:val="22"/>
                <w:highlight w:val="none"/>
              </w:rPr>
            </w:pPr>
            <w:r>
              <w:rPr>
                <w:color w:val="auto"/>
                <w:sz w:val="22"/>
                <w:szCs w:val="22"/>
                <w:highlight w:val="none"/>
              </w:rPr>
              <w:t>排放口</w:t>
            </w:r>
            <w:r>
              <w:rPr>
                <w:rFonts w:hint="eastAsia"/>
                <w:color w:val="auto"/>
                <w:sz w:val="22"/>
                <w:szCs w:val="22"/>
                <w:highlight w:val="none"/>
                <w:lang w:eastAsia="zh-CN"/>
              </w:rPr>
              <w:t>（</w:t>
            </w:r>
            <w:r>
              <w:rPr>
                <w:color w:val="auto"/>
                <w:sz w:val="22"/>
                <w:szCs w:val="22"/>
                <w:highlight w:val="none"/>
              </w:rPr>
              <w:t>编号、名称</w:t>
            </w:r>
            <w:r>
              <w:rPr>
                <w:rFonts w:hint="eastAsia"/>
                <w:color w:val="auto"/>
                <w:sz w:val="22"/>
                <w:szCs w:val="22"/>
                <w:highlight w:val="none"/>
                <w:lang w:eastAsia="zh-CN"/>
              </w:rPr>
              <w:t>）</w:t>
            </w:r>
            <w:r>
              <w:rPr>
                <w:color w:val="auto"/>
                <w:sz w:val="22"/>
                <w:szCs w:val="22"/>
                <w:highlight w:val="none"/>
              </w:rPr>
              <w:t>/污染源</w:t>
            </w:r>
          </w:p>
        </w:tc>
        <w:tc>
          <w:tcPr>
            <w:tcW w:w="611" w:type="pct"/>
            <w:vAlign w:val="center"/>
          </w:tcPr>
          <w:p w14:paraId="373A1D39">
            <w:pPr>
              <w:adjustRightInd w:val="0"/>
              <w:snapToGrid w:val="0"/>
              <w:jc w:val="center"/>
              <w:rPr>
                <w:color w:val="auto"/>
                <w:sz w:val="22"/>
                <w:szCs w:val="22"/>
                <w:highlight w:val="none"/>
              </w:rPr>
            </w:pPr>
            <w:r>
              <w:rPr>
                <w:color w:val="auto"/>
                <w:sz w:val="22"/>
                <w:szCs w:val="22"/>
                <w:highlight w:val="none"/>
              </w:rPr>
              <w:t>污染物项目</w:t>
            </w:r>
          </w:p>
        </w:tc>
        <w:tc>
          <w:tcPr>
            <w:tcW w:w="1821" w:type="pct"/>
            <w:vAlign w:val="center"/>
          </w:tcPr>
          <w:p w14:paraId="4A90D32D">
            <w:pPr>
              <w:adjustRightInd w:val="0"/>
              <w:snapToGrid w:val="0"/>
              <w:jc w:val="center"/>
              <w:rPr>
                <w:color w:val="auto"/>
                <w:sz w:val="22"/>
                <w:szCs w:val="22"/>
                <w:highlight w:val="none"/>
              </w:rPr>
            </w:pPr>
            <w:r>
              <w:rPr>
                <w:color w:val="auto"/>
                <w:sz w:val="22"/>
                <w:szCs w:val="22"/>
                <w:highlight w:val="none"/>
              </w:rPr>
              <w:t>环境保护措施</w:t>
            </w:r>
          </w:p>
        </w:tc>
        <w:tc>
          <w:tcPr>
            <w:tcW w:w="1221" w:type="pct"/>
            <w:vAlign w:val="center"/>
          </w:tcPr>
          <w:p w14:paraId="0DE525A7">
            <w:pPr>
              <w:adjustRightInd w:val="0"/>
              <w:snapToGrid w:val="0"/>
              <w:jc w:val="center"/>
              <w:rPr>
                <w:color w:val="auto"/>
                <w:sz w:val="22"/>
                <w:szCs w:val="22"/>
                <w:highlight w:val="none"/>
              </w:rPr>
            </w:pPr>
            <w:r>
              <w:rPr>
                <w:color w:val="auto"/>
                <w:sz w:val="22"/>
                <w:szCs w:val="22"/>
                <w:highlight w:val="none"/>
              </w:rPr>
              <w:t>执行标准</w:t>
            </w:r>
          </w:p>
        </w:tc>
      </w:tr>
      <w:tr w14:paraId="3E7BFE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629" w:type="pct"/>
            <w:vAlign w:val="center"/>
          </w:tcPr>
          <w:p w14:paraId="2B10180B">
            <w:pPr>
              <w:adjustRightInd w:val="0"/>
              <w:snapToGrid w:val="0"/>
              <w:jc w:val="center"/>
              <w:rPr>
                <w:color w:val="auto"/>
                <w:sz w:val="22"/>
                <w:szCs w:val="22"/>
                <w:highlight w:val="none"/>
              </w:rPr>
            </w:pPr>
            <w:r>
              <w:rPr>
                <w:color w:val="auto"/>
                <w:sz w:val="22"/>
                <w:szCs w:val="22"/>
                <w:highlight w:val="none"/>
              </w:rPr>
              <w:t>大气环境</w:t>
            </w:r>
            <w:r>
              <w:rPr>
                <w:rFonts w:hint="eastAsia"/>
                <w:color w:val="auto"/>
                <w:sz w:val="22"/>
                <w:szCs w:val="22"/>
                <w:highlight w:val="none"/>
              </w:rPr>
              <w:t>（有组织）</w:t>
            </w:r>
          </w:p>
        </w:tc>
        <w:tc>
          <w:tcPr>
            <w:tcW w:w="715" w:type="pct"/>
            <w:vAlign w:val="center"/>
          </w:tcPr>
          <w:p w14:paraId="2CCABDCB">
            <w:pPr>
              <w:adjustRightInd w:val="0"/>
              <w:snapToGrid w:val="0"/>
              <w:jc w:val="center"/>
              <w:rPr>
                <w:color w:val="auto"/>
                <w:sz w:val="22"/>
                <w:szCs w:val="22"/>
                <w:highlight w:val="none"/>
              </w:rPr>
            </w:pPr>
            <w:r>
              <w:rPr>
                <w:rFonts w:hint="eastAsia"/>
                <w:color w:val="auto"/>
                <w:sz w:val="22"/>
                <w:szCs w:val="22"/>
                <w:highlight w:val="none"/>
              </w:rPr>
              <w:t>固定式弧焊焊接烟尘</w:t>
            </w:r>
            <w:r>
              <w:rPr>
                <w:color w:val="auto"/>
                <w:sz w:val="22"/>
                <w:szCs w:val="22"/>
                <w:highlight w:val="none"/>
              </w:rPr>
              <w:t>（DA001排气筒）</w:t>
            </w:r>
          </w:p>
        </w:tc>
        <w:tc>
          <w:tcPr>
            <w:tcW w:w="611" w:type="pct"/>
            <w:vAlign w:val="center"/>
          </w:tcPr>
          <w:p w14:paraId="4859278B">
            <w:pPr>
              <w:adjustRightInd w:val="0"/>
              <w:snapToGrid w:val="0"/>
              <w:jc w:val="center"/>
              <w:rPr>
                <w:color w:val="auto"/>
                <w:sz w:val="22"/>
                <w:szCs w:val="22"/>
                <w:highlight w:val="none"/>
              </w:rPr>
            </w:pPr>
            <w:r>
              <w:rPr>
                <w:rFonts w:hint="eastAsia"/>
                <w:color w:val="auto"/>
                <w:sz w:val="22"/>
                <w:szCs w:val="22"/>
                <w:highlight w:val="none"/>
              </w:rPr>
              <w:t>颗粒物</w:t>
            </w:r>
          </w:p>
        </w:tc>
        <w:tc>
          <w:tcPr>
            <w:tcW w:w="1821" w:type="pct"/>
            <w:vAlign w:val="center"/>
          </w:tcPr>
          <w:p w14:paraId="3912F5E0">
            <w:pPr>
              <w:adjustRightInd w:val="0"/>
              <w:snapToGrid w:val="0"/>
              <w:jc w:val="left"/>
              <w:rPr>
                <w:color w:val="auto"/>
                <w:sz w:val="22"/>
                <w:szCs w:val="22"/>
                <w:highlight w:val="none"/>
              </w:rPr>
            </w:pPr>
            <w:r>
              <w:rPr>
                <w:rFonts w:hint="eastAsia"/>
                <w:color w:val="auto"/>
                <w:sz w:val="22"/>
                <w:szCs w:val="22"/>
                <w:highlight w:val="none"/>
              </w:rPr>
              <w:t>固定式弧焊位于封闭式弧焊间内，顶部设置废气收集口及废气管道，</w:t>
            </w:r>
            <w:r>
              <w:rPr>
                <w:rFonts w:hint="eastAsia"/>
                <w:color w:val="auto"/>
                <w:sz w:val="22"/>
                <w:szCs w:val="22"/>
                <w:highlight w:val="none"/>
                <w:lang w:eastAsia="zh-CN"/>
              </w:rPr>
              <w:t>废气收集后</w:t>
            </w:r>
            <w:r>
              <w:rPr>
                <w:rFonts w:hint="eastAsia"/>
                <w:color w:val="auto"/>
                <w:sz w:val="22"/>
                <w:szCs w:val="22"/>
                <w:highlight w:val="none"/>
              </w:rPr>
              <w:t>经滤芯除尘器处理后由15m排气筒（DA001）排放。</w:t>
            </w:r>
          </w:p>
        </w:tc>
        <w:tc>
          <w:tcPr>
            <w:tcW w:w="1221" w:type="pct"/>
            <w:vAlign w:val="center"/>
          </w:tcPr>
          <w:p w14:paraId="11C8D67A">
            <w:pPr>
              <w:adjustRightInd w:val="0"/>
              <w:snapToGrid w:val="0"/>
              <w:jc w:val="center"/>
              <w:rPr>
                <w:color w:val="auto"/>
                <w:kern w:val="0"/>
                <w:sz w:val="22"/>
                <w:szCs w:val="22"/>
                <w:highlight w:val="none"/>
              </w:rPr>
            </w:pPr>
            <w:r>
              <w:rPr>
                <w:color w:val="auto"/>
                <w:sz w:val="22"/>
                <w:szCs w:val="22"/>
                <w:highlight w:val="none"/>
              </w:rPr>
              <w:t>《大气污染物综合排放标准》（DB50/418-2016）影响区排放限值</w:t>
            </w:r>
          </w:p>
        </w:tc>
      </w:tr>
      <w:tr w14:paraId="551B12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629" w:type="pct"/>
            <w:vAlign w:val="center"/>
          </w:tcPr>
          <w:p w14:paraId="4DADF724">
            <w:pPr>
              <w:adjustRightInd w:val="0"/>
              <w:snapToGrid w:val="0"/>
              <w:jc w:val="center"/>
              <w:rPr>
                <w:color w:val="auto"/>
                <w:sz w:val="22"/>
                <w:szCs w:val="22"/>
                <w:highlight w:val="none"/>
              </w:rPr>
            </w:pPr>
            <w:r>
              <w:rPr>
                <w:color w:val="auto"/>
                <w:sz w:val="22"/>
                <w:szCs w:val="22"/>
                <w:highlight w:val="none"/>
              </w:rPr>
              <w:t>大气环境</w:t>
            </w:r>
            <w:r>
              <w:rPr>
                <w:rFonts w:hint="eastAsia"/>
                <w:color w:val="auto"/>
                <w:sz w:val="22"/>
                <w:szCs w:val="22"/>
                <w:highlight w:val="none"/>
              </w:rPr>
              <w:t>（无组织）</w:t>
            </w:r>
          </w:p>
        </w:tc>
        <w:tc>
          <w:tcPr>
            <w:tcW w:w="715" w:type="pct"/>
            <w:vAlign w:val="center"/>
          </w:tcPr>
          <w:p w14:paraId="09A40D84">
            <w:pPr>
              <w:adjustRightInd w:val="0"/>
              <w:snapToGrid w:val="0"/>
              <w:jc w:val="center"/>
              <w:rPr>
                <w:color w:val="auto"/>
                <w:sz w:val="22"/>
                <w:szCs w:val="22"/>
                <w:highlight w:val="none"/>
              </w:rPr>
            </w:pPr>
            <w:r>
              <w:rPr>
                <w:rFonts w:hint="eastAsia"/>
                <w:color w:val="auto"/>
                <w:sz w:val="22"/>
                <w:szCs w:val="22"/>
                <w:highlight w:val="none"/>
              </w:rPr>
              <w:t>厂界</w:t>
            </w:r>
          </w:p>
        </w:tc>
        <w:tc>
          <w:tcPr>
            <w:tcW w:w="611" w:type="pct"/>
            <w:vAlign w:val="center"/>
          </w:tcPr>
          <w:p w14:paraId="62592B93">
            <w:pPr>
              <w:widowControl/>
              <w:rPr>
                <w:color w:val="auto"/>
                <w:sz w:val="22"/>
                <w:szCs w:val="22"/>
                <w:highlight w:val="none"/>
              </w:rPr>
            </w:pPr>
            <w:r>
              <w:rPr>
                <w:rFonts w:hint="eastAsia"/>
                <w:color w:val="auto"/>
                <w:sz w:val="22"/>
                <w:szCs w:val="22"/>
                <w:highlight w:val="none"/>
              </w:rPr>
              <w:t>颗粒物、非甲烷总烃</w:t>
            </w:r>
          </w:p>
        </w:tc>
        <w:tc>
          <w:tcPr>
            <w:tcW w:w="1821" w:type="pct"/>
            <w:vAlign w:val="center"/>
          </w:tcPr>
          <w:p w14:paraId="1F032256">
            <w:pPr>
              <w:widowControl/>
              <w:rPr>
                <w:color w:val="auto"/>
                <w:sz w:val="22"/>
                <w:szCs w:val="22"/>
                <w:highlight w:val="none"/>
              </w:rPr>
            </w:pPr>
            <w:r>
              <w:rPr>
                <w:rFonts w:hint="eastAsia"/>
                <w:color w:val="auto"/>
                <w:sz w:val="22"/>
                <w:szCs w:val="22"/>
                <w:highlight w:val="none"/>
              </w:rPr>
              <w:t>①切割粉尘经设备自带的滤芯除尘器处理后在厂房内无组织排放。</w:t>
            </w:r>
          </w:p>
          <w:p w14:paraId="0D8C1C98">
            <w:pPr>
              <w:widowControl/>
              <w:rPr>
                <w:color w:val="auto"/>
                <w:sz w:val="22"/>
                <w:szCs w:val="22"/>
                <w:highlight w:val="none"/>
              </w:rPr>
            </w:pPr>
            <w:r>
              <w:rPr>
                <w:rFonts w:hint="eastAsia"/>
                <w:color w:val="auto"/>
                <w:sz w:val="22"/>
                <w:szCs w:val="22"/>
                <w:highlight w:val="none"/>
              </w:rPr>
              <w:t>②不合格产品返修工位配套移动式</w:t>
            </w:r>
            <w:r>
              <w:rPr>
                <w:rFonts w:hint="eastAsia"/>
                <w:color w:val="auto"/>
                <w:sz w:val="22"/>
                <w:szCs w:val="22"/>
                <w:highlight w:val="none"/>
                <w:lang w:eastAsia="zh-CN"/>
              </w:rPr>
              <w:t>滤芯除尘器</w:t>
            </w:r>
            <w:r>
              <w:rPr>
                <w:rFonts w:hint="eastAsia"/>
                <w:color w:val="auto"/>
                <w:sz w:val="22"/>
                <w:szCs w:val="22"/>
                <w:highlight w:val="none"/>
              </w:rPr>
              <w:t>（含集气设备），打磨粉尘、补焊烟尘经收集处理后厂房内无组织排放。</w:t>
            </w:r>
          </w:p>
          <w:p w14:paraId="29C92CA4">
            <w:pPr>
              <w:widowControl/>
              <w:rPr>
                <w:color w:val="auto"/>
                <w:sz w:val="22"/>
                <w:szCs w:val="22"/>
                <w:highlight w:val="none"/>
              </w:rPr>
            </w:pPr>
            <w:r>
              <w:rPr>
                <w:rFonts w:hint="eastAsia"/>
                <w:color w:val="auto"/>
                <w:sz w:val="22"/>
                <w:szCs w:val="22"/>
                <w:highlight w:val="none"/>
              </w:rPr>
              <w:t>③采用低挥发性</w:t>
            </w:r>
            <w:bookmarkStart w:id="99" w:name="hmcheck_039ef125cc8e4ba099a550ee60eb1a82"/>
            <w:r>
              <w:rPr>
                <w:rFonts w:hint="eastAsia"/>
                <w:color w:val="auto"/>
                <w:sz w:val="22"/>
                <w:szCs w:val="22"/>
                <w:highlight w:val="none"/>
                <w:shd w:val="clear" w:fill="B2E9BC"/>
                <w:lang w:eastAsia="zh-CN"/>
              </w:rPr>
              <w:t>胶黏剂</w:t>
            </w:r>
            <w:bookmarkEnd w:id="99"/>
            <w:r>
              <w:rPr>
                <w:rFonts w:hint="eastAsia"/>
                <w:color w:val="auto"/>
                <w:sz w:val="22"/>
                <w:szCs w:val="22"/>
                <w:highlight w:val="none"/>
              </w:rPr>
              <w:t>。</w:t>
            </w:r>
          </w:p>
        </w:tc>
        <w:tc>
          <w:tcPr>
            <w:tcW w:w="1221" w:type="pct"/>
            <w:shd w:val="clear" w:color="auto" w:fill="auto"/>
            <w:vAlign w:val="center"/>
          </w:tcPr>
          <w:p w14:paraId="1DC4BF97">
            <w:pPr>
              <w:adjustRightInd w:val="0"/>
              <w:snapToGrid w:val="0"/>
              <w:jc w:val="center"/>
              <w:rPr>
                <w:color w:val="auto"/>
                <w:kern w:val="0"/>
                <w:sz w:val="22"/>
                <w:szCs w:val="22"/>
                <w:highlight w:val="none"/>
              </w:rPr>
            </w:pPr>
            <w:r>
              <w:rPr>
                <w:color w:val="auto"/>
                <w:sz w:val="22"/>
                <w:szCs w:val="22"/>
                <w:highlight w:val="none"/>
              </w:rPr>
              <w:t>《大气污染物综合排放标准》（DB50/418-2016）影响区排放限值</w:t>
            </w:r>
            <w:r>
              <w:rPr>
                <w:rFonts w:hint="eastAsia"/>
                <w:color w:val="auto"/>
                <w:sz w:val="22"/>
                <w:szCs w:val="22"/>
                <w:highlight w:val="none"/>
              </w:rPr>
              <w:t>、《挥发性有机物无组织排放控制标准》（GB37822-2019）大气特别排放限值</w:t>
            </w:r>
          </w:p>
        </w:tc>
      </w:tr>
      <w:tr w14:paraId="2E9930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9" w:type="pct"/>
            <w:vAlign w:val="center"/>
          </w:tcPr>
          <w:p w14:paraId="753C52B5">
            <w:pPr>
              <w:adjustRightInd w:val="0"/>
              <w:snapToGrid w:val="0"/>
              <w:jc w:val="center"/>
              <w:rPr>
                <w:color w:val="auto"/>
                <w:sz w:val="22"/>
                <w:szCs w:val="22"/>
                <w:highlight w:val="none"/>
              </w:rPr>
            </w:pPr>
            <w:r>
              <w:rPr>
                <w:color w:val="auto"/>
                <w:sz w:val="22"/>
                <w:szCs w:val="22"/>
                <w:highlight w:val="none"/>
              </w:rPr>
              <w:t>地表水环境</w:t>
            </w:r>
          </w:p>
        </w:tc>
        <w:tc>
          <w:tcPr>
            <w:tcW w:w="715" w:type="pct"/>
            <w:vAlign w:val="center"/>
          </w:tcPr>
          <w:p w14:paraId="5B9E29E7">
            <w:pPr>
              <w:adjustRightInd w:val="0"/>
              <w:snapToGrid w:val="0"/>
              <w:jc w:val="center"/>
              <w:rPr>
                <w:color w:val="auto"/>
                <w:sz w:val="22"/>
                <w:szCs w:val="22"/>
                <w:highlight w:val="none"/>
              </w:rPr>
            </w:pPr>
            <w:r>
              <w:rPr>
                <w:color w:val="auto"/>
                <w:sz w:val="22"/>
                <w:szCs w:val="22"/>
                <w:highlight w:val="none"/>
              </w:rPr>
              <w:t>DW001</w:t>
            </w:r>
            <w:r>
              <w:rPr>
                <w:rFonts w:hint="eastAsia"/>
                <w:color w:val="auto"/>
                <w:sz w:val="22"/>
                <w:szCs w:val="22"/>
                <w:highlight w:val="none"/>
              </w:rPr>
              <w:t>综合废水</w:t>
            </w:r>
            <w:r>
              <w:rPr>
                <w:color w:val="auto"/>
                <w:sz w:val="22"/>
                <w:szCs w:val="22"/>
                <w:highlight w:val="none"/>
              </w:rPr>
              <w:t>排放口</w:t>
            </w:r>
          </w:p>
        </w:tc>
        <w:tc>
          <w:tcPr>
            <w:tcW w:w="611" w:type="pct"/>
            <w:vAlign w:val="center"/>
          </w:tcPr>
          <w:p w14:paraId="41E688D8">
            <w:pPr>
              <w:adjustRightInd w:val="0"/>
              <w:snapToGrid w:val="0"/>
              <w:jc w:val="center"/>
              <w:rPr>
                <w:color w:val="auto"/>
                <w:kern w:val="0"/>
                <w:sz w:val="22"/>
                <w:szCs w:val="22"/>
                <w:highlight w:val="none"/>
              </w:rPr>
            </w:pPr>
            <w:r>
              <w:rPr>
                <w:rFonts w:hint="eastAsia"/>
                <w:color w:val="auto"/>
                <w:kern w:val="0"/>
                <w:sz w:val="22"/>
                <w:szCs w:val="22"/>
                <w:highlight w:val="none"/>
              </w:rPr>
              <w:t>pH、COD</w:t>
            </w:r>
          </w:p>
          <w:p w14:paraId="7AFC633D">
            <w:pPr>
              <w:adjustRightInd w:val="0"/>
              <w:snapToGrid w:val="0"/>
              <w:jc w:val="center"/>
              <w:rPr>
                <w:color w:val="auto"/>
                <w:sz w:val="22"/>
                <w:szCs w:val="22"/>
                <w:highlight w:val="none"/>
              </w:rPr>
            </w:pPr>
            <w:r>
              <w:rPr>
                <w:rFonts w:hint="eastAsia"/>
                <w:color w:val="auto"/>
                <w:kern w:val="0"/>
                <w:sz w:val="22"/>
                <w:szCs w:val="22"/>
                <w:highlight w:val="none"/>
              </w:rPr>
              <w:t>BOD</w:t>
            </w:r>
            <w:r>
              <w:rPr>
                <w:rFonts w:hint="eastAsia"/>
                <w:color w:val="auto"/>
                <w:kern w:val="0"/>
                <w:sz w:val="22"/>
                <w:szCs w:val="22"/>
                <w:highlight w:val="none"/>
                <w:vertAlign w:val="subscript"/>
              </w:rPr>
              <w:t>5</w:t>
            </w:r>
            <w:r>
              <w:rPr>
                <w:rFonts w:hint="eastAsia"/>
                <w:color w:val="auto"/>
                <w:kern w:val="0"/>
                <w:sz w:val="22"/>
                <w:szCs w:val="22"/>
                <w:highlight w:val="none"/>
              </w:rPr>
              <w:t>、SS、氨氮、TP、石油类</w:t>
            </w:r>
          </w:p>
        </w:tc>
        <w:tc>
          <w:tcPr>
            <w:tcW w:w="1821" w:type="pct"/>
            <w:vAlign w:val="center"/>
          </w:tcPr>
          <w:p w14:paraId="43F42DF6">
            <w:pPr>
              <w:adjustRightInd w:val="0"/>
              <w:snapToGrid w:val="0"/>
              <w:jc w:val="center"/>
              <w:rPr>
                <w:color w:val="auto"/>
                <w:sz w:val="22"/>
                <w:szCs w:val="22"/>
                <w:highlight w:val="none"/>
              </w:rPr>
            </w:pPr>
            <w:r>
              <w:rPr>
                <w:rFonts w:hint="eastAsia"/>
                <w:color w:val="auto"/>
                <w:sz w:val="22"/>
                <w:szCs w:val="22"/>
                <w:highlight w:val="none"/>
                <w:lang w:eastAsia="zh-CN"/>
              </w:rPr>
              <w:t>生产废水及生活污水进入</w:t>
            </w:r>
            <w:r>
              <w:rPr>
                <w:rFonts w:hint="eastAsia"/>
                <w:color w:val="auto"/>
                <w:sz w:val="22"/>
                <w:szCs w:val="22"/>
                <w:highlight w:val="none"/>
              </w:rPr>
              <w:t>厂区已建综合生化池（设计处理能力30m³/d）预处理</w:t>
            </w:r>
            <w:bookmarkStart w:id="100" w:name="hmcheck_1d349ffcc7c7485db3d60bb2fb8611d7"/>
            <w:r>
              <w:rPr>
                <w:rFonts w:hint="eastAsia"/>
                <w:color w:val="auto"/>
                <w:sz w:val="22"/>
                <w:szCs w:val="22"/>
                <w:highlight w:val="none"/>
                <w:shd w:val="clear" w:fill="B2E9BC"/>
                <w:lang w:eastAsia="zh-CN"/>
              </w:rPr>
              <w:t>达到</w:t>
            </w:r>
            <w:bookmarkEnd w:id="100"/>
            <w:r>
              <w:rPr>
                <w:rFonts w:hint="eastAsia"/>
                <w:color w:val="auto"/>
                <w:sz w:val="22"/>
                <w:szCs w:val="22"/>
                <w:highlight w:val="none"/>
              </w:rPr>
              <w:t>《污水综合排放标准》（GB8978-1996）三级标准后经市政污水管网进入银翔新城污水处理厂处理达标后排入柏水溪再汇入嘉陵江。</w:t>
            </w:r>
          </w:p>
        </w:tc>
        <w:tc>
          <w:tcPr>
            <w:tcW w:w="1221" w:type="pct"/>
            <w:vAlign w:val="center"/>
          </w:tcPr>
          <w:p w14:paraId="4411FD67">
            <w:pPr>
              <w:adjustRightInd w:val="0"/>
              <w:snapToGrid w:val="0"/>
              <w:jc w:val="center"/>
              <w:rPr>
                <w:color w:val="auto"/>
                <w:sz w:val="22"/>
                <w:szCs w:val="22"/>
                <w:highlight w:val="none"/>
              </w:rPr>
            </w:pPr>
            <w:r>
              <w:rPr>
                <w:rFonts w:hint="eastAsia"/>
                <w:color w:val="auto"/>
                <w:sz w:val="22"/>
                <w:szCs w:val="22"/>
                <w:highlight w:val="none"/>
              </w:rPr>
              <w:t>《污水综合排放标准》（GB8978-1996）三级标准（NH</w:t>
            </w:r>
            <w:r>
              <w:rPr>
                <w:rFonts w:hint="eastAsia"/>
                <w:color w:val="auto"/>
                <w:sz w:val="22"/>
                <w:szCs w:val="22"/>
                <w:highlight w:val="none"/>
                <w:vertAlign w:val="subscript"/>
              </w:rPr>
              <w:t>3</w:t>
            </w:r>
            <w:r>
              <w:rPr>
                <w:rFonts w:hint="eastAsia"/>
                <w:color w:val="auto"/>
                <w:sz w:val="22"/>
                <w:szCs w:val="22"/>
                <w:highlight w:val="none"/>
              </w:rPr>
              <w:t>-N、TP参照执行《污水排入城镇下水道水质标准》GB/T31962-2015B级标准）</w:t>
            </w:r>
          </w:p>
        </w:tc>
      </w:tr>
      <w:tr w14:paraId="273872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9" w:type="pct"/>
            <w:vAlign w:val="center"/>
          </w:tcPr>
          <w:p w14:paraId="4D4E1E7A">
            <w:pPr>
              <w:adjustRightInd w:val="0"/>
              <w:snapToGrid w:val="0"/>
              <w:jc w:val="center"/>
              <w:rPr>
                <w:color w:val="auto"/>
                <w:sz w:val="22"/>
                <w:szCs w:val="22"/>
                <w:highlight w:val="none"/>
              </w:rPr>
            </w:pPr>
            <w:r>
              <w:rPr>
                <w:color w:val="auto"/>
                <w:sz w:val="22"/>
                <w:szCs w:val="22"/>
                <w:highlight w:val="none"/>
              </w:rPr>
              <w:t>声环境</w:t>
            </w:r>
          </w:p>
        </w:tc>
        <w:tc>
          <w:tcPr>
            <w:tcW w:w="715" w:type="pct"/>
            <w:vAlign w:val="center"/>
          </w:tcPr>
          <w:p w14:paraId="1B0A5621">
            <w:pPr>
              <w:adjustRightInd w:val="0"/>
              <w:snapToGrid w:val="0"/>
              <w:jc w:val="center"/>
              <w:rPr>
                <w:color w:val="auto"/>
                <w:sz w:val="22"/>
                <w:szCs w:val="22"/>
                <w:highlight w:val="none"/>
              </w:rPr>
            </w:pPr>
            <w:r>
              <w:rPr>
                <w:rFonts w:hint="eastAsia"/>
                <w:color w:val="auto"/>
                <w:sz w:val="22"/>
                <w:szCs w:val="22"/>
                <w:highlight w:val="none"/>
              </w:rPr>
              <w:t>冲压、切割、焊接机、空压机等</w:t>
            </w:r>
            <w:r>
              <w:rPr>
                <w:color w:val="auto"/>
                <w:sz w:val="22"/>
                <w:szCs w:val="22"/>
                <w:highlight w:val="none"/>
              </w:rPr>
              <w:t>设备</w:t>
            </w:r>
          </w:p>
        </w:tc>
        <w:tc>
          <w:tcPr>
            <w:tcW w:w="611" w:type="pct"/>
            <w:vAlign w:val="center"/>
          </w:tcPr>
          <w:p w14:paraId="39F01070">
            <w:pPr>
              <w:adjustRightInd w:val="0"/>
              <w:snapToGrid w:val="0"/>
              <w:jc w:val="center"/>
              <w:rPr>
                <w:color w:val="auto"/>
                <w:sz w:val="22"/>
                <w:szCs w:val="22"/>
                <w:highlight w:val="none"/>
              </w:rPr>
            </w:pPr>
            <w:r>
              <w:rPr>
                <w:color w:val="auto"/>
                <w:sz w:val="22"/>
                <w:szCs w:val="22"/>
                <w:highlight w:val="none"/>
              </w:rPr>
              <w:t>噪声</w:t>
            </w:r>
          </w:p>
        </w:tc>
        <w:tc>
          <w:tcPr>
            <w:tcW w:w="1821" w:type="pct"/>
            <w:vAlign w:val="center"/>
          </w:tcPr>
          <w:p w14:paraId="36F68D7B">
            <w:pPr>
              <w:adjustRightInd w:val="0"/>
              <w:snapToGrid w:val="0"/>
              <w:jc w:val="center"/>
              <w:rPr>
                <w:color w:val="auto"/>
                <w:sz w:val="22"/>
                <w:szCs w:val="22"/>
                <w:highlight w:val="none"/>
              </w:rPr>
            </w:pPr>
            <w:r>
              <w:rPr>
                <w:rFonts w:hint="eastAsia"/>
                <w:color w:val="auto"/>
                <w:sz w:val="22"/>
                <w:szCs w:val="22"/>
                <w:highlight w:val="none"/>
              </w:rPr>
              <w:t>优选低噪声设备、基础减振等，设备置于厂房内、建筑隔声。</w:t>
            </w:r>
          </w:p>
        </w:tc>
        <w:tc>
          <w:tcPr>
            <w:tcW w:w="1221" w:type="pct"/>
            <w:vAlign w:val="center"/>
          </w:tcPr>
          <w:p w14:paraId="256B0640">
            <w:pPr>
              <w:adjustRightInd w:val="0"/>
              <w:snapToGrid w:val="0"/>
              <w:jc w:val="center"/>
              <w:rPr>
                <w:color w:val="auto"/>
                <w:sz w:val="22"/>
                <w:szCs w:val="22"/>
                <w:highlight w:val="none"/>
              </w:rPr>
            </w:pPr>
            <w:r>
              <w:rPr>
                <w:color w:val="auto"/>
                <w:sz w:val="22"/>
                <w:szCs w:val="22"/>
                <w:highlight w:val="none"/>
              </w:rPr>
              <w:t>《工业企业厂界环境噪声排放标准》（GB 12348-2008）中3类标准</w:t>
            </w:r>
          </w:p>
        </w:tc>
      </w:tr>
      <w:tr w14:paraId="58BF4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9" w:type="pct"/>
            <w:vAlign w:val="center"/>
          </w:tcPr>
          <w:p w14:paraId="72F8044C">
            <w:pPr>
              <w:adjustRightInd w:val="0"/>
              <w:snapToGrid w:val="0"/>
              <w:jc w:val="center"/>
              <w:rPr>
                <w:color w:val="auto"/>
                <w:sz w:val="22"/>
                <w:szCs w:val="22"/>
                <w:highlight w:val="none"/>
              </w:rPr>
            </w:pPr>
            <w:r>
              <w:rPr>
                <w:color w:val="auto"/>
                <w:sz w:val="22"/>
                <w:szCs w:val="22"/>
                <w:highlight w:val="none"/>
              </w:rPr>
              <w:t>电磁辐射</w:t>
            </w:r>
          </w:p>
        </w:tc>
        <w:tc>
          <w:tcPr>
            <w:tcW w:w="4370" w:type="pct"/>
            <w:gridSpan w:val="4"/>
            <w:vAlign w:val="center"/>
          </w:tcPr>
          <w:p w14:paraId="359D348A">
            <w:pPr>
              <w:adjustRightInd w:val="0"/>
              <w:snapToGrid w:val="0"/>
              <w:jc w:val="center"/>
              <w:rPr>
                <w:color w:val="auto"/>
                <w:sz w:val="22"/>
                <w:szCs w:val="22"/>
                <w:highlight w:val="none"/>
              </w:rPr>
            </w:pPr>
            <w:r>
              <w:rPr>
                <w:color w:val="auto"/>
                <w:sz w:val="22"/>
                <w:szCs w:val="22"/>
                <w:highlight w:val="none"/>
              </w:rPr>
              <w:t>不涉及</w:t>
            </w:r>
          </w:p>
        </w:tc>
      </w:tr>
      <w:tr w14:paraId="1C301A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29" w:type="pct"/>
            <w:vAlign w:val="center"/>
          </w:tcPr>
          <w:p w14:paraId="43B071E5">
            <w:pPr>
              <w:adjustRightInd w:val="0"/>
              <w:snapToGrid w:val="0"/>
              <w:jc w:val="center"/>
              <w:rPr>
                <w:color w:val="auto"/>
                <w:sz w:val="22"/>
                <w:szCs w:val="22"/>
                <w:highlight w:val="none"/>
              </w:rPr>
            </w:pPr>
            <w:r>
              <w:rPr>
                <w:color w:val="auto"/>
                <w:sz w:val="22"/>
                <w:szCs w:val="22"/>
                <w:highlight w:val="none"/>
              </w:rPr>
              <w:t>固体废物</w:t>
            </w:r>
          </w:p>
        </w:tc>
        <w:tc>
          <w:tcPr>
            <w:tcW w:w="4370" w:type="pct"/>
            <w:gridSpan w:val="4"/>
            <w:vAlign w:val="center"/>
          </w:tcPr>
          <w:p w14:paraId="577039EE">
            <w:pPr>
              <w:pStyle w:val="79"/>
              <w:spacing w:line="240" w:lineRule="auto"/>
              <w:rPr>
                <w:b w:val="0"/>
                <w:bCs w:val="0"/>
                <w:color w:val="auto"/>
                <w:kern w:val="2"/>
                <w:sz w:val="22"/>
                <w:szCs w:val="22"/>
                <w:highlight w:val="none"/>
              </w:rPr>
            </w:pPr>
            <w:r>
              <w:rPr>
                <w:rFonts w:hint="eastAsia"/>
                <w:b w:val="0"/>
                <w:bCs w:val="0"/>
                <w:color w:val="auto"/>
                <w:kern w:val="2"/>
                <w:sz w:val="22"/>
                <w:szCs w:val="22"/>
                <w:highlight w:val="none"/>
              </w:rPr>
              <w:t>①运行过程建立全过程的固废污染环境防治责任制度，建立工业固体废物管理台账。</w:t>
            </w:r>
          </w:p>
          <w:p w14:paraId="553C064F">
            <w:pPr>
              <w:pStyle w:val="79"/>
              <w:spacing w:line="240" w:lineRule="auto"/>
              <w:rPr>
                <w:b w:val="0"/>
                <w:bCs w:val="0"/>
                <w:color w:val="auto"/>
                <w:kern w:val="2"/>
                <w:sz w:val="22"/>
                <w:szCs w:val="22"/>
                <w:highlight w:val="none"/>
              </w:rPr>
            </w:pPr>
            <w:r>
              <w:rPr>
                <w:rFonts w:hint="eastAsia"/>
                <w:b w:val="0"/>
                <w:bCs w:val="0"/>
                <w:color w:val="auto"/>
                <w:kern w:val="2"/>
                <w:sz w:val="22"/>
                <w:szCs w:val="22"/>
                <w:highlight w:val="none"/>
              </w:rPr>
              <w:t>②生活垃圾统一收集后交由环卫部门统一处理。</w:t>
            </w:r>
          </w:p>
          <w:p w14:paraId="7C98A77F">
            <w:pPr>
              <w:pStyle w:val="79"/>
              <w:spacing w:line="240" w:lineRule="auto"/>
              <w:rPr>
                <w:b w:val="0"/>
                <w:color w:val="auto"/>
                <w:sz w:val="22"/>
                <w:szCs w:val="22"/>
                <w:highlight w:val="none"/>
              </w:rPr>
            </w:pPr>
            <w:r>
              <w:rPr>
                <w:rFonts w:hint="eastAsia"/>
                <w:b w:val="0"/>
                <w:bCs w:val="0"/>
                <w:color w:val="auto"/>
                <w:kern w:val="2"/>
                <w:sz w:val="22"/>
                <w:szCs w:val="22"/>
                <w:highlight w:val="none"/>
              </w:rPr>
              <w:t>③一般废包装材料、废焊丝、废模具维护耗材、废滤芯、除尘灰暂存于一般工业固废暂存间，定期交由物资回收单位回收处置；废金属边角料、不合格产品压块打包后暂存于一般工业固废暂存间，定期交由物资回收单位回收处置；综合生化池生化污泥定期清掏废物。一般工业固废暂存间采取相应防渗漏、防雨淋、防扬尘措施。</w:t>
            </w:r>
          </w:p>
          <w:p w14:paraId="0EBE0C71">
            <w:pPr>
              <w:pStyle w:val="79"/>
              <w:spacing w:line="240" w:lineRule="auto"/>
              <w:rPr>
                <w:b w:val="0"/>
                <w:color w:val="auto"/>
                <w:sz w:val="22"/>
                <w:szCs w:val="22"/>
                <w:highlight w:val="none"/>
              </w:rPr>
            </w:pPr>
            <w:r>
              <w:rPr>
                <w:rFonts w:hint="eastAsia"/>
                <w:b w:val="0"/>
                <w:bCs w:val="0"/>
                <w:color w:val="auto"/>
                <w:kern w:val="2"/>
                <w:sz w:val="22"/>
                <w:szCs w:val="22"/>
                <w:highlight w:val="none"/>
              </w:rPr>
              <w:t>④废胶瓶、废油桶、废润滑油、</w:t>
            </w:r>
            <w:r>
              <w:rPr>
                <w:rFonts w:hint="eastAsia"/>
                <w:b w:val="0"/>
                <w:bCs w:val="0"/>
                <w:color w:val="auto"/>
                <w:kern w:val="2"/>
                <w:sz w:val="22"/>
                <w:szCs w:val="22"/>
                <w:highlight w:val="none"/>
                <w:lang w:eastAsia="zh-CN"/>
              </w:rPr>
              <w:t>维修</w:t>
            </w:r>
            <w:r>
              <w:rPr>
                <w:rFonts w:hint="eastAsia"/>
                <w:b w:val="0"/>
                <w:bCs w:val="0"/>
                <w:color w:val="auto"/>
                <w:kern w:val="2"/>
                <w:sz w:val="22"/>
                <w:szCs w:val="22"/>
                <w:highlight w:val="none"/>
              </w:rPr>
              <w:t>废液压油、</w:t>
            </w:r>
            <w:r>
              <w:rPr>
                <w:rFonts w:hint="eastAsia"/>
                <w:b w:val="0"/>
                <w:bCs w:val="0"/>
                <w:color w:val="auto"/>
                <w:kern w:val="2"/>
                <w:sz w:val="22"/>
                <w:szCs w:val="22"/>
                <w:highlight w:val="none"/>
                <w:lang w:eastAsia="zh-CN"/>
              </w:rPr>
              <w:t>空压机含油废液、</w:t>
            </w:r>
            <w:r>
              <w:rPr>
                <w:rFonts w:hint="eastAsia"/>
                <w:b w:val="0"/>
                <w:bCs w:val="0"/>
                <w:color w:val="auto"/>
                <w:kern w:val="2"/>
                <w:sz w:val="22"/>
                <w:szCs w:val="22"/>
                <w:highlight w:val="none"/>
              </w:rPr>
              <w:t>废含油棉纱手套、废含油抹布等危险废物分类暂存于危险废物贮存点，定期交由有资质的单位处理。危险废物贮存点按照《危险废物贮存污染控制标准》（GB 18597—2023）的要求规范建设和维护管理：贮存点应具有固定的区域边界，并应采取与其他区域进行隔离的措施；采取防风、防雨、防晒和防止危险废物流失、扬散等措施；贮存的危险废物应置于容器或包装物中，不应直接散堆；贮存液态危险废物（如废润滑油、废液压油等）的，应具有液体泄漏堵截设施（设置围堰或下方设置托盘进行液体泄漏堵截等）；地面与裙脚应采取表面防渗措施，同时地面进行基础防渗；含油废物等可能产生废气的危险废物置于闭口容器内；贮存点应及时清运贮存的危险废物，实时贮存量不应超过3t，液压油更换时一次性产生的废液压油</w:t>
            </w:r>
            <w:r>
              <w:rPr>
                <w:rFonts w:hint="eastAsia"/>
                <w:b w:val="0"/>
                <w:bCs w:val="0"/>
                <w:color w:val="auto"/>
                <w:kern w:val="2"/>
                <w:sz w:val="22"/>
                <w:szCs w:val="22"/>
                <w:highlight w:val="none"/>
                <w:lang w:eastAsia="zh-CN"/>
              </w:rPr>
              <w:t>（超过</w:t>
            </w:r>
            <w:r>
              <w:rPr>
                <w:rFonts w:hint="eastAsia"/>
                <w:b w:val="0"/>
                <w:bCs w:val="0"/>
                <w:color w:val="auto"/>
                <w:kern w:val="2"/>
                <w:sz w:val="22"/>
                <w:szCs w:val="22"/>
                <w:highlight w:val="none"/>
                <w:lang w:val="en-US" w:eastAsia="zh-CN"/>
              </w:rPr>
              <w:t>3t</w:t>
            </w:r>
            <w:r>
              <w:rPr>
                <w:rFonts w:hint="eastAsia"/>
                <w:b w:val="0"/>
                <w:bCs w:val="0"/>
                <w:color w:val="auto"/>
                <w:kern w:val="2"/>
                <w:sz w:val="22"/>
                <w:szCs w:val="22"/>
                <w:highlight w:val="none"/>
                <w:lang w:eastAsia="zh-CN"/>
              </w:rPr>
              <w:t>）在更换时提前联系资质单位，更换后立即转运交由有资质单位处置</w:t>
            </w:r>
            <w:r>
              <w:rPr>
                <w:rFonts w:hint="eastAsia"/>
                <w:b w:val="0"/>
                <w:bCs w:val="0"/>
                <w:color w:val="auto"/>
                <w:kern w:val="2"/>
                <w:sz w:val="22"/>
                <w:szCs w:val="22"/>
                <w:highlight w:val="none"/>
              </w:rPr>
              <w:t>，不在厂区内暂存。危险废物在转移过程中需遵守《危险废物转移管理办法》中的相关规定；按照《危险废物管理计划和管理台账制定技术导则》（HJ 1259—2022）要求，制定危险废物管理计划和管理台账。</w:t>
            </w:r>
          </w:p>
        </w:tc>
      </w:tr>
      <w:tr w14:paraId="6A8ED7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629" w:type="pct"/>
            <w:vAlign w:val="center"/>
          </w:tcPr>
          <w:p w14:paraId="6EACAB91">
            <w:pPr>
              <w:adjustRightInd w:val="0"/>
              <w:snapToGrid w:val="0"/>
              <w:jc w:val="center"/>
              <w:rPr>
                <w:color w:val="auto"/>
                <w:sz w:val="22"/>
                <w:szCs w:val="22"/>
                <w:highlight w:val="none"/>
              </w:rPr>
            </w:pPr>
            <w:r>
              <w:rPr>
                <w:color w:val="auto"/>
                <w:sz w:val="22"/>
                <w:szCs w:val="22"/>
                <w:highlight w:val="none"/>
              </w:rPr>
              <w:t>土壤及地下水污染防治措施</w:t>
            </w:r>
          </w:p>
        </w:tc>
        <w:tc>
          <w:tcPr>
            <w:tcW w:w="4370" w:type="pct"/>
            <w:gridSpan w:val="4"/>
            <w:vAlign w:val="center"/>
          </w:tcPr>
          <w:p w14:paraId="47A4C411">
            <w:pPr>
              <w:adjustRightInd w:val="0"/>
              <w:snapToGrid w:val="0"/>
              <w:jc w:val="left"/>
              <w:rPr>
                <w:color w:val="auto"/>
                <w:sz w:val="22"/>
                <w:szCs w:val="22"/>
                <w:highlight w:val="none"/>
              </w:rPr>
            </w:pPr>
            <w:r>
              <w:rPr>
                <w:rFonts w:hint="eastAsia"/>
                <w:color w:val="auto"/>
                <w:sz w:val="22"/>
                <w:szCs w:val="22"/>
                <w:highlight w:val="none"/>
              </w:rPr>
              <w:t>本次项目厂区内采取分区防渗措施，油料库、危险废物贮存点</w:t>
            </w:r>
            <w:r>
              <w:rPr>
                <w:rFonts w:hint="eastAsia"/>
                <w:color w:val="auto"/>
                <w:sz w:val="22"/>
                <w:szCs w:val="22"/>
                <w:highlight w:val="none"/>
                <w:lang w:eastAsia="zh-CN"/>
              </w:rPr>
              <w:t>、液压机集油箱所在区域</w:t>
            </w:r>
            <w:r>
              <w:rPr>
                <w:rFonts w:hint="eastAsia"/>
                <w:color w:val="auto"/>
                <w:sz w:val="22"/>
                <w:szCs w:val="22"/>
                <w:highlight w:val="none"/>
              </w:rPr>
              <w:t>为重点防渗区；油压机、涂胶机区域为一般防渗区；其他区域为简单防渗区。可依托合川工业园区自行监测体系建立项目土壤、地下水环境监测制度。制定地下水污染应急响应制度，明确污废水发生泄漏情况下应采取的污染源控制措施及切断污染途径的措施。</w:t>
            </w:r>
          </w:p>
        </w:tc>
      </w:tr>
      <w:tr w14:paraId="19181D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29" w:type="pct"/>
            <w:vAlign w:val="center"/>
          </w:tcPr>
          <w:p w14:paraId="29176497">
            <w:pPr>
              <w:adjustRightInd w:val="0"/>
              <w:snapToGrid w:val="0"/>
              <w:jc w:val="center"/>
              <w:rPr>
                <w:color w:val="auto"/>
                <w:sz w:val="22"/>
                <w:szCs w:val="22"/>
                <w:highlight w:val="none"/>
              </w:rPr>
            </w:pPr>
            <w:r>
              <w:rPr>
                <w:color w:val="auto"/>
                <w:sz w:val="22"/>
                <w:szCs w:val="22"/>
                <w:highlight w:val="none"/>
              </w:rPr>
              <w:t>生态保护措施</w:t>
            </w:r>
          </w:p>
        </w:tc>
        <w:tc>
          <w:tcPr>
            <w:tcW w:w="4370" w:type="pct"/>
            <w:gridSpan w:val="4"/>
            <w:vAlign w:val="center"/>
          </w:tcPr>
          <w:p w14:paraId="1F2BB99E">
            <w:pPr>
              <w:adjustRightInd w:val="0"/>
              <w:snapToGrid w:val="0"/>
              <w:jc w:val="center"/>
              <w:rPr>
                <w:color w:val="auto"/>
                <w:sz w:val="22"/>
                <w:szCs w:val="22"/>
                <w:highlight w:val="none"/>
              </w:rPr>
            </w:pPr>
            <w:r>
              <w:rPr>
                <w:color w:val="auto"/>
                <w:sz w:val="22"/>
                <w:szCs w:val="22"/>
                <w:highlight w:val="none"/>
              </w:rPr>
              <w:t xml:space="preserve">/ </w:t>
            </w:r>
          </w:p>
        </w:tc>
      </w:tr>
      <w:tr w14:paraId="041D4F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29" w:type="pct"/>
            <w:vAlign w:val="center"/>
          </w:tcPr>
          <w:p w14:paraId="2627054E">
            <w:pPr>
              <w:adjustRightInd w:val="0"/>
              <w:snapToGrid w:val="0"/>
              <w:jc w:val="center"/>
              <w:rPr>
                <w:color w:val="auto"/>
                <w:spacing w:val="-8"/>
                <w:sz w:val="22"/>
                <w:szCs w:val="22"/>
                <w:highlight w:val="none"/>
              </w:rPr>
            </w:pPr>
            <w:r>
              <w:rPr>
                <w:color w:val="auto"/>
                <w:spacing w:val="-8"/>
                <w:sz w:val="22"/>
                <w:szCs w:val="22"/>
                <w:highlight w:val="none"/>
              </w:rPr>
              <w:t>环境风险</w:t>
            </w:r>
          </w:p>
          <w:p w14:paraId="68DA69FD">
            <w:pPr>
              <w:adjustRightInd w:val="0"/>
              <w:snapToGrid w:val="0"/>
              <w:jc w:val="center"/>
              <w:rPr>
                <w:color w:val="auto"/>
                <w:spacing w:val="-8"/>
                <w:sz w:val="22"/>
                <w:szCs w:val="22"/>
                <w:highlight w:val="none"/>
              </w:rPr>
            </w:pPr>
            <w:r>
              <w:rPr>
                <w:color w:val="auto"/>
                <w:spacing w:val="-8"/>
                <w:sz w:val="22"/>
                <w:szCs w:val="22"/>
                <w:highlight w:val="none"/>
              </w:rPr>
              <w:t>防范措施</w:t>
            </w:r>
          </w:p>
        </w:tc>
        <w:tc>
          <w:tcPr>
            <w:tcW w:w="4370" w:type="pct"/>
            <w:gridSpan w:val="4"/>
          </w:tcPr>
          <w:p w14:paraId="2A1B530E">
            <w:pPr>
              <w:adjustRightInd w:val="0"/>
              <w:snapToGrid w:val="0"/>
              <w:rPr>
                <w:color w:val="auto"/>
                <w:sz w:val="22"/>
                <w:szCs w:val="22"/>
                <w:highlight w:val="none"/>
              </w:rPr>
            </w:pPr>
            <w:r>
              <w:rPr>
                <w:rFonts w:hint="eastAsia" w:ascii="宋体" w:hAnsi="宋体" w:cs="宋体"/>
                <w:color w:val="auto"/>
                <w:sz w:val="22"/>
                <w:szCs w:val="22"/>
                <w:highlight w:val="none"/>
              </w:rPr>
              <w:t>①</w:t>
            </w:r>
            <w:r>
              <w:rPr>
                <w:rFonts w:hint="eastAsia"/>
                <w:color w:val="auto"/>
                <w:sz w:val="22"/>
                <w:szCs w:val="22"/>
                <w:highlight w:val="none"/>
              </w:rPr>
              <w:t>加强管理，购买符合相应国家标准的规定原材料，建立日常巡视制度。</w:t>
            </w:r>
          </w:p>
          <w:p w14:paraId="63F0E20B">
            <w:pPr>
              <w:adjustRightInd w:val="0"/>
              <w:snapToGrid w:val="0"/>
              <w:rPr>
                <w:color w:val="auto"/>
                <w:sz w:val="22"/>
                <w:szCs w:val="22"/>
                <w:highlight w:val="none"/>
              </w:rPr>
            </w:pPr>
            <w:r>
              <w:rPr>
                <w:rFonts w:hint="eastAsia" w:ascii="宋体" w:hAnsi="宋体" w:cs="宋体"/>
                <w:color w:val="auto"/>
                <w:sz w:val="22"/>
                <w:szCs w:val="22"/>
                <w:highlight w:val="none"/>
              </w:rPr>
              <w:t>②液压油储存在液压机油箱内，油箱已做防渗处理，液压机设备</w:t>
            </w:r>
            <w:bookmarkStart w:id="101" w:name="hmcheck_a8d89f8165fc44c0a469bf43c0ca75c2"/>
            <w:r>
              <w:rPr>
                <w:rFonts w:hint="eastAsia" w:ascii="宋体" w:hAnsi="宋体" w:cs="宋体"/>
                <w:color w:val="auto"/>
                <w:sz w:val="22"/>
                <w:szCs w:val="22"/>
                <w:highlight w:val="none"/>
                <w:shd w:val="clear" w:fill="B2E9BC"/>
                <w:lang w:eastAsia="zh-CN"/>
              </w:rPr>
              <w:t>下方</w:t>
            </w:r>
            <w:bookmarkEnd w:id="101"/>
            <w:r>
              <w:rPr>
                <w:rFonts w:hint="eastAsia" w:ascii="宋体" w:hAnsi="宋体" w:cs="宋体"/>
                <w:color w:val="auto"/>
                <w:sz w:val="22"/>
                <w:szCs w:val="22"/>
                <w:highlight w:val="none"/>
              </w:rPr>
              <w:t>设置集油箱及导油管，用于收集油箱破损时泄露的液压油，集油箱所在区域做表面按重点防渗区采取防渗措施，集油箱非事故状态下保持空置状态；</w:t>
            </w:r>
            <w:r>
              <w:rPr>
                <w:rFonts w:hint="eastAsia"/>
                <w:color w:val="auto"/>
                <w:sz w:val="22"/>
                <w:szCs w:val="22"/>
                <w:highlight w:val="none"/>
              </w:rPr>
              <w:t>润滑油、液压油采用专用桶密封装暂存于油料库；危险废物采用专用桶或容器封装后暂存危废贮存点，分类收集；油料库及危险废物贮存点盛装容器周围设置液体泄漏堵截设施，并作为重点防渗区；危险废物贮存点严格按照《危险废物贮存污染控制标准》中有关要求建设；预留空桶，方便泄漏时及时转桶。</w:t>
            </w:r>
          </w:p>
          <w:p w14:paraId="5D1904A2">
            <w:pPr>
              <w:adjustRightInd w:val="0"/>
              <w:snapToGrid w:val="0"/>
              <w:rPr>
                <w:color w:val="auto"/>
                <w:sz w:val="22"/>
                <w:szCs w:val="22"/>
                <w:highlight w:val="none"/>
              </w:rPr>
            </w:pPr>
            <w:r>
              <w:rPr>
                <w:rFonts w:hint="eastAsia" w:ascii="宋体" w:hAnsi="宋体" w:cs="宋体"/>
                <w:color w:val="auto"/>
                <w:sz w:val="22"/>
                <w:szCs w:val="22"/>
                <w:highlight w:val="none"/>
              </w:rPr>
              <w:t>③</w:t>
            </w:r>
            <w:r>
              <w:rPr>
                <w:rFonts w:hint="eastAsia"/>
                <w:color w:val="auto"/>
                <w:sz w:val="22"/>
                <w:szCs w:val="22"/>
                <w:highlight w:val="none"/>
              </w:rPr>
              <w:t>油料库、气库、危险废物贮存点须阴凉、干燥、通风良好，远离火源、热源及阳光直射，与易燃、可燃物等分开存放，设立防火标志。乙炔瓶应与氧气瓶等易燃易爆物品分室存放，并保持安全距离；乙炔瓶应该直立放置，并采取防倾倒措施（如固定架或链条）；乙炔操作区域</w:t>
            </w:r>
            <w:r>
              <w:rPr>
                <w:rFonts w:hint="eastAsia"/>
                <w:color w:val="auto"/>
                <w:sz w:val="22"/>
                <w:szCs w:val="22"/>
                <w:highlight w:val="none"/>
                <w:lang w:eastAsia="zh-CN"/>
              </w:rPr>
              <w:t>需加强通风、排风</w:t>
            </w:r>
            <w:r>
              <w:rPr>
                <w:rFonts w:hint="eastAsia"/>
                <w:color w:val="auto"/>
                <w:sz w:val="22"/>
                <w:szCs w:val="22"/>
                <w:highlight w:val="none"/>
              </w:rPr>
              <w:t>，确保乙炔浓度低于爆炸下限（2.1%），储存及使用区域安装乙炔浓度检测报警仪。</w:t>
            </w:r>
          </w:p>
          <w:p w14:paraId="36E44768">
            <w:pPr>
              <w:adjustRightInd w:val="0"/>
              <w:snapToGrid w:val="0"/>
              <w:rPr>
                <w:color w:val="auto"/>
                <w:sz w:val="22"/>
                <w:szCs w:val="22"/>
                <w:highlight w:val="none"/>
              </w:rPr>
            </w:pPr>
            <w:r>
              <w:rPr>
                <w:rFonts w:hint="eastAsia" w:ascii="宋体" w:hAnsi="宋体" w:cs="宋体"/>
                <w:color w:val="auto"/>
                <w:sz w:val="22"/>
                <w:szCs w:val="22"/>
                <w:highlight w:val="none"/>
              </w:rPr>
              <w:t>④</w:t>
            </w:r>
            <w:r>
              <w:rPr>
                <w:rFonts w:hint="eastAsia"/>
                <w:color w:val="auto"/>
                <w:sz w:val="22"/>
                <w:szCs w:val="22"/>
                <w:highlight w:val="none"/>
              </w:rPr>
              <w:t>配备应急设备及物资，成立应急领导小组。</w:t>
            </w:r>
          </w:p>
        </w:tc>
      </w:tr>
      <w:tr w14:paraId="058F0E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629" w:type="pct"/>
            <w:vAlign w:val="center"/>
          </w:tcPr>
          <w:p w14:paraId="540ED93D">
            <w:pPr>
              <w:adjustRightInd w:val="0"/>
              <w:snapToGrid w:val="0"/>
              <w:jc w:val="center"/>
              <w:rPr>
                <w:color w:val="auto"/>
                <w:spacing w:val="-8"/>
                <w:sz w:val="22"/>
                <w:szCs w:val="22"/>
                <w:highlight w:val="none"/>
              </w:rPr>
            </w:pPr>
            <w:r>
              <w:rPr>
                <w:color w:val="auto"/>
                <w:spacing w:val="-8"/>
                <w:sz w:val="22"/>
                <w:szCs w:val="22"/>
                <w:highlight w:val="none"/>
              </w:rPr>
              <w:t>其他环境</w:t>
            </w:r>
          </w:p>
          <w:p w14:paraId="32D6E4E9">
            <w:pPr>
              <w:adjustRightInd w:val="0"/>
              <w:snapToGrid w:val="0"/>
              <w:jc w:val="center"/>
              <w:rPr>
                <w:color w:val="auto"/>
                <w:spacing w:val="-8"/>
                <w:sz w:val="22"/>
                <w:szCs w:val="22"/>
                <w:highlight w:val="none"/>
              </w:rPr>
            </w:pPr>
            <w:r>
              <w:rPr>
                <w:color w:val="auto"/>
                <w:spacing w:val="-8"/>
                <w:sz w:val="22"/>
                <w:szCs w:val="22"/>
                <w:highlight w:val="none"/>
              </w:rPr>
              <w:t>管理要求</w:t>
            </w:r>
          </w:p>
        </w:tc>
        <w:tc>
          <w:tcPr>
            <w:tcW w:w="4370" w:type="pct"/>
            <w:gridSpan w:val="4"/>
            <w:vAlign w:val="center"/>
          </w:tcPr>
          <w:p w14:paraId="78E50E7D">
            <w:pPr>
              <w:adjustRightInd w:val="0"/>
              <w:snapToGrid w:val="0"/>
              <w:jc w:val="center"/>
              <w:rPr>
                <w:color w:val="auto"/>
                <w:sz w:val="22"/>
                <w:szCs w:val="22"/>
                <w:highlight w:val="none"/>
              </w:rPr>
            </w:pPr>
            <w:r>
              <w:rPr>
                <w:rFonts w:hint="eastAsia"/>
                <w:color w:val="auto"/>
                <w:sz w:val="22"/>
                <w:szCs w:val="22"/>
                <w:highlight w:val="none"/>
              </w:rPr>
              <w:t>加强操作人员安全生产和环境保护知识，制定严格的安全环保操作规程防止意外事故的发生；按规定办理排污许可证，按照危废管理类别建立危废台账，建立废气治理设施运行制度，建立废气治理设施运行台账，定期检修废气治理设施，保证废气治理设施正常运行，确保达标排放；按照相关规定设置标识标牌；按照《排污单位自行监测技术指南 总则》（HJ 819-2017）、《排污许可证申请与核发技术规范 汽车制造业》（HJ971-2018）、《企业事业单位环境信息公开办法》（环境保护部令 第31号）要求开展日常环境监管及信息公开。</w:t>
            </w:r>
          </w:p>
        </w:tc>
      </w:tr>
    </w:tbl>
    <w:p w14:paraId="4D983179">
      <w:pPr>
        <w:pStyle w:val="15"/>
        <w:outlineLvl w:val="0"/>
        <w:rPr>
          <w:snapToGrid w:val="0"/>
          <w:color w:val="auto"/>
          <w:highlight w:val="none"/>
        </w:rPr>
        <w:sectPr>
          <w:pgSz w:w="11906" w:h="16838"/>
          <w:pgMar w:top="1701" w:right="1531" w:bottom="1701" w:left="1531" w:header="851" w:footer="851" w:gutter="0"/>
          <w:cols w:space="720" w:num="1"/>
          <w:docGrid w:linePitch="312" w:charSpace="0"/>
        </w:sectPr>
      </w:pPr>
    </w:p>
    <w:p w14:paraId="03D735E0">
      <w:pPr>
        <w:pStyle w:val="15"/>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六、结论</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2C626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29233131">
            <w:pPr>
              <w:spacing w:line="480" w:lineRule="exact"/>
              <w:ind w:firstLine="520" w:firstLineChars="200"/>
              <w:rPr>
                <w:rFonts w:ascii="宋体" w:cs="宋体"/>
                <w:color w:val="auto"/>
                <w:sz w:val="26"/>
                <w:szCs w:val="26"/>
                <w:highlight w:val="none"/>
              </w:rPr>
            </w:pPr>
            <w:r>
              <w:rPr>
                <w:rFonts w:hint="eastAsia" w:ascii="宋体" w:cs="宋体"/>
                <w:color w:val="auto"/>
                <w:sz w:val="26"/>
                <w:szCs w:val="26"/>
                <w:highlight w:val="none"/>
              </w:rPr>
              <w:t>本项目符合国家、重庆市、合川区的产业政策、符合生态环境分区管控要求、符合相关生态环境保护规划及政策文件，符合园区规划及规划环评要求。项目实施产生的各类污染物在采取污染防治措施后其不利影响能得到有效治理和控制，能为环境所接受，不会改变区域环境功能。采取严格的风险防范措施后，项目环境风险可防可控。</w:t>
            </w:r>
          </w:p>
          <w:p w14:paraId="2E78DA4A">
            <w:pPr>
              <w:spacing w:line="480" w:lineRule="exact"/>
              <w:ind w:firstLine="520" w:firstLineChars="200"/>
              <w:rPr>
                <w:rFonts w:ascii="宋体" w:cs="宋体"/>
                <w:color w:val="auto"/>
                <w:sz w:val="26"/>
                <w:szCs w:val="26"/>
                <w:highlight w:val="none"/>
              </w:rPr>
            </w:pPr>
            <w:r>
              <w:rPr>
                <w:rFonts w:hint="eastAsia" w:ascii="宋体" w:cs="宋体"/>
                <w:color w:val="auto"/>
                <w:sz w:val="26"/>
                <w:szCs w:val="26"/>
                <w:highlight w:val="none"/>
              </w:rPr>
              <w:t>从环境影响的角度分析，在严格落实各项污染物控制和风险防范措施后，项目建设可行。</w:t>
            </w:r>
          </w:p>
        </w:tc>
      </w:tr>
    </w:tbl>
    <w:p w14:paraId="434F7BB2">
      <w:pPr>
        <w:rPr>
          <w:rFonts w:ascii="宋体"/>
          <w:color w:val="auto"/>
          <w:highlight w:val="none"/>
        </w:rPr>
        <w:sectPr>
          <w:pgSz w:w="11906" w:h="16838"/>
          <w:pgMar w:top="1701" w:right="1531" w:bottom="1701" w:left="1531" w:header="851" w:footer="851" w:gutter="0"/>
          <w:cols w:space="720" w:num="1"/>
          <w:docGrid w:linePitch="312" w:charSpace="0"/>
        </w:sectPr>
      </w:pPr>
    </w:p>
    <w:p w14:paraId="3CDDD6BD">
      <w:pPr>
        <w:rPr>
          <w:color w:val="auto"/>
          <w:highlight w:val="none"/>
        </w:rPr>
      </w:pPr>
      <w:r>
        <w:drawing>
          <wp:inline distT="0" distB="0" distL="114300" distR="114300">
            <wp:extent cx="5615940" cy="3954145"/>
            <wp:effectExtent l="0" t="0" r="3810" b="825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1"/>
                    <a:stretch>
                      <a:fillRect/>
                    </a:stretch>
                  </pic:blipFill>
                  <pic:spPr>
                    <a:xfrm>
                      <a:off x="0" y="0"/>
                      <a:ext cx="5615940" cy="3954145"/>
                    </a:xfrm>
                    <a:prstGeom prst="rect">
                      <a:avLst/>
                    </a:prstGeom>
                    <a:noFill/>
                    <a:ln>
                      <a:noFill/>
                    </a:ln>
                  </pic:spPr>
                </pic:pic>
              </a:graphicData>
            </a:graphic>
          </wp:inline>
        </w:drawing>
      </w:r>
    </w:p>
    <w:sectPr>
      <w:footerReference r:id="rId7" w:type="default"/>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56C7E">
    <w:pPr>
      <w:pStyle w:val="1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04998">
    <w:pPr>
      <w:pStyle w:val="12"/>
      <w:framePr w:wrap="around" w:vAnchor="text" w:hAnchor="margin" w:xAlign="center" w:y="1"/>
      <w:rPr>
        <w:rStyle w:val="20"/>
      </w:rPr>
    </w:pPr>
    <w:r>
      <w:fldChar w:fldCharType="begin"/>
    </w:r>
    <w:r>
      <w:rPr>
        <w:rStyle w:val="20"/>
      </w:rPr>
      <w:instrText xml:space="preserve">PAGE  </w:instrText>
    </w:r>
    <w:r>
      <w:fldChar w:fldCharType="separate"/>
    </w:r>
    <w:r>
      <w:rPr>
        <w:rStyle w:val="20"/>
      </w:rPr>
      <w:t>0</w:t>
    </w:r>
    <w:r>
      <w:fldChar w:fldCharType="end"/>
    </w:r>
  </w:p>
  <w:p w14:paraId="1C903ACF">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A7357">
    <w:pPr>
      <w:pStyle w:val="12"/>
      <w:framePr w:wrap="around" w:vAnchor="text" w:hAnchor="margin" w:xAlign="outside" w:y="1"/>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Style w:val="20"/>
        <w:rFonts w:ascii="宋体" w:hAnsi="宋体"/>
        <w:sz w:val="26"/>
        <w:szCs w:val="26"/>
      </w:rPr>
      <w:fldChar w:fldCharType="begin"/>
    </w:r>
    <w:r>
      <w:rPr>
        <w:rStyle w:val="20"/>
        <w:rFonts w:ascii="宋体" w:hAnsi="宋体"/>
        <w:sz w:val="26"/>
        <w:szCs w:val="26"/>
      </w:rPr>
      <w:instrText xml:space="preserve">PAGE  </w:instrText>
    </w:r>
    <w:r>
      <w:rPr>
        <w:rStyle w:val="20"/>
        <w:rFonts w:ascii="宋体" w:hAnsi="宋体"/>
        <w:sz w:val="26"/>
        <w:szCs w:val="26"/>
      </w:rPr>
      <w:fldChar w:fldCharType="separate"/>
    </w:r>
    <w:r>
      <w:rPr>
        <w:rStyle w:val="20"/>
        <w:rFonts w:ascii="宋体" w:hAnsi="宋体"/>
        <w:sz w:val="26"/>
        <w:szCs w:val="26"/>
      </w:rPr>
      <w:t>20</w:t>
    </w:r>
    <w:r>
      <w:rPr>
        <w:rStyle w:val="20"/>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p w14:paraId="260EF8BC">
    <w:pPr>
      <w:pStyle w:val="12"/>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E115B">
    <w:pPr>
      <w:pStyle w:val="12"/>
      <w:framePr w:wrap="around" w:vAnchor="text" w:hAnchor="margin" w:xAlign="outside" w:y="1"/>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Style w:val="20"/>
        <w:rFonts w:ascii="宋体" w:hAnsi="宋体"/>
        <w:sz w:val="26"/>
        <w:szCs w:val="26"/>
      </w:rPr>
      <w:fldChar w:fldCharType="begin"/>
    </w:r>
    <w:r>
      <w:rPr>
        <w:rStyle w:val="20"/>
        <w:rFonts w:ascii="宋体" w:hAnsi="宋体"/>
        <w:sz w:val="26"/>
        <w:szCs w:val="26"/>
      </w:rPr>
      <w:instrText xml:space="preserve">PAGE  </w:instrText>
    </w:r>
    <w:r>
      <w:rPr>
        <w:rStyle w:val="20"/>
        <w:rFonts w:ascii="宋体" w:hAnsi="宋体"/>
        <w:sz w:val="26"/>
        <w:szCs w:val="26"/>
      </w:rPr>
      <w:fldChar w:fldCharType="separate"/>
    </w:r>
    <w:r>
      <w:rPr>
        <w:rStyle w:val="20"/>
        <w:rFonts w:ascii="宋体" w:hAnsi="宋体"/>
        <w:sz w:val="26"/>
        <w:szCs w:val="26"/>
      </w:rPr>
      <w:t>30</w:t>
    </w:r>
    <w:r>
      <w:rPr>
        <w:rStyle w:val="20"/>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p w14:paraId="670AB5C5">
    <w:pPr>
      <w:pStyle w:val="12"/>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988C5">
    <w:pPr>
      <w:pStyle w:val="12"/>
      <w:framePr w:wrap="around" w:vAnchor="text" w:hAnchor="margin" w:xAlign="outside" w:y="1"/>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Style w:val="20"/>
        <w:rFonts w:ascii="宋体" w:hAnsi="宋体"/>
        <w:sz w:val="26"/>
        <w:szCs w:val="26"/>
      </w:rPr>
      <w:fldChar w:fldCharType="begin"/>
    </w:r>
    <w:r>
      <w:rPr>
        <w:rStyle w:val="20"/>
        <w:rFonts w:ascii="宋体" w:hAnsi="宋体"/>
        <w:sz w:val="26"/>
        <w:szCs w:val="26"/>
      </w:rPr>
      <w:instrText xml:space="preserve">PAGE  </w:instrText>
    </w:r>
    <w:r>
      <w:rPr>
        <w:rStyle w:val="20"/>
        <w:rFonts w:ascii="宋体" w:hAnsi="宋体"/>
        <w:sz w:val="26"/>
        <w:szCs w:val="26"/>
      </w:rPr>
      <w:fldChar w:fldCharType="separate"/>
    </w:r>
    <w:r>
      <w:rPr>
        <w:rStyle w:val="20"/>
        <w:rFonts w:ascii="宋体" w:hAnsi="宋体"/>
        <w:sz w:val="26"/>
        <w:szCs w:val="26"/>
      </w:rPr>
      <w:t>80</w:t>
    </w:r>
    <w:r>
      <w:rPr>
        <w:rStyle w:val="20"/>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p w14:paraId="6473EC67">
    <w:pPr>
      <w:pStyle w:val="12"/>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13C92F"/>
    <w:multiLevelType w:val="singleLevel"/>
    <w:tmpl w:val="A213C92F"/>
    <w:lvl w:ilvl="0" w:tentative="0">
      <w:start w:val="1"/>
      <w:numFmt w:val="decimal"/>
      <w:suff w:val="nothing"/>
      <w:lvlText w:val="（%1）"/>
      <w:lvlJc w:val="left"/>
    </w:lvl>
  </w:abstractNum>
  <w:abstractNum w:abstractNumId="1">
    <w:nsid w:val="A4462B4D"/>
    <w:multiLevelType w:val="singleLevel"/>
    <w:tmpl w:val="A4462B4D"/>
    <w:lvl w:ilvl="0" w:tentative="0">
      <w:start w:val="4"/>
      <w:numFmt w:val="chineseCounting"/>
      <w:suff w:val="nothing"/>
      <w:lvlText w:val="（%1）"/>
      <w:lvlJc w:val="left"/>
      <w:rPr>
        <w:rFonts w:hint="eastAsia"/>
      </w:rPr>
    </w:lvl>
  </w:abstractNum>
  <w:abstractNum w:abstractNumId="2">
    <w:nsid w:val="AD9D5EAE"/>
    <w:multiLevelType w:val="singleLevel"/>
    <w:tmpl w:val="AD9D5EAE"/>
    <w:lvl w:ilvl="0" w:tentative="0">
      <w:start w:val="1"/>
      <w:numFmt w:val="upperLetter"/>
      <w:suff w:val="nothing"/>
      <w:lvlText w:val="%1、"/>
      <w:lvlJc w:val="left"/>
    </w:lvl>
  </w:abstractNum>
  <w:abstractNum w:abstractNumId="3">
    <w:nsid w:val="ADC53DE1"/>
    <w:multiLevelType w:val="multilevel"/>
    <w:tmpl w:val="ADC53DE1"/>
    <w:lvl w:ilvl="0" w:tentative="0">
      <w:start w:val="1"/>
      <w:numFmt w:val="decimal"/>
      <w:lvlText w:val="%1"/>
      <w:lvlJc w:val="left"/>
      <w:pPr>
        <w:tabs>
          <w:tab w:val="left" w:pos="420"/>
        </w:tabs>
        <w:ind w:left="425" w:hanging="425"/>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
    <w:nsid w:val="CFA550A6"/>
    <w:multiLevelType w:val="singleLevel"/>
    <w:tmpl w:val="CFA550A6"/>
    <w:lvl w:ilvl="0" w:tentative="0">
      <w:start w:val="1"/>
      <w:numFmt w:val="decimal"/>
      <w:lvlText w:val="%1"/>
      <w:lvlJc w:val="left"/>
      <w:pPr>
        <w:tabs>
          <w:tab w:val="left" w:pos="420"/>
        </w:tabs>
        <w:ind w:left="425" w:hanging="425"/>
      </w:pPr>
      <w:rPr>
        <w:rFonts w:hint="default"/>
      </w:rPr>
    </w:lvl>
  </w:abstractNum>
  <w:abstractNum w:abstractNumId="5">
    <w:nsid w:val="E4496493"/>
    <w:multiLevelType w:val="singleLevel"/>
    <w:tmpl w:val="E4496493"/>
    <w:lvl w:ilvl="0" w:tentative="0">
      <w:start w:val="5"/>
      <w:numFmt w:val="decimal"/>
      <w:pStyle w:val="69"/>
      <w:suff w:val="nothing"/>
      <w:lvlText w:val="（%1）"/>
      <w:lvlJc w:val="left"/>
    </w:lvl>
  </w:abstractNum>
  <w:abstractNum w:abstractNumId="6">
    <w:nsid w:val="13AE1FCB"/>
    <w:multiLevelType w:val="singleLevel"/>
    <w:tmpl w:val="13AE1FCB"/>
    <w:lvl w:ilvl="0" w:tentative="0">
      <w:start w:val="1"/>
      <w:numFmt w:val="chineseCounting"/>
      <w:suff w:val="nothing"/>
      <w:lvlText w:val="（%1）"/>
      <w:lvlJc w:val="left"/>
      <w:rPr>
        <w:rFonts w:hint="eastAsia"/>
      </w:rPr>
    </w:lvl>
  </w:abstractNum>
  <w:abstractNum w:abstractNumId="7">
    <w:nsid w:val="15A83D23"/>
    <w:multiLevelType w:val="multilevel"/>
    <w:tmpl w:val="15A83D23"/>
    <w:lvl w:ilvl="0" w:tentative="0">
      <w:start w:val="1"/>
      <w:numFmt w:val="decimal"/>
      <w:pStyle w:val="81"/>
      <w:lvlText w:val="表%1"/>
      <w:lvlJc w:val="left"/>
      <w:pPr>
        <w:tabs>
          <w:tab w:val="left" w:pos="680"/>
        </w:tabs>
        <w:ind w:left="0" w:firstLine="0"/>
      </w:pPr>
      <w:rPr>
        <w:rFonts w:hint="eastAsia"/>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D57756C"/>
    <w:multiLevelType w:val="singleLevel"/>
    <w:tmpl w:val="1D57756C"/>
    <w:lvl w:ilvl="0" w:tentative="0">
      <w:start w:val="1"/>
      <w:numFmt w:val="decimal"/>
      <w:lvlText w:val="%1."/>
      <w:lvlJc w:val="left"/>
      <w:pPr>
        <w:tabs>
          <w:tab w:val="left" w:pos="312"/>
        </w:tabs>
      </w:pPr>
    </w:lvl>
  </w:abstractNum>
  <w:abstractNum w:abstractNumId="9">
    <w:nsid w:val="3E8FBBBB"/>
    <w:multiLevelType w:val="multilevel"/>
    <w:tmpl w:val="3E8FBBBB"/>
    <w:lvl w:ilvl="0" w:tentative="0">
      <w:start w:val="1"/>
      <w:numFmt w:val="decimal"/>
      <w:lvlText w:val="%1"/>
      <w:lvlJc w:val="left"/>
      <w:pPr>
        <w:tabs>
          <w:tab w:val="left" w:pos="420"/>
        </w:tabs>
        <w:ind w:left="425" w:hanging="425"/>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
    <w:nsid w:val="5AC1A4E5"/>
    <w:multiLevelType w:val="singleLevel"/>
    <w:tmpl w:val="5AC1A4E5"/>
    <w:lvl w:ilvl="0" w:tentative="0">
      <w:start w:val="1"/>
      <w:numFmt w:val="decimal"/>
      <w:lvlText w:val="%1"/>
      <w:lvlJc w:val="left"/>
      <w:pPr>
        <w:tabs>
          <w:tab w:val="left" w:pos="420"/>
        </w:tabs>
        <w:ind w:left="425" w:hanging="425"/>
      </w:pPr>
      <w:rPr>
        <w:rFonts w:hint="default"/>
      </w:rPr>
    </w:lvl>
  </w:abstractNum>
  <w:abstractNum w:abstractNumId="11">
    <w:nsid w:val="6D3F4AC0"/>
    <w:multiLevelType w:val="multilevel"/>
    <w:tmpl w:val="6D3F4AC0"/>
    <w:lvl w:ilvl="0" w:tentative="0">
      <w:start w:val="1"/>
      <w:numFmt w:val="decimal"/>
      <w:lvlText w:val="%1"/>
      <w:lvlJc w:val="left"/>
      <w:pPr>
        <w:ind w:left="315" w:hanging="420"/>
      </w:pPr>
      <w:rPr>
        <w:rFonts w:hint="eastAsia"/>
      </w:rPr>
    </w:lvl>
    <w:lvl w:ilvl="1" w:tentative="0">
      <w:start w:val="1"/>
      <w:numFmt w:val="lowerLetter"/>
      <w:lvlText w:val="%2)"/>
      <w:lvlJc w:val="left"/>
      <w:pPr>
        <w:ind w:left="735" w:hanging="420"/>
      </w:pPr>
    </w:lvl>
    <w:lvl w:ilvl="2" w:tentative="0">
      <w:start w:val="1"/>
      <w:numFmt w:val="lowerRoman"/>
      <w:lvlText w:val="%3."/>
      <w:lvlJc w:val="right"/>
      <w:pPr>
        <w:ind w:left="1155" w:hanging="420"/>
      </w:pPr>
    </w:lvl>
    <w:lvl w:ilvl="3" w:tentative="0">
      <w:start w:val="1"/>
      <w:numFmt w:val="decimal"/>
      <w:lvlText w:val="%4."/>
      <w:lvlJc w:val="left"/>
      <w:pPr>
        <w:ind w:left="1575" w:hanging="420"/>
      </w:pPr>
    </w:lvl>
    <w:lvl w:ilvl="4" w:tentative="0">
      <w:start w:val="1"/>
      <w:numFmt w:val="lowerLetter"/>
      <w:lvlText w:val="%5)"/>
      <w:lvlJc w:val="left"/>
      <w:pPr>
        <w:ind w:left="1995" w:hanging="420"/>
      </w:pPr>
    </w:lvl>
    <w:lvl w:ilvl="5" w:tentative="0">
      <w:start w:val="1"/>
      <w:numFmt w:val="lowerRoman"/>
      <w:lvlText w:val="%6."/>
      <w:lvlJc w:val="right"/>
      <w:pPr>
        <w:ind w:left="2415" w:hanging="420"/>
      </w:pPr>
    </w:lvl>
    <w:lvl w:ilvl="6" w:tentative="0">
      <w:start w:val="1"/>
      <w:numFmt w:val="decimal"/>
      <w:lvlText w:val="%7."/>
      <w:lvlJc w:val="left"/>
      <w:pPr>
        <w:ind w:left="2835" w:hanging="420"/>
      </w:pPr>
    </w:lvl>
    <w:lvl w:ilvl="7" w:tentative="0">
      <w:start w:val="1"/>
      <w:numFmt w:val="lowerLetter"/>
      <w:lvlText w:val="%8)"/>
      <w:lvlJc w:val="left"/>
      <w:pPr>
        <w:ind w:left="3255" w:hanging="420"/>
      </w:pPr>
    </w:lvl>
    <w:lvl w:ilvl="8" w:tentative="0">
      <w:start w:val="1"/>
      <w:numFmt w:val="lowerRoman"/>
      <w:lvlText w:val="%9."/>
      <w:lvlJc w:val="right"/>
      <w:pPr>
        <w:ind w:left="3675" w:hanging="420"/>
      </w:pPr>
    </w:lvl>
  </w:abstractNum>
  <w:abstractNum w:abstractNumId="12">
    <w:nsid w:val="7BA1F2E0"/>
    <w:multiLevelType w:val="singleLevel"/>
    <w:tmpl w:val="7BA1F2E0"/>
    <w:lvl w:ilvl="0" w:tentative="0">
      <w:start w:val="1"/>
      <w:numFmt w:val="chineseCounting"/>
      <w:suff w:val="nothing"/>
      <w:lvlText w:val="（%1）"/>
      <w:lvlJc w:val="left"/>
      <w:rPr>
        <w:rFonts w:hint="eastAsia"/>
      </w:rPr>
    </w:lvl>
  </w:abstractNum>
  <w:num w:numId="1">
    <w:abstractNumId w:val="5"/>
  </w:num>
  <w:num w:numId="2">
    <w:abstractNumId w:val="7"/>
  </w:num>
  <w:num w:numId="3">
    <w:abstractNumId w:val="6"/>
  </w:num>
  <w:num w:numId="4">
    <w:abstractNumId w:val="1"/>
  </w:num>
  <w:num w:numId="5">
    <w:abstractNumId w:val="8"/>
  </w:num>
  <w:num w:numId="6">
    <w:abstractNumId w:val="12"/>
  </w:num>
  <w:num w:numId="7">
    <w:abstractNumId w:val="4"/>
  </w:num>
  <w:num w:numId="8">
    <w:abstractNumId w:val="3"/>
  </w:num>
  <w:num w:numId="9">
    <w:abstractNumId w:val="10"/>
  </w:num>
  <w:num w:numId="10">
    <w:abstractNumId w:val="2"/>
  </w:num>
  <w:num w:numId="11">
    <w:abstractNumId w:val="9"/>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VkODFkYTE4YzVlY2Q0NmNmYzc2MmM1MjAyZjM3MjYifQ=="/>
  </w:docVars>
  <w:rsids>
    <w:rsidRoot w:val="00172A27"/>
    <w:rsid w:val="0000014B"/>
    <w:rsid w:val="0000134E"/>
    <w:rsid w:val="00002200"/>
    <w:rsid w:val="0000295B"/>
    <w:rsid w:val="00002EB7"/>
    <w:rsid w:val="0000351B"/>
    <w:rsid w:val="000038DC"/>
    <w:rsid w:val="0000412E"/>
    <w:rsid w:val="00004D51"/>
    <w:rsid w:val="00005256"/>
    <w:rsid w:val="000060B3"/>
    <w:rsid w:val="00006CE3"/>
    <w:rsid w:val="00010CF8"/>
    <w:rsid w:val="00010F36"/>
    <w:rsid w:val="000110AB"/>
    <w:rsid w:val="000110C5"/>
    <w:rsid w:val="0001246C"/>
    <w:rsid w:val="00012C6E"/>
    <w:rsid w:val="00014431"/>
    <w:rsid w:val="0001477E"/>
    <w:rsid w:val="00014913"/>
    <w:rsid w:val="00015B59"/>
    <w:rsid w:val="00017340"/>
    <w:rsid w:val="00017EA6"/>
    <w:rsid w:val="000205D9"/>
    <w:rsid w:val="0002125E"/>
    <w:rsid w:val="00021F37"/>
    <w:rsid w:val="00022636"/>
    <w:rsid w:val="00022CAA"/>
    <w:rsid w:val="000243DA"/>
    <w:rsid w:val="00024F50"/>
    <w:rsid w:val="0002623C"/>
    <w:rsid w:val="000266F5"/>
    <w:rsid w:val="000267AB"/>
    <w:rsid w:val="000308D4"/>
    <w:rsid w:val="00030907"/>
    <w:rsid w:val="00031008"/>
    <w:rsid w:val="0003182A"/>
    <w:rsid w:val="00031949"/>
    <w:rsid w:val="00032325"/>
    <w:rsid w:val="000334B5"/>
    <w:rsid w:val="000340AA"/>
    <w:rsid w:val="00035537"/>
    <w:rsid w:val="000367F4"/>
    <w:rsid w:val="0003727F"/>
    <w:rsid w:val="00040814"/>
    <w:rsid w:val="000409E8"/>
    <w:rsid w:val="000425AE"/>
    <w:rsid w:val="00043299"/>
    <w:rsid w:val="0004364B"/>
    <w:rsid w:val="00043A4B"/>
    <w:rsid w:val="00044736"/>
    <w:rsid w:val="00045117"/>
    <w:rsid w:val="0004612C"/>
    <w:rsid w:val="0004631C"/>
    <w:rsid w:val="0004664D"/>
    <w:rsid w:val="00046E0C"/>
    <w:rsid w:val="0005008E"/>
    <w:rsid w:val="00051449"/>
    <w:rsid w:val="000524DE"/>
    <w:rsid w:val="00052E94"/>
    <w:rsid w:val="00054772"/>
    <w:rsid w:val="00054B89"/>
    <w:rsid w:val="00054FF2"/>
    <w:rsid w:val="000552B2"/>
    <w:rsid w:val="00055965"/>
    <w:rsid w:val="00055F57"/>
    <w:rsid w:val="000579FB"/>
    <w:rsid w:val="00060B73"/>
    <w:rsid w:val="0006143D"/>
    <w:rsid w:val="00061B1F"/>
    <w:rsid w:val="000642C9"/>
    <w:rsid w:val="00064817"/>
    <w:rsid w:val="00064BD2"/>
    <w:rsid w:val="00064BE2"/>
    <w:rsid w:val="00065216"/>
    <w:rsid w:val="00065EB7"/>
    <w:rsid w:val="000663B2"/>
    <w:rsid w:val="00066D76"/>
    <w:rsid w:val="00067C11"/>
    <w:rsid w:val="00067C26"/>
    <w:rsid w:val="0007084B"/>
    <w:rsid w:val="00071203"/>
    <w:rsid w:val="000720C1"/>
    <w:rsid w:val="000722B6"/>
    <w:rsid w:val="000733C4"/>
    <w:rsid w:val="00074143"/>
    <w:rsid w:val="00074783"/>
    <w:rsid w:val="00075A7F"/>
    <w:rsid w:val="00075CCD"/>
    <w:rsid w:val="000761E6"/>
    <w:rsid w:val="0007739E"/>
    <w:rsid w:val="0008030E"/>
    <w:rsid w:val="00080562"/>
    <w:rsid w:val="0008070B"/>
    <w:rsid w:val="00080876"/>
    <w:rsid w:val="00080D81"/>
    <w:rsid w:val="000810AC"/>
    <w:rsid w:val="000815CE"/>
    <w:rsid w:val="0008193D"/>
    <w:rsid w:val="00081A02"/>
    <w:rsid w:val="00081F2D"/>
    <w:rsid w:val="00082231"/>
    <w:rsid w:val="00083AAC"/>
    <w:rsid w:val="00084638"/>
    <w:rsid w:val="00085509"/>
    <w:rsid w:val="00085633"/>
    <w:rsid w:val="0008722A"/>
    <w:rsid w:val="000876BE"/>
    <w:rsid w:val="0009188D"/>
    <w:rsid w:val="00091CE3"/>
    <w:rsid w:val="00091E44"/>
    <w:rsid w:val="00092289"/>
    <w:rsid w:val="000926DF"/>
    <w:rsid w:val="00092C9D"/>
    <w:rsid w:val="00092CED"/>
    <w:rsid w:val="00092D38"/>
    <w:rsid w:val="00092D8D"/>
    <w:rsid w:val="0009377B"/>
    <w:rsid w:val="00093D9E"/>
    <w:rsid w:val="00094F17"/>
    <w:rsid w:val="00094F66"/>
    <w:rsid w:val="00095DB2"/>
    <w:rsid w:val="0009651C"/>
    <w:rsid w:val="0009669A"/>
    <w:rsid w:val="00097383"/>
    <w:rsid w:val="00097983"/>
    <w:rsid w:val="000A0688"/>
    <w:rsid w:val="000A10E2"/>
    <w:rsid w:val="000A20C9"/>
    <w:rsid w:val="000A2F4E"/>
    <w:rsid w:val="000A53DE"/>
    <w:rsid w:val="000A5A5D"/>
    <w:rsid w:val="000A64A3"/>
    <w:rsid w:val="000B0437"/>
    <w:rsid w:val="000B058F"/>
    <w:rsid w:val="000B0E59"/>
    <w:rsid w:val="000B0E5A"/>
    <w:rsid w:val="000B1B0E"/>
    <w:rsid w:val="000B2913"/>
    <w:rsid w:val="000B3460"/>
    <w:rsid w:val="000B3938"/>
    <w:rsid w:val="000B4467"/>
    <w:rsid w:val="000B4DB9"/>
    <w:rsid w:val="000B5819"/>
    <w:rsid w:val="000B77B0"/>
    <w:rsid w:val="000B7B51"/>
    <w:rsid w:val="000C054F"/>
    <w:rsid w:val="000C09AC"/>
    <w:rsid w:val="000C0B4C"/>
    <w:rsid w:val="000C18B3"/>
    <w:rsid w:val="000C1AC0"/>
    <w:rsid w:val="000C1D72"/>
    <w:rsid w:val="000C24D4"/>
    <w:rsid w:val="000C24E3"/>
    <w:rsid w:val="000C2977"/>
    <w:rsid w:val="000C2C74"/>
    <w:rsid w:val="000C3106"/>
    <w:rsid w:val="000C3B51"/>
    <w:rsid w:val="000C3E10"/>
    <w:rsid w:val="000C5008"/>
    <w:rsid w:val="000C536B"/>
    <w:rsid w:val="000C617C"/>
    <w:rsid w:val="000C767F"/>
    <w:rsid w:val="000C7DDF"/>
    <w:rsid w:val="000D0694"/>
    <w:rsid w:val="000D1C0C"/>
    <w:rsid w:val="000D1E27"/>
    <w:rsid w:val="000D2045"/>
    <w:rsid w:val="000D22C8"/>
    <w:rsid w:val="000D3353"/>
    <w:rsid w:val="000D38A5"/>
    <w:rsid w:val="000D3F57"/>
    <w:rsid w:val="000D58E7"/>
    <w:rsid w:val="000D5A44"/>
    <w:rsid w:val="000D6AA9"/>
    <w:rsid w:val="000E0325"/>
    <w:rsid w:val="000E0FC4"/>
    <w:rsid w:val="000E1472"/>
    <w:rsid w:val="000E1D15"/>
    <w:rsid w:val="000E20A2"/>
    <w:rsid w:val="000E3C14"/>
    <w:rsid w:val="000E3EAD"/>
    <w:rsid w:val="000E3ED2"/>
    <w:rsid w:val="000E42F7"/>
    <w:rsid w:val="000E4E00"/>
    <w:rsid w:val="000E7B1F"/>
    <w:rsid w:val="000E7D6E"/>
    <w:rsid w:val="000E7E41"/>
    <w:rsid w:val="000F04A7"/>
    <w:rsid w:val="000F05B9"/>
    <w:rsid w:val="000F0796"/>
    <w:rsid w:val="000F1C7E"/>
    <w:rsid w:val="000F40A4"/>
    <w:rsid w:val="000F4187"/>
    <w:rsid w:val="000F4212"/>
    <w:rsid w:val="000F4907"/>
    <w:rsid w:val="000F547D"/>
    <w:rsid w:val="000F5720"/>
    <w:rsid w:val="000F58A6"/>
    <w:rsid w:val="000F6200"/>
    <w:rsid w:val="000F68F3"/>
    <w:rsid w:val="000F71EE"/>
    <w:rsid w:val="000F771E"/>
    <w:rsid w:val="000F7BFD"/>
    <w:rsid w:val="000F7F26"/>
    <w:rsid w:val="00100D17"/>
    <w:rsid w:val="00101321"/>
    <w:rsid w:val="00101C7F"/>
    <w:rsid w:val="001023B5"/>
    <w:rsid w:val="0010261E"/>
    <w:rsid w:val="001033CB"/>
    <w:rsid w:val="00103E17"/>
    <w:rsid w:val="00103FB7"/>
    <w:rsid w:val="001041BF"/>
    <w:rsid w:val="0010518F"/>
    <w:rsid w:val="00107491"/>
    <w:rsid w:val="00111E58"/>
    <w:rsid w:val="00112A6E"/>
    <w:rsid w:val="00112C0E"/>
    <w:rsid w:val="001130B5"/>
    <w:rsid w:val="0011344C"/>
    <w:rsid w:val="0011574E"/>
    <w:rsid w:val="00115E43"/>
    <w:rsid w:val="00116F03"/>
    <w:rsid w:val="001172D8"/>
    <w:rsid w:val="001176C4"/>
    <w:rsid w:val="00120203"/>
    <w:rsid w:val="00120F79"/>
    <w:rsid w:val="00121368"/>
    <w:rsid w:val="00121500"/>
    <w:rsid w:val="00121E77"/>
    <w:rsid w:val="001232D4"/>
    <w:rsid w:val="0012673D"/>
    <w:rsid w:val="00126DAA"/>
    <w:rsid w:val="00127582"/>
    <w:rsid w:val="001303EC"/>
    <w:rsid w:val="001315B4"/>
    <w:rsid w:val="00131962"/>
    <w:rsid w:val="00131DE4"/>
    <w:rsid w:val="00131EF2"/>
    <w:rsid w:val="00131F42"/>
    <w:rsid w:val="00134671"/>
    <w:rsid w:val="00134AC7"/>
    <w:rsid w:val="001357F1"/>
    <w:rsid w:val="00135EC9"/>
    <w:rsid w:val="00136B1E"/>
    <w:rsid w:val="0013760F"/>
    <w:rsid w:val="00137B60"/>
    <w:rsid w:val="00137C62"/>
    <w:rsid w:val="00140FA8"/>
    <w:rsid w:val="001413FE"/>
    <w:rsid w:val="00141D4A"/>
    <w:rsid w:val="00142FEB"/>
    <w:rsid w:val="00143A2D"/>
    <w:rsid w:val="00144C45"/>
    <w:rsid w:val="00145A41"/>
    <w:rsid w:val="00145EA8"/>
    <w:rsid w:val="00146A3B"/>
    <w:rsid w:val="00146F54"/>
    <w:rsid w:val="00150989"/>
    <w:rsid w:val="00151675"/>
    <w:rsid w:val="00151BD0"/>
    <w:rsid w:val="00151F9C"/>
    <w:rsid w:val="001525D9"/>
    <w:rsid w:val="00152C7B"/>
    <w:rsid w:val="00152E5F"/>
    <w:rsid w:val="00154B42"/>
    <w:rsid w:val="001553B3"/>
    <w:rsid w:val="0015567C"/>
    <w:rsid w:val="00155700"/>
    <w:rsid w:val="001558BE"/>
    <w:rsid w:val="00157435"/>
    <w:rsid w:val="001603C2"/>
    <w:rsid w:val="00161309"/>
    <w:rsid w:val="00161369"/>
    <w:rsid w:val="001632DD"/>
    <w:rsid w:val="00163352"/>
    <w:rsid w:val="00163FF8"/>
    <w:rsid w:val="001643B4"/>
    <w:rsid w:val="0016488B"/>
    <w:rsid w:val="00165AD0"/>
    <w:rsid w:val="00165CA3"/>
    <w:rsid w:val="00166BD5"/>
    <w:rsid w:val="00166C42"/>
    <w:rsid w:val="001702BC"/>
    <w:rsid w:val="00170CEE"/>
    <w:rsid w:val="001713C7"/>
    <w:rsid w:val="0017194B"/>
    <w:rsid w:val="00171CB7"/>
    <w:rsid w:val="00172A27"/>
    <w:rsid w:val="0017497B"/>
    <w:rsid w:val="0017504D"/>
    <w:rsid w:val="00175D7B"/>
    <w:rsid w:val="00175F63"/>
    <w:rsid w:val="0017671A"/>
    <w:rsid w:val="00176D99"/>
    <w:rsid w:val="00176E2E"/>
    <w:rsid w:val="00177422"/>
    <w:rsid w:val="001778B6"/>
    <w:rsid w:val="0018099E"/>
    <w:rsid w:val="001811DC"/>
    <w:rsid w:val="00184590"/>
    <w:rsid w:val="0018492A"/>
    <w:rsid w:val="001849E4"/>
    <w:rsid w:val="001855C5"/>
    <w:rsid w:val="00185888"/>
    <w:rsid w:val="00185B09"/>
    <w:rsid w:val="001870D1"/>
    <w:rsid w:val="00187345"/>
    <w:rsid w:val="0018781E"/>
    <w:rsid w:val="0019262D"/>
    <w:rsid w:val="00194CAA"/>
    <w:rsid w:val="00194E6B"/>
    <w:rsid w:val="001A093D"/>
    <w:rsid w:val="001A09C1"/>
    <w:rsid w:val="001A0E03"/>
    <w:rsid w:val="001A10CD"/>
    <w:rsid w:val="001A1AEA"/>
    <w:rsid w:val="001A1B35"/>
    <w:rsid w:val="001A22F4"/>
    <w:rsid w:val="001A267E"/>
    <w:rsid w:val="001A2DFD"/>
    <w:rsid w:val="001A2EFE"/>
    <w:rsid w:val="001A354D"/>
    <w:rsid w:val="001A369C"/>
    <w:rsid w:val="001A3789"/>
    <w:rsid w:val="001A3A8B"/>
    <w:rsid w:val="001A4176"/>
    <w:rsid w:val="001A4584"/>
    <w:rsid w:val="001A48A2"/>
    <w:rsid w:val="001A4E5E"/>
    <w:rsid w:val="001A6F61"/>
    <w:rsid w:val="001A7763"/>
    <w:rsid w:val="001A789D"/>
    <w:rsid w:val="001A7B1B"/>
    <w:rsid w:val="001A7C3D"/>
    <w:rsid w:val="001B0569"/>
    <w:rsid w:val="001B0E2C"/>
    <w:rsid w:val="001B0E71"/>
    <w:rsid w:val="001B1023"/>
    <w:rsid w:val="001B23D7"/>
    <w:rsid w:val="001B2F8C"/>
    <w:rsid w:val="001B41CD"/>
    <w:rsid w:val="001B4FCB"/>
    <w:rsid w:val="001B6D1C"/>
    <w:rsid w:val="001B6FF7"/>
    <w:rsid w:val="001B72B8"/>
    <w:rsid w:val="001B757B"/>
    <w:rsid w:val="001B76A4"/>
    <w:rsid w:val="001B7D25"/>
    <w:rsid w:val="001B7EE9"/>
    <w:rsid w:val="001C0F56"/>
    <w:rsid w:val="001C1324"/>
    <w:rsid w:val="001C282E"/>
    <w:rsid w:val="001C3147"/>
    <w:rsid w:val="001C3397"/>
    <w:rsid w:val="001C3A71"/>
    <w:rsid w:val="001C4785"/>
    <w:rsid w:val="001C488A"/>
    <w:rsid w:val="001C496F"/>
    <w:rsid w:val="001C5351"/>
    <w:rsid w:val="001C5412"/>
    <w:rsid w:val="001C5647"/>
    <w:rsid w:val="001C69B3"/>
    <w:rsid w:val="001C6D15"/>
    <w:rsid w:val="001C7DD2"/>
    <w:rsid w:val="001D01E3"/>
    <w:rsid w:val="001D1EFC"/>
    <w:rsid w:val="001D26E6"/>
    <w:rsid w:val="001D2AF9"/>
    <w:rsid w:val="001D2F3E"/>
    <w:rsid w:val="001D5125"/>
    <w:rsid w:val="001D5595"/>
    <w:rsid w:val="001D6A1B"/>
    <w:rsid w:val="001D7874"/>
    <w:rsid w:val="001D7F22"/>
    <w:rsid w:val="001E0613"/>
    <w:rsid w:val="001E0DA0"/>
    <w:rsid w:val="001E0E7C"/>
    <w:rsid w:val="001E2B44"/>
    <w:rsid w:val="001E34E1"/>
    <w:rsid w:val="001E46AA"/>
    <w:rsid w:val="001E523A"/>
    <w:rsid w:val="001E6052"/>
    <w:rsid w:val="001E6B46"/>
    <w:rsid w:val="001E6F87"/>
    <w:rsid w:val="001E737A"/>
    <w:rsid w:val="001E76B4"/>
    <w:rsid w:val="001F0157"/>
    <w:rsid w:val="001F0679"/>
    <w:rsid w:val="001F0CE3"/>
    <w:rsid w:val="001F0E6D"/>
    <w:rsid w:val="001F0F17"/>
    <w:rsid w:val="001F1483"/>
    <w:rsid w:val="001F1A1E"/>
    <w:rsid w:val="001F1D7D"/>
    <w:rsid w:val="001F2BE3"/>
    <w:rsid w:val="001F30F3"/>
    <w:rsid w:val="001F3347"/>
    <w:rsid w:val="001F3390"/>
    <w:rsid w:val="001F33FF"/>
    <w:rsid w:val="001F36AC"/>
    <w:rsid w:val="001F4453"/>
    <w:rsid w:val="001F4C87"/>
    <w:rsid w:val="001F5FF4"/>
    <w:rsid w:val="001F6988"/>
    <w:rsid w:val="001F69E4"/>
    <w:rsid w:val="001F6D3D"/>
    <w:rsid w:val="001F702A"/>
    <w:rsid w:val="001F7323"/>
    <w:rsid w:val="002004A1"/>
    <w:rsid w:val="00200FAE"/>
    <w:rsid w:val="0020108E"/>
    <w:rsid w:val="00202C7A"/>
    <w:rsid w:val="00203716"/>
    <w:rsid w:val="002039CD"/>
    <w:rsid w:val="00203E94"/>
    <w:rsid w:val="002041E9"/>
    <w:rsid w:val="00204612"/>
    <w:rsid w:val="00205306"/>
    <w:rsid w:val="00206267"/>
    <w:rsid w:val="002125B4"/>
    <w:rsid w:val="00212F28"/>
    <w:rsid w:val="00214EBA"/>
    <w:rsid w:val="002155B8"/>
    <w:rsid w:val="002155C5"/>
    <w:rsid w:val="00215DCE"/>
    <w:rsid w:val="00215DFB"/>
    <w:rsid w:val="00216081"/>
    <w:rsid w:val="002164F8"/>
    <w:rsid w:val="002165D2"/>
    <w:rsid w:val="00216A59"/>
    <w:rsid w:val="00216B20"/>
    <w:rsid w:val="00216CB4"/>
    <w:rsid w:val="002207E7"/>
    <w:rsid w:val="00221983"/>
    <w:rsid w:val="00221ECF"/>
    <w:rsid w:val="0022296A"/>
    <w:rsid w:val="00222B95"/>
    <w:rsid w:val="00223C48"/>
    <w:rsid w:val="00223E29"/>
    <w:rsid w:val="00223F52"/>
    <w:rsid w:val="00223F6A"/>
    <w:rsid w:val="00224076"/>
    <w:rsid w:val="00224839"/>
    <w:rsid w:val="002249B2"/>
    <w:rsid w:val="00224D20"/>
    <w:rsid w:val="002254FC"/>
    <w:rsid w:val="00225A22"/>
    <w:rsid w:val="00226574"/>
    <w:rsid w:val="00226F39"/>
    <w:rsid w:val="002278EC"/>
    <w:rsid w:val="00227ACF"/>
    <w:rsid w:val="00227F5C"/>
    <w:rsid w:val="00230A27"/>
    <w:rsid w:val="00231077"/>
    <w:rsid w:val="00231DEB"/>
    <w:rsid w:val="00232258"/>
    <w:rsid w:val="0023280E"/>
    <w:rsid w:val="0023290A"/>
    <w:rsid w:val="00233A8A"/>
    <w:rsid w:val="00234336"/>
    <w:rsid w:val="00235091"/>
    <w:rsid w:val="00235991"/>
    <w:rsid w:val="002359F2"/>
    <w:rsid w:val="0023624C"/>
    <w:rsid w:val="00236A4C"/>
    <w:rsid w:val="00236AC4"/>
    <w:rsid w:val="00236D48"/>
    <w:rsid w:val="002377D1"/>
    <w:rsid w:val="00237F98"/>
    <w:rsid w:val="00237FD0"/>
    <w:rsid w:val="002401DB"/>
    <w:rsid w:val="00240AE5"/>
    <w:rsid w:val="00240FB1"/>
    <w:rsid w:val="002413D3"/>
    <w:rsid w:val="00242699"/>
    <w:rsid w:val="002438E0"/>
    <w:rsid w:val="0024551B"/>
    <w:rsid w:val="002506BC"/>
    <w:rsid w:val="00250B7C"/>
    <w:rsid w:val="00250E5B"/>
    <w:rsid w:val="00251D81"/>
    <w:rsid w:val="00251F0B"/>
    <w:rsid w:val="00252C94"/>
    <w:rsid w:val="00252FE8"/>
    <w:rsid w:val="00253174"/>
    <w:rsid w:val="00254345"/>
    <w:rsid w:val="002546BD"/>
    <w:rsid w:val="00255692"/>
    <w:rsid w:val="00255A83"/>
    <w:rsid w:val="00256351"/>
    <w:rsid w:val="00256EE6"/>
    <w:rsid w:val="00257779"/>
    <w:rsid w:val="002578AA"/>
    <w:rsid w:val="00260AD7"/>
    <w:rsid w:val="00260FF8"/>
    <w:rsid w:val="002617A1"/>
    <w:rsid w:val="00261A99"/>
    <w:rsid w:val="00262511"/>
    <w:rsid w:val="0026282D"/>
    <w:rsid w:val="002635DE"/>
    <w:rsid w:val="00263D36"/>
    <w:rsid w:val="002642AD"/>
    <w:rsid w:val="00264557"/>
    <w:rsid w:val="00264C64"/>
    <w:rsid w:val="002655E7"/>
    <w:rsid w:val="00265A97"/>
    <w:rsid w:val="00265DB9"/>
    <w:rsid w:val="00266111"/>
    <w:rsid w:val="002663C6"/>
    <w:rsid w:val="002676E1"/>
    <w:rsid w:val="00270977"/>
    <w:rsid w:val="002712E3"/>
    <w:rsid w:val="00271732"/>
    <w:rsid w:val="00272671"/>
    <w:rsid w:val="0027267D"/>
    <w:rsid w:val="00273070"/>
    <w:rsid w:val="00275E03"/>
    <w:rsid w:val="00277C12"/>
    <w:rsid w:val="00280391"/>
    <w:rsid w:val="002805AB"/>
    <w:rsid w:val="00280671"/>
    <w:rsid w:val="002814E5"/>
    <w:rsid w:val="00281775"/>
    <w:rsid w:val="002827FC"/>
    <w:rsid w:val="00283544"/>
    <w:rsid w:val="00284204"/>
    <w:rsid w:val="00285B62"/>
    <w:rsid w:val="00285EA8"/>
    <w:rsid w:val="00287875"/>
    <w:rsid w:val="00287A73"/>
    <w:rsid w:val="00290E1B"/>
    <w:rsid w:val="00290F2F"/>
    <w:rsid w:val="00291226"/>
    <w:rsid w:val="00291773"/>
    <w:rsid w:val="002945BD"/>
    <w:rsid w:val="0029466F"/>
    <w:rsid w:val="00294A80"/>
    <w:rsid w:val="00294D2A"/>
    <w:rsid w:val="00295F23"/>
    <w:rsid w:val="002962A2"/>
    <w:rsid w:val="00296B91"/>
    <w:rsid w:val="00296E8E"/>
    <w:rsid w:val="00296F18"/>
    <w:rsid w:val="00297400"/>
    <w:rsid w:val="0029757B"/>
    <w:rsid w:val="002A0FBC"/>
    <w:rsid w:val="002A1373"/>
    <w:rsid w:val="002A162E"/>
    <w:rsid w:val="002A168C"/>
    <w:rsid w:val="002A3503"/>
    <w:rsid w:val="002A3DC7"/>
    <w:rsid w:val="002A50EE"/>
    <w:rsid w:val="002A5B2E"/>
    <w:rsid w:val="002A5D94"/>
    <w:rsid w:val="002A6683"/>
    <w:rsid w:val="002A6DFF"/>
    <w:rsid w:val="002A7A20"/>
    <w:rsid w:val="002B032D"/>
    <w:rsid w:val="002B1B7D"/>
    <w:rsid w:val="002B20D0"/>
    <w:rsid w:val="002B2651"/>
    <w:rsid w:val="002B4128"/>
    <w:rsid w:val="002B49E2"/>
    <w:rsid w:val="002B4C6B"/>
    <w:rsid w:val="002B5220"/>
    <w:rsid w:val="002B723A"/>
    <w:rsid w:val="002B7A5A"/>
    <w:rsid w:val="002B7B00"/>
    <w:rsid w:val="002B7B12"/>
    <w:rsid w:val="002B7B35"/>
    <w:rsid w:val="002B7C44"/>
    <w:rsid w:val="002C1416"/>
    <w:rsid w:val="002C2948"/>
    <w:rsid w:val="002C2B17"/>
    <w:rsid w:val="002C2B87"/>
    <w:rsid w:val="002C3071"/>
    <w:rsid w:val="002C33C2"/>
    <w:rsid w:val="002C3D6B"/>
    <w:rsid w:val="002C4188"/>
    <w:rsid w:val="002C496B"/>
    <w:rsid w:val="002C4E8C"/>
    <w:rsid w:val="002C52A5"/>
    <w:rsid w:val="002C58D3"/>
    <w:rsid w:val="002C617B"/>
    <w:rsid w:val="002C657C"/>
    <w:rsid w:val="002C7648"/>
    <w:rsid w:val="002D0B20"/>
    <w:rsid w:val="002D264F"/>
    <w:rsid w:val="002D2ADC"/>
    <w:rsid w:val="002D355B"/>
    <w:rsid w:val="002D3A77"/>
    <w:rsid w:val="002D3B01"/>
    <w:rsid w:val="002D3DD0"/>
    <w:rsid w:val="002D4272"/>
    <w:rsid w:val="002D4B95"/>
    <w:rsid w:val="002D6290"/>
    <w:rsid w:val="002D70FE"/>
    <w:rsid w:val="002D76A1"/>
    <w:rsid w:val="002D782C"/>
    <w:rsid w:val="002E032C"/>
    <w:rsid w:val="002E0834"/>
    <w:rsid w:val="002E0971"/>
    <w:rsid w:val="002E1942"/>
    <w:rsid w:val="002E1F3A"/>
    <w:rsid w:val="002E298A"/>
    <w:rsid w:val="002E3265"/>
    <w:rsid w:val="002E4D55"/>
    <w:rsid w:val="002E59EE"/>
    <w:rsid w:val="002E6415"/>
    <w:rsid w:val="002E64B4"/>
    <w:rsid w:val="002E6D72"/>
    <w:rsid w:val="002E715B"/>
    <w:rsid w:val="002E7363"/>
    <w:rsid w:val="002F09C6"/>
    <w:rsid w:val="002F1D40"/>
    <w:rsid w:val="002F2E7D"/>
    <w:rsid w:val="002F3A69"/>
    <w:rsid w:val="002F43B6"/>
    <w:rsid w:val="002F4D36"/>
    <w:rsid w:val="002F5482"/>
    <w:rsid w:val="002F58A0"/>
    <w:rsid w:val="002F65B1"/>
    <w:rsid w:val="002F77ED"/>
    <w:rsid w:val="002F7965"/>
    <w:rsid w:val="002F7A41"/>
    <w:rsid w:val="00300498"/>
    <w:rsid w:val="00301978"/>
    <w:rsid w:val="003031AB"/>
    <w:rsid w:val="0030331F"/>
    <w:rsid w:val="0030332C"/>
    <w:rsid w:val="00303F87"/>
    <w:rsid w:val="003042B7"/>
    <w:rsid w:val="00304A07"/>
    <w:rsid w:val="00304F01"/>
    <w:rsid w:val="003051C2"/>
    <w:rsid w:val="003057DF"/>
    <w:rsid w:val="0030775A"/>
    <w:rsid w:val="00310105"/>
    <w:rsid w:val="00312296"/>
    <w:rsid w:val="00313771"/>
    <w:rsid w:val="00314F0E"/>
    <w:rsid w:val="00315831"/>
    <w:rsid w:val="00316554"/>
    <w:rsid w:val="003167CB"/>
    <w:rsid w:val="00317735"/>
    <w:rsid w:val="00317E86"/>
    <w:rsid w:val="0032083B"/>
    <w:rsid w:val="0032122D"/>
    <w:rsid w:val="00321280"/>
    <w:rsid w:val="00321D8E"/>
    <w:rsid w:val="00324097"/>
    <w:rsid w:val="00324DF8"/>
    <w:rsid w:val="00325561"/>
    <w:rsid w:val="00325928"/>
    <w:rsid w:val="00325A28"/>
    <w:rsid w:val="00325DF0"/>
    <w:rsid w:val="0032613F"/>
    <w:rsid w:val="0032667D"/>
    <w:rsid w:val="00326CBA"/>
    <w:rsid w:val="00327A8A"/>
    <w:rsid w:val="00330515"/>
    <w:rsid w:val="0033097C"/>
    <w:rsid w:val="0033207A"/>
    <w:rsid w:val="00332863"/>
    <w:rsid w:val="00332C61"/>
    <w:rsid w:val="00334AAD"/>
    <w:rsid w:val="00334BC9"/>
    <w:rsid w:val="00335858"/>
    <w:rsid w:val="0033684D"/>
    <w:rsid w:val="00337406"/>
    <w:rsid w:val="00337B42"/>
    <w:rsid w:val="00341B42"/>
    <w:rsid w:val="003424C2"/>
    <w:rsid w:val="003432C5"/>
    <w:rsid w:val="003432F8"/>
    <w:rsid w:val="0034348F"/>
    <w:rsid w:val="00343B3E"/>
    <w:rsid w:val="00345623"/>
    <w:rsid w:val="00345673"/>
    <w:rsid w:val="0034637A"/>
    <w:rsid w:val="003463FB"/>
    <w:rsid w:val="003465F3"/>
    <w:rsid w:val="00346D2D"/>
    <w:rsid w:val="00346EAD"/>
    <w:rsid w:val="00346F23"/>
    <w:rsid w:val="0034702D"/>
    <w:rsid w:val="00347E1A"/>
    <w:rsid w:val="0035015E"/>
    <w:rsid w:val="00350EB9"/>
    <w:rsid w:val="0035130B"/>
    <w:rsid w:val="00352755"/>
    <w:rsid w:val="00352D70"/>
    <w:rsid w:val="00352DAC"/>
    <w:rsid w:val="0035315F"/>
    <w:rsid w:val="00353CE3"/>
    <w:rsid w:val="00355690"/>
    <w:rsid w:val="003557D5"/>
    <w:rsid w:val="00356471"/>
    <w:rsid w:val="00356653"/>
    <w:rsid w:val="0035743F"/>
    <w:rsid w:val="003578DD"/>
    <w:rsid w:val="00357988"/>
    <w:rsid w:val="00357BE2"/>
    <w:rsid w:val="00360BBF"/>
    <w:rsid w:val="00360D17"/>
    <w:rsid w:val="00361043"/>
    <w:rsid w:val="0036170C"/>
    <w:rsid w:val="00363401"/>
    <w:rsid w:val="00363B4A"/>
    <w:rsid w:val="00363E9F"/>
    <w:rsid w:val="00364B84"/>
    <w:rsid w:val="00364C2D"/>
    <w:rsid w:val="003652C3"/>
    <w:rsid w:val="00365A7E"/>
    <w:rsid w:val="00365D8D"/>
    <w:rsid w:val="00366400"/>
    <w:rsid w:val="003664A8"/>
    <w:rsid w:val="00366E0F"/>
    <w:rsid w:val="003675E9"/>
    <w:rsid w:val="00367741"/>
    <w:rsid w:val="00370A0E"/>
    <w:rsid w:val="0037159B"/>
    <w:rsid w:val="00371AC5"/>
    <w:rsid w:val="003725B1"/>
    <w:rsid w:val="00372FF6"/>
    <w:rsid w:val="00374D51"/>
    <w:rsid w:val="00375961"/>
    <w:rsid w:val="00376D85"/>
    <w:rsid w:val="00377769"/>
    <w:rsid w:val="00380547"/>
    <w:rsid w:val="00380C30"/>
    <w:rsid w:val="00381A72"/>
    <w:rsid w:val="003822E8"/>
    <w:rsid w:val="00382B3F"/>
    <w:rsid w:val="00384676"/>
    <w:rsid w:val="00385E90"/>
    <w:rsid w:val="00386184"/>
    <w:rsid w:val="00386351"/>
    <w:rsid w:val="00386C1A"/>
    <w:rsid w:val="00387970"/>
    <w:rsid w:val="00387D98"/>
    <w:rsid w:val="00387EE8"/>
    <w:rsid w:val="00387FC0"/>
    <w:rsid w:val="003907C6"/>
    <w:rsid w:val="00390857"/>
    <w:rsid w:val="00390B4C"/>
    <w:rsid w:val="00391599"/>
    <w:rsid w:val="003924B3"/>
    <w:rsid w:val="00392F37"/>
    <w:rsid w:val="00394172"/>
    <w:rsid w:val="00395AAD"/>
    <w:rsid w:val="00395E9E"/>
    <w:rsid w:val="003A1B7B"/>
    <w:rsid w:val="003A1EE7"/>
    <w:rsid w:val="003A2183"/>
    <w:rsid w:val="003A3CAA"/>
    <w:rsid w:val="003A4BF3"/>
    <w:rsid w:val="003B0032"/>
    <w:rsid w:val="003B018E"/>
    <w:rsid w:val="003B201D"/>
    <w:rsid w:val="003B38D7"/>
    <w:rsid w:val="003B3C4F"/>
    <w:rsid w:val="003B3C77"/>
    <w:rsid w:val="003B420D"/>
    <w:rsid w:val="003B4ED2"/>
    <w:rsid w:val="003B5F22"/>
    <w:rsid w:val="003B6A8E"/>
    <w:rsid w:val="003B6E77"/>
    <w:rsid w:val="003B7EE4"/>
    <w:rsid w:val="003C0A35"/>
    <w:rsid w:val="003C24AE"/>
    <w:rsid w:val="003C3C28"/>
    <w:rsid w:val="003C59A6"/>
    <w:rsid w:val="003C6AE8"/>
    <w:rsid w:val="003C6C16"/>
    <w:rsid w:val="003C76CB"/>
    <w:rsid w:val="003C7C97"/>
    <w:rsid w:val="003D0430"/>
    <w:rsid w:val="003D0FDD"/>
    <w:rsid w:val="003D1197"/>
    <w:rsid w:val="003D2857"/>
    <w:rsid w:val="003D302F"/>
    <w:rsid w:val="003D3057"/>
    <w:rsid w:val="003D3296"/>
    <w:rsid w:val="003D4D10"/>
    <w:rsid w:val="003D56EE"/>
    <w:rsid w:val="003D5862"/>
    <w:rsid w:val="003D6A93"/>
    <w:rsid w:val="003D6E7D"/>
    <w:rsid w:val="003D73ED"/>
    <w:rsid w:val="003D74FD"/>
    <w:rsid w:val="003D768F"/>
    <w:rsid w:val="003D794D"/>
    <w:rsid w:val="003D7D88"/>
    <w:rsid w:val="003E051D"/>
    <w:rsid w:val="003E1C5A"/>
    <w:rsid w:val="003E2A4D"/>
    <w:rsid w:val="003E3058"/>
    <w:rsid w:val="003E3891"/>
    <w:rsid w:val="003E4763"/>
    <w:rsid w:val="003E4AAE"/>
    <w:rsid w:val="003E6D21"/>
    <w:rsid w:val="003E6F9A"/>
    <w:rsid w:val="003E73FF"/>
    <w:rsid w:val="003E76A9"/>
    <w:rsid w:val="003F0252"/>
    <w:rsid w:val="003F0809"/>
    <w:rsid w:val="003F15DC"/>
    <w:rsid w:val="003F2294"/>
    <w:rsid w:val="003F27EC"/>
    <w:rsid w:val="003F2C8A"/>
    <w:rsid w:val="003F3933"/>
    <w:rsid w:val="003F3F3F"/>
    <w:rsid w:val="003F55EE"/>
    <w:rsid w:val="003F6A8C"/>
    <w:rsid w:val="003F6F45"/>
    <w:rsid w:val="003F72DB"/>
    <w:rsid w:val="003F74C6"/>
    <w:rsid w:val="003F755C"/>
    <w:rsid w:val="004000FF"/>
    <w:rsid w:val="00400414"/>
    <w:rsid w:val="00401444"/>
    <w:rsid w:val="004027C0"/>
    <w:rsid w:val="00405A0C"/>
    <w:rsid w:val="004062D5"/>
    <w:rsid w:val="00406940"/>
    <w:rsid w:val="00406F01"/>
    <w:rsid w:val="00406F08"/>
    <w:rsid w:val="004075B5"/>
    <w:rsid w:val="00407887"/>
    <w:rsid w:val="004108FC"/>
    <w:rsid w:val="00410E9B"/>
    <w:rsid w:val="0041112D"/>
    <w:rsid w:val="00411D24"/>
    <w:rsid w:val="004128D5"/>
    <w:rsid w:val="00412DD2"/>
    <w:rsid w:val="00412FC3"/>
    <w:rsid w:val="0041309E"/>
    <w:rsid w:val="004135B3"/>
    <w:rsid w:val="00413D5E"/>
    <w:rsid w:val="00414799"/>
    <w:rsid w:val="00414CEE"/>
    <w:rsid w:val="00415776"/>
    <w:rsid w:val="004167A4"/>
    <w:rsid w:val="0041683F"/>
    <w:rsid w:val="00416847"/>
    <w:rsid w:val="00416BEC"/>
    <w:rsid w:val="00416D50"/>
    <w:rsid w:val="00416D62"/>
    <w:rsid w:val="00416FD5"/>
    <w:rsid w:val="004172E4"/>
    <w:rsid w:val="004175EA"/>
    <w:rsid w:val="00417772"/>
    <w:rsid w:val="00420B51"/>
    <w:rsid w:val="00420C28"/>
    <w:rsid w:val="00420E6A"/>
    <w:rsid w:val="004214C3"/>
    <w:rsid w:val="0042474C"/>
    <w:rsid w:val="004248CD"/>
    <w:rsid w:val="00424E27"/>
    <w:rsid w:val="00425A1B"/>
    <w:rsid w:val="00425A71"/>
    <w:rsid w:val="00425A9E"/>
    <w:rsid w:val="00425EC8"/>
    <w:rsid w:val="004264C1"/>
    <w:rsid w:val="00426620"/>
    <w:rsid w:val="004267B7"/>
    <w:rsid w:val="00426D6B"/>
    <w:rsid w:val="004274B0"/>
    <w:rsid w:val="004275CE"/>
    <w:rsid w:val="00431E6C"/>
    <w:rsid w:val="00431E94"/>
    <w:rsid w:val="0043225C"/>
    <w:rsid w:val="00432A93"/>
    <w:rsid w:val="00432B99"/>
    <w:rsid w:val="00432D2B"/>
    <w:rsid w:val="00432EB4"/>
    <w:rsid w:val="00433CE7"/>
    <w:rsid w:val="00435D88"/>
    <w:rsid w:val="00436181"/>
    <w:rsid w:val="004361D2"/>
    <w:rsid w:val="00437FE9"/>
    <w:rsid w:val="00440551"/>
    <w:rsid w:val="0044097F"/>
    <w:rsid w:val="004410EC"/>
    <w:rsid w:val="00441A95"/>
    <w:rsid w:val="00441C0D"/>
    <w:rsid w:val="0044224C"/>
    <w:rsid w:val="00443082"/>
    <w:rsid w:val="004431B6"/>
    <w:rsid w:val="004433BF"/>
    <w:rsid w:val="00443671"/>
    <w:rsid w:val="0044423D"/>
    <w:rsid w:val="0044433D"/>
    <w:rsid w:val="00444646"/>
    <w:rsid w:val="0044599F"/>
    <w:rsid w:val="004464B2"/>
    <w:rsid w:val="0044685E"/>
    <w:rsid w:val="00446881"/>
    <w:rsid w:val="004502F1"/>
    <w:rsid w:val="00450EC6"/>
    <w:rsid w:val="00452606"/>
    <w:rsid w:val="00452738"/>
    <w:rsid w:val="00454389"/>
    <w:rsid w:val="00454591"/>
    <w:rsid w:val="00454EA5"/>
    <w:rsid w:val="00456091"/>
    <w:rsid w:val="00457685"/>
    <w:rsid w:val="00457D17"/>
    <w:rsid w:val="00457DCD"/>
    <w:rsid w:val="00461583"/>
    <w:rsid w:val="00461AA3"/>
    <w:rsid w:val="00461EB8"/>
    <w:rsid w:val="004626C9"/>
    <w:rsid w:val="00462C9C"/>
    <w:rsid w:val="004635EB"/>
    <w:rsid w:val="004658CD"/>
    <w:rsid w:val="004659AF"/>
    <w:rsid w:val="00465F61"/>
    <w:rsid w:val="00466321"/>
    <w:rsid w:val="0046672B"/>
    <w:rsid w:val="0046727A"/>
    <w:rsid w:val="00470890"/>
    <w:rsid w:val="004721B5"/>
    <w:rsid w:val="00472329"/>
    <w:rsid w:val="00474623"/>
    <w:rsid w:val="00474901"/>
    <w:rsid w:val="00476BAD"/>
    <w:rsid w:val="00476C11"/>
    <w:rsid w:val="00477458"/>
    <w:rsid w:val="00477A7E"/>
    <w:rsid w:val="00480AE4"/>
    <w:rsid w:val="0048236E"/>
    <w:rsid w:val="00482671"/>
    <w:rsid w:val="004831DF"/>
    <w:rsid w:val="004839A2"/>
    <w:rsid w:val="0048417C"/>
    <w:rsid w:val="0048437A"/>
    <w:rsid w:val="00484B6C"/>
    <w:rsid w:val="00484B9B"/>
    <w:rsid w:val="00484DF0"/>
    <w:rsid w:val="004855F6"/>
    <w:rsid w:val="00485F06"/>
    <w:rsid w:val="0048661E"/>
    <w:rsid w:val="004869CA"/>
    <w:rsid w:val="00487069"/>
    <w:rsid w:val="00487B86"/>
    <w:rsid w:val="00487CE1"/>
    <w:rsid w:val="00487F7C"/>
    <w:rsid w:val="004906A5"/>
    <w:rsid w:val="00490BF5"/>
    <w:rsid w:val="00490D90"/>
    <w:rsid w:val="00490D9C"/>
    <w:rsid w:val="004911CF"/>
    <w:rsid w:val="0049130F"/>
    <w:rsid w:val="00491817"/>
    <w:rsid w:val="00491E7A"/>
    <w:rsid w:val="00493E3B"/>
    <w:rsid w:val="004941BF"/>
    <w:rsid w:val="00494670"/>
    <w:rsid w:val="00495D07"/>
    <w:rsid w:val="00497920"/>
    <w:rsid w:val="004A0842"/>
    <w:rsid w:val="004A23BE"/>
    <w:rsid w:val="004A2BDB"/>
    <w:rsid w:val="004A3823"/>
    <w:rsid w:val="004A5876"/>
    <w:rsid w:val="004A58E6"/>
    <w:rsid w:val="004A5B02"/>
    <w:rsid w:val="004A71F1"/>
    <w:rsid w:val="004A74C6"/>
    <w:rsid w:val="004A775A"/>
    <w:rsid w:val="004A7916"/>
    <w:rsid w:val="004A7C01"/>
    <w:rsid w:val="004B2B21"/>
    <w:rsid w:val="004B2F98"/>
    <w:rsid w:val="004B33D0"/>
    <w:rsid w:val="004B390D"/>
    <w:rsid w:val="004B41E7"/>
    <w:rsid w:val="004B5013"/>
    <w:rsid w:val="004B5BAF"/>
    <w:rsid w:val="004B638B"/>
    <w:rsid w:val="004B6447"/>
    <w:rsid w:val="004B6CC5"/>
    <w:rsid w:val="004B70D3"/>
    <w:rsid w:val="004C0915"/>
    <w:rsid w:val="004C09E5"/>
    <w:rsid w:val="004C275E"/>
    <w:rsid w:val="004C2E4B"/>
    <w:rsid w:val="004C3CAB"/>
    <w:rsid w:val="004C4285"/>
    <w:rsid w:val="004C46FE"/>
    <w:rsid w:val="004C48BE"/>
    <w:rsid w:val="004C4E07"/>
    <w:rsid w:val="004C4EE6"/>
    <w:rsid w:val="004C5D52"/>
    <w:rsid w:val="004C6249"/>
    <w:rsid w:val="004C6E33"/>
    <w:rsid w:val="004D0CD4"/>
    <w:rsid w:val="004D1370"/>
    <w:rsid w:val="004D2017"/>
    <w:rsid w:val="004D378C"/>
    <w:rsid w:val="004D3B7F"/>
    <w:rsid w:val="004D4A93"/>
    <w:rsid w:val="004D5DCE"/>
    <w:rsid w:val="004D5F22"/>
    <w:rsid w:val="004D60B4"/>
    <w:rsid w:val="004D6F9B"/>
    <w:rsid w:val="004E01FF"/>
    <w:rsid w:val="004E0ACE"/>
    <w:rsid w:val="004E1053"/>
    <w:rsid w:val="004E255C"/>
    <w:rsid w:val="004E2FD2"/>
    <w:rsid w:val="004E3944"/>
    <w:rsid w:val="004E39A7"/>
    <w:rsid w:val="004E3C4F"/>
    <w:rsid w:val="004E44EB"/>
    <w:rsid w:val="004E6946"/>
    <w:rsid w:val="004E7994"/>
    <w:rsid w:val="004F0F4C"/>
    <w:rsid w:val="004F1183"/>
    <w:rsid w:val="004F1AD8"/>
    <w:rsid w:val="004F1DC1"/>
    <w:rsid w:val="004F2404"/>
    <w:rsid w:val="004F2AFA"/>
    <w:rsid w:val="004F3E5B"/>
    <w:rsid w:val="004F43AB"/>
    <w:rsid w:val="004F44F9"/>
    <w:rsid w:val="004F468D"/>
    <w:rsid w:val="004F5B94"/>
    <w:rsid w:val="004F5EA1"/>
    <w:rsid w:val="004F6D60"/>
    <w:rsid w:val="004F7B66"/>
    <w:rsid w:val="00501EE0"/>
    <w:rsid w:val="005020B9"/>
    <w:rsid w:val="005029E0"/>
    <w:rsid w:val="00502A4C"/>
    <w:rsid w:val="005030BB"/>
    <w:rsid w:val="005039CB"/>
    <w:rsid w:val="00503E45"/>
    <w:rsid w:val="00504936"/>
    <w:rsid w:val="00504E10"/>
    <w:rsid w:val="0050558F"/>
    <w:rsid w:val="00506286"/>
    <w:rsid w:val="00506304"/>
    <w:rsid w:val="00507DFD"/>
    <w:rsid w:val="0051006F"/>
    <w:rsid w:val="00510813"/>
    <w:rsid w:val="00510B50"/>
    <w:rsid w:val="00510CE5"/>
    <w:rsid w:val="005111BC"/>
    <w:rsid w:val="0051132E"/>
    <w:rsid w:val="00511990"/>
    <w:rsid w:val="00511DE0"/>
    <w:rsid w:val="00514870"/>
    <w:rsid w:val="005148D9"/>
    <w:rsid w:val="00514920"/>
    <w:rsid w:val="00514B9B"/>
    <w:rsid w:val="00514E2C"/>
    <w:rsid w:val="0051521B"/>
    <w:rsid w:val="00515547"/>
    <w:rsid w:val="00515711"/>
    <w:rsid w:val="00515A50"/>
    <w:rsid w:val="00517641"/>
    <w:rsid w:val="00517AD8"/>
    <w:rsid w:val="00517F02"/>
    <w:rsid w:val="00520079"/>
    <w:rsid w:val="005206F8"/>
    <w:rsid w:val="00521955"/>
    <w:rsid w:val="00521D2F"/>
    <w:rsid w:val="00522C27"/>
    <w:rsid w:val="0052379D"/>
    <w:rsid w:val="00524124"/>
    <w:rsid w:val="00524303"/>
    <w:rsid w:val="00524A9F"/>
    <w:rsid w:val="00524D38"/>
    <w:rsid w:val="005258A2"/>
    <w:rsid w:val="00525BBF"/>
    <w:rsid w:val="00532086"/>
    <w:rsid w:val="00532D97"/>
    <w:rsid w:val="00532E46"/>
    <w:rsid w:val="005333B4"/>
    <w:rsid w:val="00533606"/>
    <w:rsid w:val="0053384E"/>
    <w:rsid w:val="00533954"/>
    <w:rsid w:val="005343DB"/>
    <w:rsid w:val="005343F5"/>
    <w:rsid w:val="0053539C"/>
    <w:rsid w:val="0053601C"/>
    <w:rsid w:val="0053610B"/>
    <w:rsid w:val="0053668E"/>
    <w:rsid w:val="005401AE"/>
    <w:rsid w:val="00540A6B"/>
    <w:rsid w:val="00540BDA"/>
    <w:rsid w:val="00540E81"/>
    <w:rsid w:val="00541311"/>
    <w:rsid w:val="00542311"/>
    <w:rsid w:val="00542415"/>
    <w:rsid w:val="00542C91"/>
    <w:rsid w:val="00542E07"/>
    <w:rsid w:val="00542FC4"/>
    <w:rsid w:val="005441E8"/>
    <w:rsid w:val="005445B3"/>
    <w:rsid w:val="005449C8"/>
    <w:rsid w:val="00544B82"/>
    <w:rsid w:val="00544DD7"/>
    <w:rsid w:val="00545424"/>
    <w:rsid w:val="005455A4"/>
    <w:rsid w:val="00545AEA"/>
    <w:rsid w:val="005468D1"/>
    <w:rsid w:val="0054738E"/>
    <w:rsid w:val="005475A5"/>
    <w:rsid w:val="00552315"/>
    <w:rsid w:val="00553604"/>
    <w:rsid w:val="00554877"/>
    <w:rsid w:val="005549AD"/>
    <w:rsid w:val="00554A7B"/>
    <w:rsid w:val="00554C82"/>
    <w:rsid w:val="00554DAC"/>
    <w:rsid w:val="00555198"/>
    <w:rsid w:val="005552A0"/>
    <w:rsid w:val="0055572C"/>
    <w:rsid w:val="00555EC9"/>
    <w:rsid w:val="005564FC"/>
    <w:rsid w:val="00557F01"/>
    <w:rsid w:val="00560327"/>
    <w:rsid w:val="0056106A"/>
    <w:rsid w:val="005612DA"/>
    <w:rsid w:val="00561E5C"/>
    <w:rsid w:val="005637E4"/>
    <w:rsid w:val="005644CD"/>
    <w:rsid w:val="00564959"/>
    <w:rsid w:val="0056636B"/>
    <w:rsid w:val="0057104D"/>
    <w:rsid w:val="005714C6"/>
    <w:rsid w:val="00571932"/>
    <w:rsid w:val="00571AAC"/>
    <w:rsid w:val="00571EBA"/>
    <w:rsid w:val="005720AE"/>
    <w:rsid w:val="00572CD3"/>
    <w:rsid w:val="005737BA"/>
    <w:rsid w:val="00576AC1"/>
    <w:rsid w:val="00576C8A"/>
    <w:rsid w:val="00577C77"/>
    <w:rsid w:val="00577C81"/>
    <w:rsid w:val="00577DDD"/>
    <w:rsid w:val="00577E03"/>
    <w:rsid w:val="005802AB"/>
    <w:rsid w:val="00580A73"/>
    <w:rsid w:val="00580CED"/>
    <w:rsid w:val="005814A9"/>
    <w:rsid w:val="00581D5A"/>
    <w:rsid w:val="0058341D"/>
    <w:rsid w:val="0058365E"/>
    <w:rsid w:val="00583DE3"/>
    <w:rsid w:val="00587663"/>
    <w:rsid w:val="0059016D"/>
    <w:rsid w:val="005903E9"/>
    <w:rsid w:val="005904BF"/>
    <w:rsid w:val="0059067A"/>
    <w:rsid w:val="005907AA"/>
    <w:rsid w:val="00591F12"/>
    <w:rsid w:val="00592A29"/>
    <w:rsid w:val="00592BF1"/>
    <w:rsid w:val="00592E86"/>
    <w:rsid w:val="00593E74"/>
    <w:rsid w:val="00594D77"/>
    <w:rsid w:val="005956CF"/>
    <w:rsid w:val="0059643E"/>
    <w:rsid w:val="00596583"/>
    <w:rsid w:val="005969E4"/>
    <w:rsid w:val="005A034E"/>
    <w:rsid w:val="005A06B7"/>
    <w:rsid w:val="005A0F8D"/>
    <w:rsid w:val="005A1759"/>
    <w:rsid w:val="005A23E9"/>
    <w:rsid w:val="005A25AA"/>
    <w:rsid w:val="005A3BBC"/>
    <w:rsid w:val="005A41E9"/>
    <w:rsid w:val="005A4DB8"/>
    <w:rsid w:val="005A4EFE"/>
    <w:rsid w:val="005A60D0"/>
    <w:rsid w:val="005A68A7"/>
    <w:rsid w:val="005A699B"/>
    <w:rsid w:val="005A7AD5"/>
    <w:rsid w:val="005A7C2B"/>
    <w:rsid w:val="005B0046"/>
    <w:rsid w:val="005B1334"/>
    <w:rsid w:val="005B13E0"/>
    <w:rsid w:val="005B2E23"/>
    <w:rsid w:val="005B2ED7"/>
    <w:rsid w:val="005B326A"/>
    <w:rsid w:val="005B37BD"/>
    <w:rsid w:val="005B3905"/>
    <w:rsid w:val="005B3F66"/>
    <w:rsid w:val="005B42CA"/>
    <w:rsid w:val="005B434F"/>
    <w:rsid w:val="005B4681"/>
    <w:rsid w:val="005B46DF"/>
    <w:rsid w:val="005B616E"/>
    <w:rsid w:val="005B61FF"/>
    <w:rsid w:val="005B71D4"/>
    <w:rsid w:val="005C05DC"/>
    <w:rsid w:val="005C0DE4"/>
    <w:rsid w:val="005C1669"/>
    <w:rsid w:val="005C27C0"/>
    <w:rsid w:val="005C3A54"/>
    <w:rsid w:val="005C3E51"/>
    <w:rsid w:val="005C5588"/>
    <w:rsid w:val="005C7697"/>
    <w:rsid w:val="005C7950"/>
    <w:rsid w:val="005D0D88"/>
    <w:rsid w:val="005D1733"/>
    <w:rsid w:val="005D307C"/>
    <w:rsid w:val="005D36AB"/>
    <w:rsid w:val="005D3D30"/>
    <w:rsid w:val="005D3EFA"/>
    <w:rsid w:val="005D44A4"/>
    <w:rsid w:val="005D45AE"/>
    <w:rsid w:val="005D4652"/>
    <w:rsid w:val="005D48AD"/>
    <w:rsid w:val="005D4E53"/>
    <w:rsid w:val="005D5903"/>
    <w:rsid w:val="005D62B4"/>
    <w:rsid w:val="005E0130"/>
    <w:rsid w:val="005E05F3"/>
    <w:rsid w:val="005E0F04"/>
    <w:rsid w:val="005E1045"/>
    <w:rsid w:val="005E25C6"/>
    <w:rsid w:val="005E27C4"/>
    <w:rsid w:val="005E2F0F"/>
    <w:rsid w:val="005E326B"/>
    <w:rsid w:val="005E3309"/>
    <w:rsid w:val="005E4943"/>
    <w:rsid w:val="005E4BA1"/>
    <w:rsid w:val="005E584D"/>
    <w:rsid w:val="005E7191"/>
    <w:rsid w:val="005F0680"/>
    <w:rsid w:val="005F0EF5"/>
    <w:rsid w:val="005F16E6"/>
    <w:rsid w:val="005F2C38"/>
    <w:rsid w:val="005F3000"/>
    <w:rsid w:val="005F527F"/>
    <w:rsid w:val="005F7243"/>
    <w:rsid w:val="005F73ED"/>
    <w:rsid w:val="005F7423"/>
    <w:rsid w:val="005F7496"/>
    <w:rsid w:val="005F76CB"/>
    <w:rsid w:val="005F77F1"/>
    <w:rsid w:val="00602444"/>
    <w:rsid w:val="006033B0"/>
    <w:rsid w:val="00603EBF"/>
    <w:rsid w:val="0060591B"/>
    <w:rsid w:val="006059FC"/>
    <w:rsid w:val="00606AE5"/>
    <w:rsid w:val="00606F78"/>
    <w:rsid w:val="00607E41"/>
    <w:rsid w:val="00607F95"/>
    <w:rsid w:val="0061080C"/>
    <w:rsid w:val="0061092A"/>
    <w:rsid w:val="00611DCA"/>
    <w:rsid w:val="0061367E"/>
    <w:rsid w:val="006145D7"/>
    <w:rsid w:val="00614A12"/>
    <w:rsid w:val="00614CF2"/>
    <w:rsid w:val="00614E0C"/>
    <w:rsid w:val="00615EA1"/>
    <w:rsid w:val="006164EB"/>
    <w:rsid w:val="00616811"/>
    <w:rsid w:val="00617CC3"/>
    <w:rsid w:val="00617EF0"/>
    <w:rsid w:val="00620AB9"/>
    <w:rsid w:val="00620CE1"/>
    <w:rsid w:val="00621C2F"/>
    <w:rsid w:val="006221F5"/>
    <w:rsid w:val="006237A4"/>
    <w:rsid w:val="00623880"/>
    <w:rsid w:val="00623F1D"/>
    <w:rsid w:val="00625CC4"/>
    <w:rsid w:val="00627444"/>
    <w:rsid w:val="00627D77"/>
    <w:rsid w:val="00630025"/>
    <w:rsid w:val="00631496"/>
    <w:rsid w:val="00631F22"/>
    <w:rsid w:val="006328F4"/>
    <w:rsid w:val="00632C82"/>
    <w:rsid w:val="00632E98"/>
    <w:rsid w:val="00633CAA"/>
    <w:rsid w:val="006352AE"/>
    <w:rsid w:val="00635C66"/>
    <w:rsid w:val="00636C84"/>
    <w:rsid w:val="00636CD3"/>
    <w:rsid w:val="006375C3"/>
    <w:rsid w:val="006377A6"/>
    <w:rsid w:val="00637A3D"/>
    <w:rsid w:val="006402B3"/>
    <w:rsid w:val="006411EF"/>
    <w:rsid w:val="0064131F"/>
    <w:rsid w:val="0064270E"/>
    <w:rsid w:val="006433BF"/>
    <w:rsid w:val="006435C2"/>
    <w:rsid w:val="00643827"/>
    <w:rsid w:val="00643C6C"/>
    <w:rsid w:val="006448F3"/>
    <w:rsid w:val="00645956"/>
    <w:rsid w:val="00645BD2"/>
    <w:rsid w:val="006461B0"/>
    <w:rsid w:val="00646410"/>
    <w:rsid w:val="0064796E"/>
    <w:rsid w:val="006519F0"/>
    <w:rsid w:val="00651B85"/>
    <w:rsid w:val="006523B8"/>
    <w:rsid w:val="00653872"/>
    <w:rsid w:val="00653ACA"/>
    <w:rsid w:val="006542D5"/>
    <w:rsid w:val="006546CB"/>
    <w:rsid w:val="0065493A"/>
    <w:rsid w:val="006550D4"/>
    <w:rsid w:val="00655659"/>
    <w:rsid w:val="00655CB9"/>
    <w:rsid w:val="006561E1"/>
    <w:rsid w:val="006563F8"/>
    <w:rsid w:val="006563FE"/>
    <w:rsid w:val="006564D7"/>
    <w:rsid w:val="00656776"/>
    <w:rsid w:val="006569A4"/>
    <w:rsid w:val="006571C4"/>
    <w:rsid w:val="00661151"/>
    <w:rsid w:val="00661AC2"/>
    <w:rsid w:val="00663D8A"/>
    <w:rsid w:val="006645BE"/>
    <w:rsid w:val="00664AB7"/>
    <w:rsid w:val="00665875"/>
    <w:rsid w:val="00665D4B"/>
    <w:rsid w:val="006662FB"/>
    <w:rsid w:val="0066636B"/>
    <w:rsid w:val="00666870"/>
    <w:rsid w:val="0066749E"/>
    <w:rsid w:val="0066795B"/>
    <w:rsid w:val="00667E66"/>
    <w:rsid w:val="00670448"/>
    <w:rsid w:val="0067218B"/>
    <w:rsid w:val="0067280A"/>
    <w:rsid w:val="00673989"/>
    <w:rsid w:val="00674864"/>
    <w:rsid w:val="006748B8"/>
    <w:rsid w:val="00674BA4"/>
    <w:rsid w:val="00674D11"/>
    <w:rsid w:val="0067633E"/>
    <w:rsid w:val="00676480"/>
    <w:rsid w:val="006768C9"/>
    <w:rsid w:val="00677363"/>
    <w:rsid w:val="006775C3"/>
    <w:rsid w:val="00680B2E"/>
    <w:rsid w:val="00681153"/>
    <w:rsid w:val="00682DAF"/>
    <w:rsid w:val="00683153"/>
    <w:rsid w:val="0068332B"/>
    <w:rsid w:val="00683B95"/>
    <w:rsid w:val="00683F36"/>
    <w:rsid w:val="00684317"/>
    <w:rsid w:val="00684A09"/>
    <w:rsid w:val="0068502D"/>
    <w:rsid w:val="00685272"/>
    <w:rsid w:val="00685909"/>
    <w:rsid w:val="0068592B"/>
    <w:rsid w:val="0068642A"/>
    <w:rsid w:val="00686C4D"/>
    <w:rsid w:val="00686E32"/>
    <w:rsid w:val="00687889"/>
    <w:rsid w:val="006902B9"/>
    <w:rsid w:val="00690508"/>
    <w:rsid w:val="006909AB"/>
    <w:rsid w:val="00691FB6"/>
    <w:rsid w:val="0069217C"/>
    <w:rsid w:val="0069290A"/>
    <w:rsid w:val="006936C0"/>
    <w:rsid w:val="006940A0"/>
    <w:rsid w:val="00695065"/>
    <w:rsid w:val="006967D4"/>
    <w:rsid w:val="0069775A"/>
    <w:rsid w:val="00697813"/>
    <w:rsid w:val="006A04C3"/>
    <w:rsid w:val="006A2CE6"/>
    <w:rsid w:val="006A3EE8"/>
    <w:rsid w:val="006A4170"/>
    <w:rsid w:val="006A424A"/>
    <w:rsid w:val="006A4E29"/>
    <w:rsid w:val="006A5DFA"/>
    <w:rsid w:val="006A6468"/>
    <w:rsid w:val="006A72BF"/>
    <w:rsid w:val="006B03F2"/>
    <w:rsid w:val="006B15D9"/>
    <w:rsid w:val="006B1960"/>
    <w:rsid w:val="006B33E5"/>
    <w:rsid w:val="006B37DC"/>
    <w:rsid w:val="006B4F51"/>
    <w:rsid w:val="006B4F68"/>
    <w:rsid w:val="006B52AA"/>
    <w:rsid w:val="006B5D18"/>
    <w:rsid w:val="006B7ECE"/>
    <w:rsid w:val="006C0592"/>
    <w:rsid w:val="006C0DCC"/>
    <w:rsid w:val="006C0F87"/>
    <w:rsid w:val="006C15B8"/>
    <w:rsid w:val="006C272E"/>
    <w:rsid w:val="006C3249"/>
    <w:rsid w:val="006C32E9"/>
    <w:rsid w:val="006C3CEF"/>
    <w:rsid w:val="006C5479"/>
    <w:rsid w:val="006C5705"/>
    <w:rsid w:val="006C5E9B"/>
    <w:rsid w:val="006C651E"/>
    <w:rsid w:val="006C7E17"/>
    <w:rsid w:val="006C7EC3"/>
    <w:rsid w:val="006D042C"/>
    <w:rsid w:val="006D06AD"/>
    <w:rsid w:val="006D0C20"/>
    <w:rsid w:val="006D0F30"/>
    <w:rsid w:val="006D13B5"/>
    <w:rsid w:val="006D187E"/>
    <w:rsid w:val="006D1A3C"/>
    <w:rsid w:val="006D2E05"/>
    <w:rsid w:val="006D412C"/>
    <w:rsid w:val="006D4EF9"/>
    <w:rsid w:val="006D601F"/>
    <w:rsid w:val="006D64F7"/>
    <w:rsid w:val="006D7342"/>
    <w:rsid w:val="006D7ADA"/>
    <w:rsid w:val="006E030E"/>
    <w:rsid w:val="006E0B1F"/>
    <w:rsid w:val="006E12FF"/>
    <w:rsid w:val="006E1AB2"/>
    <w:rsid w:val="006E1C33"/>
    <w:rsid w:val="006E1FF9"/>
    <w:rsid w:val="006E2198"/>
    <w:rsid w:val="006E34DB"/>
    <w:rsid w:val="006E39B4"/>
    <w:rsid w:val="006E5293"/>
    <w:rsid w:val="006E54EB"/>
    <w:rsid w:val="006E607E"/>
    <w:rsid w:val="006E6668"/>
    <w:rsid w:val="006E6853"/>
    <w:rsid w:val="006E6A02"/>
    <w:rsid w:val="006E76BC"/>
    <w:rsid w:val="006E7757"/>
    <w:rsid w:val="006F0180"/>
    <w:rsid w:val="006F0F4B"/>
    <w:rsid w:val="006F1140"/>
    <w:rsid w:val="006F2D56"/>
    <w:rsid w:val="006F38E5"/>
    <w:rsid w:val="006F4087"/>
    <w:rsid w:val="006F42B6"/>
    <w:rsid w:val="006F51CC"/>
    <w:rsid w:val="006F6A20"/>
    <w:rsid w:val="006F7261"/>
    <w:rsid w:val="006F76C8"/>
    <w:rsid w:val="006F771C"/>
    <w:rsid w:val="007015CA"/>
    <w:rsid w:val="0070168E"/>
    <w:rsid w:val="00701F9F"/>
    <w:rsid w:val="00702697"/>
    <w:rsid w:val="00702DBF"/>
    <w:rsid w:val="00703BD1"/>
    <w:rsid w:val="007044C3"/>
    <w:rsid w:val="00705250"/>
    <w:rsid w:val="00705366"/>
    <w:rsid w:val="007054E5"/>
    <w:rsid w:val="00705D97"/>
    <w:rsid w:val="00705FF7"/>
    <w:rsid w:val="007061A2"/>
    <w:rsid w:val="00706C5D"/>
    <w:rsid w:val="00706F51"/>
    <w:rsid w:val="007071C3"/>
    <w:rsid w:val="00707339"/>
    <w:rsid w:val="0070769E"/>
    <w:rsid w:val="00707E6D"/>
    <w:rsid w:val="007105D2"/>
    <w:rsid w:val="00710922"/>
    <w:rsid w:val="00711C63"/>
    <w:rsid w:val="00712331"/>
    <w:rsid w:val="00712898"/>
    <w:rsid w:val="007130F5"/>
    <w:rsid w:val="007140B7"/>
    <w:rsid w:val="00714F5F"/>
    <w:rsid w:val="00715F2F"/>
    <w:rsid w:val="00717E6D"/>
    <w:rsid w:val="007204F9"/>
    <w:rsid w:val="00720952"/>
    <w:rsid w:val="00721EB1"/>
    <w:rsid w:val="00722AA5"/>
    <w:rsid w:val="00723779"/>
    <w:rsid w:val="007239CA"/>
    <w:rsid w:val="00724055"/>
    <w:rsid w:val="00724376"/>
    <w:rsid w:val="00724BC0"/>
    <w:rsid w:val="00724CB3"/>
    <w:rsid w:val="00725FCD"/>
    <w:rsid w:val="0072605A"/>
    <w:rsid w:val="007302CF"/>
    <w:rsid w:val="00730F16"/>
    <w:rsid w:val="00730F61"/>
    <w:rsid w:val="00731F66"/>
    <w:rsid w:val="0073244B"/>
    <w:rsid w:val="00732922"/>
    <w:rsid w:val="00732A72"/>
    <w:rsid w:val="00732B79"/>
    <w:rsid w:val="0073466A"/>
    <w:rsid w:val="007354EE"/>
    <w:rsid w:val="00737176"/>
    <w:rsid w:val="00737B8B"/>
    <w:rsid w:val="007412D5"/>
    <w:rsid w:val="007413EA"/>
    <w:rsid w:val="00742173"/>
    <w:rsid w:val="00743249"/>
    <w:rsid w:val="00744074"/>
    <w:rsid w:val="0074428A"/>
    <w:rsid w:val="007448C3"/>
    <w:rsid w:val="00746F6B"/>
    <w:rsid w:val="00747C15"/>
    <w:rsid w:val="00750194"/>
    <w:rsid w:val="00750267"/>
    <w:rsid w:val="00750E90"/>
    <w:rsid w:val="00750FD9"/>
    <w:rsid w:val="007513FF"/>
    <w:rsid w:val="0075162E"/>
    <w:rsid w:val="0075197C"/>
    <w:rsid w:val="00751C85"/>
    <w:rsid w:val="00751E9F"/>
    <w:rsid w:val="0075203E"/>
    <w:rsid w:val="00752EEB"/>
    <w:rsid w:val="00754034"/>
    <w:rsid w:val="00755B6E"/>
    <w:rsid w:val="00756556"/>
    <w:rsid w:val="0075696A"/>
    <w:rsid w:val="007569BA"/>
    <w:rsid w:val="00757883"/>
    <w:rsid w:val="00760850"/>
    <w:rsid w:val="007609E5"/>
    <w:rsid w:val="00760B1C"/>
    <w:rsid w:val="0076136B"/>
    <w:rsid w:val="007618C4"/>
    <w:rsid w:val="00761D78"/>
    <w:rsid w:val="007625CD"/>
    <w:rsid w:val="00762C95"/>
    <w:rsid w:val="00762FE0"/>
    <w:rsid w:val="007633F6"/>
    <w:rsid w:val="007635F9"/>
    <w:rsid w:val="007649BE"/>
    <w:rsid w:val="00764ABD"/>
    <w:rsid w:val="00764C51"/>
    <w:rsid w:val="0076559A"/>
    <w:rsid w:val="0076569A"/>
    <w:rsid w:val="007661F9"/>
    <w:rsid w:val="00767980"/>
    <w:rsid w:val="0077038F"/>
    <w:rsid w:val="0077056D"/>
    <w:rsid w:val="00770B19"/>
    <w:rsid w:val="00770D94"/>
    <w:rsid w:val="00771866"/>
    <w:rsid w:val="007720EE"/>
    <w:rsid w:val="0077256E"/>
    <w:rsid w:val="007725DF"/>
    <w:rsid w:val="0077463F"/>
    <w:rsid w:val="0077661C"/>
    <w:rsid w:val="00777051"/>
    <w:rsid w:val="00777760"/>
    <w:rsid w:val="00780DAC"/>
    <w:rsid w:val="00781178"/>
    <w:rsid w:val="00781416"/>
    <w:rsid w:val="007836EA"/>
    <w:rsid w:val="00784CDA"/>
    <w:rsid w:val="00784E70"/>
    <w:rsid w:val="0078552A"/>
    <w:rsid w:val="007858E6"/>
    <w:rsid w:val="00787C9B"/>
    <w:rsid w:val="007906C4"/>
    <w:rsid w:val="00791919"/>
    <w:rsid w:val="0079204C"/>
    <w:rsid w:val="00792249"/>
    <w:rsid w:val="00792C9F"/>
    <w:rsid w:val="00792F04"/>
    <w:rsid w:val="00793084"/>
    <w:rsid w:val="00793186"/>
    <w:rsid w:val="00793646"/>
    <w:rsid w:val="007940EA"/>
    <w:rsid w:val="0079498D"/>
    <w:rsid w:val="00794B1F"/>
    <w:rsid w:val="00795070"/>
    <w:rsid w:val="007951DB"/>
    <w:rsid w:val="00795714"/>
    <w:rsid w:val="007967E8"/>
    <w:rsid w:val="0079765E"/>
    <w:rsid w:val="007A0F7A"/>
    <w:rsid w:val="007A2170"/>
    <w:rsid w:val="007A22BF"/>
    <w:rsid w:val="007A2DA4"/>
    <w:rsid w:val="007A2E77"/>
    <w:rsid w:val="007A2F0D"/>
    <w:rsid w:val="007A3323"/>
    <w:rsid w:val="007A344B"/>
    <w:rsid w:val="007A4B51"/>
    <w:rsid w:val="007A4C4F"/>
    <w:rsid w:val="007A5553"/>
    <w:rsid w:val="007A5DE5"/>
    <w:rsid w:val="007A5EFB"/>
    <w:rsid w:val="007A65E9"/>
    <w:rsid w:val="007A718D"/>
    <w:rsid w:val="007B0CC0"/>
    <w:rsid w:val="007B22FF"/>
    <w:rsid w:val="007B38EB"/>
    <w:rsid w:val="007B3BF5"/>
    <w:rsid w:val="007B474B"/>
    <w:rsid w:val="007B57DF"/>
    <w:rsid w:val="007B72B8"/>
    <w:rsid w:val="007B7A58"/>
    <w:rsid w:val="007C033D"/>
    <w:rsid w:val="007C0D3C"/>
    <w:rsid w:val="007C1583"/>
    <w:rsid w:val="007C1B54"/>
    <w:rsid w:val="007C1E66"/>
    <w:rsid w:val="007C21B5"/>
    <w:rsid w:val="007C24DA"/>
    <w:rsid w:val="007C300D"/>
    <w:rsid w:val="007C325A"/>
    <w:rsid w:val="007C633F"/>
    <w:rsid w:val="007C6B06"/>
    <w:rsid w:val="007C6C48"/>
    <w:rsid w:val="007C717F"/>
    <w:rsid w:val="007D1E68"/>
    <w:rsid w:val="007D2546"/>
    <w:rsid w:val="007D277B"/>
    <w:rsid w:val="007D356B"/>
    <w:rsid w:val="007D3B70"/>
    <w:rsid w:val="007D4813"/>
    <w:rsid w:val="007D4CDF"/>
    <w:rsid w:val="007D52CD"/>
    <w:rsid w:val="007D57CF"/>
    <w:rsid w:val="007D5EC5"/>
    <w:rsid w:val="007D6AE2"/>
    <w:rsid w:val="007D7139"/>
    <w:rsid w:val="007D7C7D"/>
    <w:rsid w:val="007E0EE9"/>
    <w:rsid w:val="007E13E2"/>
    <w:rsid w:val="007E1DF0"/>
    <w:rsid w:val="007E232E"/>
    <w:rsid w:val="007E3C90"/>
    <w:rsid w:val="007E4BD2"/>
    <w:rsid w:val="007E5117"/>
    <w:rsid w:val="007E5CB9"/>
    <w:rsid w:val="007E71E9"/>
    <w:rsid w:val="007E7248"/>
    <w:rsid w:val="007E7BB8"/>
    <w:rsid w:val="007F118E"/>
    <w:rsid w:val="007F16E1"/>
    <w:rsid w:val="007F1949"/>
    <w:rsid w:val="007F260F"/>
    <w:rsid w:val="007F3789"/>
    <w:rsid w:val="007F3A90"/>
    <w:rsid w:val="007F4D82"/>
    <w:rsid w:val="007F5A49"/>
    <w:rsid w:val="007F6029"/>
    <w:rsid w:val="00800833"/>
    <w:rsid w:val="00801393"/>
    <w:rsid w:val="0080206A"/>
    <w:rsid w:val="008021BA"/>
    <w:rsid w:val="00802EAF"/>
    <w:rsid w:val="00802F88"/>
    <w:rsid w:val="00804AB4"/>
    <w:rsid w:val="00806383"/>
    <w:rsid w:val="0081293E"/>
    <w:rsid w:val="00812B8B"/>
    <w:rsid w:val="00812FE0"/>
    <w:rsid w:val="0081300E"/>
    <w:rsid w:val="008133AF"/>
    <w:rsid w:val="0081388D"/>
    <w:rsid w:val="00813995"/>
    <w:rsid w:val="0081468D"/>
    <w:rsid w:val="00815465"/>
    <w:rsid w:val="008156BD"/>
    <w:rsid w:val="008165F2"/>
    <w:rsid w:val="0081693F"/>
    <w:rsid w:val="00817309"/>
    <w:rsid w:val="00817E9A"/>
    <w:rsid w:val="00821381"/>
    <w:rsid w:val="00822C33"/>
    <w:rsid w:val="0082313E"/>
    <w:rsid w:val="0082345F"/>
    <w:rsid w:val="008243BD"/>
    <w:rsid w:val="00824804"/>
    <w:rsid w:val="00827540"/>
    <w:rsid w:val="00827F7A"/>
    <w:rsid w:val="008306BD"/>
    <w:rsid w:val="00831736"/>
    <w:rsid w:val="00831A80"/>
    <w:rsid w:val="00832852"/>
    <w:rsid w:val="008328FF"/>
    <w:rsid w:val="00832CF8"/>
    <w:rsid w:val="008330C9"/>
    <w:rsid w:val="00833743"/>
    <w:rsid w:val="008340A4"/>
    <w:rsid w:val="00834A2D"/>
    <w:rsid w:val="00835192"/>
    <w:rsid w:val="00835F86"/>
    <w:rsid w:val="008362ED"/>
    <w:rsid w:val="008372C4"/>
    <w:rsid w:val="00837C22"/>
    <w:rsid w:val="00840156"/>
    <w:rsid w:val="00841465"/>
    <w:rsid w:val="008431B8"/>
    <w:rsid w:val="008434B3"/>
    <w:rsid w:val="00843BCE"/>
    <w:rsid w:val="00844C81"/>
    <w:rsid w:val="00844CB2"/>
    <w:rsid w:val="0084554A"/>
    <w:rsid w:val="008462CD"/>
    <w:rsid w:val="008471EE"/>
    <w:rsid w:val="00847364"/>
    <w:rsid w:val="00847BC6"/>
    <w:rsid w:val="008507EF"/>
    <w:rsid w:val="00851C5C"/>
    <w:rsid w:val="0085230C"/>
    <w:rsid w:val="00852E16"/>
    <w:rsid w:val="00852EE7"/>
    <w:rsid w:val="00853DB9"/>
    <w:rsid w:val="008548F2"/>
    <w:rsid w:val="00855859"/>
    <w:rsid w:val="0085599D"/>
    <w:rsid w:val="008567A2"/>
    <w:rsid w:val="00856B08"/>
    <w:rsid w:val="00860E25"/>
    <w:rsid w:val="00861346"/>
    <w:rsid w:val="0086168E"/>
    <w:rsid w:val="00861C01"/>
    <w:rsid w:val="00863209"/>
    <w:rsid w:val="00863350"/>
    <w:rsid w:val="00863C19"/>
    <w:rsid w:val="00864CDB"/>
    <w:rsid w:val="00864F0A"/>
    <w:rsid w:val="008653F2"/>
    <w:rsid w:val="008658AC"/>
    <w:rsid w:val="008660A4"/>
    <w:rsid w:val="00866548"/>
    <w:rsid w:val="008675DF"/>
    <w:rsid w:val="00867C05"/>
    <w:rsid w:val="00870F91"/>
    <w:rsid w:val="0087135F"/>
    <w:rsid w:val="00871362"/>
    <w:rsid w:val="0087177D"/>
    <w:rsid w:val="008727B0"/>
    <w:rsid w:val="00872D94"/>
    <w:rsid w:val="00874539"/>
    <w:rsid w:val="008748BD"/>
    <w:rsid w:val="00874D5F"/>
    <w:rsid w:val="0087527A"/>
    <w:rsid w:val="008754A1"/>
    <w:rsid w:val="00875880"/>
    <w:rsid w:val="008760C9"/>
    <w:rsid w:val="008770F0"/>
    <w:rsid w:val="0087716B"/>
    <w:rsid w:val="0087768F"/>
    <w:rsid w:val="00877825"/>
    <w:rsid w:val="008779C1"/>
    <w:rsid w:val="00877E32"/>
    <w:rsid w:val="00880364"/>
    <w:rsid w:val="008818A1"/>
    <w:rsid w:val="00881EC9"/>
    <w:rsid w:val="0088262F"/>
    <w:rsid w:val="00883296"/>
    <w:rsid w:val="00883340"/>
    <w:rsid w:val="008833A4"/>
    <w:rsid w:val="0088416A"/>
    <w:rsid w:val="00884495"/>
    <w:rsid w:val="008855F2"/>
    <w:rsid w:val="00885E2A"/>
    <w:rsid w:val="00886400"/>
    <w:rsid w:val="008868F7"/>
    <w:rsid w:val="00890AAE"/>
    <w:rsid w:val="00890CD0"/>
    <w:rsid w:val="00890FE0"/>
    <w:rsid w:val="00891592"/>
    <w:rsid w:val="008915B0"/>
    <w:rsid w:val="0089161D"/>
    <w:rsid w:val="00891E9E"/>
    <w:rsid w:val="0089223C"/>
    <w:rsid w:val="00893EEC"/>
    <w:rsid w:val="008942AE"/>
    <w:rsid w:val="0089464A"/>
    <w:rsid w:val="00894905"/>
    <w:rsid w:val="00895D8D"/>
    <w:rsid w:val="008960ED"/>
    <w:rsid w:val="00896630"/>
    <w:rsid w:val="008A01E7"/>
    <w:rsid w:val="008A0842"/>
    <w:rsid w:val="008A0ABA"/>
    <w:rsid w:val="008A0F2B"/>
    <w:rsid w:val="008A0F49"/>
    <w:rsid w:val="008A16F0"/>
    <w:rsid w:val="008A2542"/>
    <w:rsid w:val="008A2F68"/>
    <w:rsid w:val="008A415E"/>
    <w:rsid w:val="008A43B2"/>
    <w:rsid w:val="008A4936"/>
    <w:rsid w:val="008A4960"/>
    <w:rsid w:val="008A4B05"/>
    <w:rsid w:val="008A4CC7"/>
    <w:rsid w:val="008A5580"/>
    <w:rsid w:val="008A597A"/>
    <w:rsid w:val="008A5BB9"/>
    <w:rsid w:val="008A65A5"/>
    <w:rsid w:val="008A6961"/>
    <w:rsid w:val="008A6B44"/>
    <w:rsid w:val="008A7274"/>
    <w:rsid w:val="008B10D2"/>
    <w:rsid w:val="008B1C55"/>
    <w:rsid w:val="008B2DB9"/>
    <w:rsid w:val="008B38A8"/>
    <w:rsid w:val="008B4B43"/>
    <w:rsid w:val="008B4E09"/>
    <w:rsid w:val="008B4FA6"/>
    <w:rsid w:val="008B5156"/>
    <w:rsid w:val="008B5282"/>
    <w:rsid w:val="008B55B9"/>
    <w:rsid w:val="008B5676"/>
    <w:rsid w:val="008B5B24"/>
    <w:rsid w:val="008B5D8B"/>
    <w:rsid w:val="008B671E"/>
    <w:rsid w:val="008B6B4D"/>
    <w:rsid w:val="008B7215"/>
    <w:rsid w:val="008B757E"/>
    <w:rsid w:val="008B7C17"/>
    <w:rsid w:val="008B7FAE"/>
    <w:rsid w:val="008C19E7"/>
    <w:rsid w:val="008C2D01"/>
    <w:rsid w:val="008C32D1"/>
    <w:rsid w:val="008C40E6"/>
    <w:rsid w:val="008C4BFB"/>
    <w:rsid w:val="008C4D6F"/>
    <w:rsid w:val="008C61E4"/>
    <w:rsid w:val="008C7581"/>
    <w:rsid w:val="008C7BA4"/>
    <w:rsid w:val="008D0872"/>
    <w:rsid w:val="008D0F7A"/>
    <w:rsid w:val="008D17A9"/>
    <w:rsid w:val="008D1907"/>
    <w:rsid w:val="008D1D52"/>
    <w:rsid w:val="008D27A1"/>
    <w:rsid w:val="008D3A03"/>
    <w:rsid w:val="008D3B30"/>
    <w:rsid w:val="008D3FEF"/>
    <w:rsid w:val="008D4988"/>
    <w:rsid w:val="008D52B2"/>
    <w:rsid w:val="008D557F"/>
    <w:rsid w:val="008D5774"/>
    <w:rsid w:val="008D68E4"/>
    <w:rsid w:val="008D7008"/>
    <w:rsid w:val="008D7E9B"/>
    <w:rsid w:val="008E02AD"/>
    <w:rsid w:val="008E0506"/>
    <w:rsid w:val="008E0CFF"/>
    <w:rsid w:val="008E3437"/>
    <w:rsid w:val="008E4243"/>
    <w:rsid w:val="008E493F"/>
    <w:rsid w:val="008E4BD7"/>
    <w:rsid w:val="008E5BF2"/>
    <w:rsid w:val="008E5D6B"/>
    <w:rsid w:val="008E62BD"/>
    <w:rsid w:val="008E6F89"/>
    <w:rsid w:val="008E76F0"/>
    <w:rsid w:val="008F0846"/>
    <w:rsid w:val="008F0C3D"/>
    <w:rsid w:val="008F15FE"/>
    <w:rsid w:val="008F2D29"/>
    <w:rsid w:val="008F3114"/>
    <w:rsid w:val="008F3E1B"/>
    <w:rsid w:val="008F5039"/>
    <w:rsid w:val="008F5187"/>
    <w:rsid w:val="008F51AC"/>
    <w:rsid w:val="008F5528"/>
    <w:rsid w:val="008F60D8"/>
    <w:rsid w:val="008F6321"/>
    <w:rsid w:val="008F6447"/>
    <w:rsid w:val="008F6BF8"/>
    <w:rsid w:val="00900090"/>
    <w:rsid w:val="00902727"/>
    <w:rsid w:val="00902C2A"/>
    <w:rsid w:val="0090312B"/>
    <w:rsid w:val="009040C5"/>
    <w:rsid w:val="009044C0"/>
    <w:rsid w:val="009049D8"/>
    <w:rsid w:val="009051DF"/>
    <w:rsid w:val="00905589"/>
    <w:rsid w:val="00905B11"/>
    <w:rsid w:val="00905D71"/>
    <w:rsid w:val="00906934"/>
    <w:rsid w:val="00906C2B"/>
    <w:rsid w:val="00911220"/>
    <w:rsid w:val="00911C21"/>
    <w:rsid w:val="00911F0C"/>
    <w:rsid w:val="00912013"/>
    <w:rsid w:val="00912414"/>
    <w:rsid w:val="009126F2"/>
    <w:rsid w:val="009128E1"/>
    <w:rsid w:val="00912FBF"/>
    <w:rsid w:val="009142F6"/>
    <w:rsid w:val="009143CF"/>
    <w:rsid w:val="00914C80"/>
    <w:rsid w:val="00915314"/>
    <w:rsid w:val="00915956"/>
    <w:rsid w:val="00915BB7"/>
    <w:rsid w:val="00915F4E"/>
    <w:rsid w:val="0091621A"/>
    <w:rsid w:val="0091736D"/>
    <w:rsid w:val="009177CF"/>
    <w:rsid w:val="009203A0"/>
    <w:rsid w:val="00920C85"/>
    <w:rsid w:val="00920FE7"/>
    <w:rsid w:val="0092131B"/>
    <w:rsid w:val="009219CB"/>
    <w:rsid w:val="00921DA3"/>
    <w:rsid w:val="009228CA"/>
    <w:rsid w:val="00922BD5"/>
    <w:rsid w:val="0092351C"/>
    <w:rsid w:val="009238C2"/>
    <w:rsid w:val="0092391D"/>
    <w:rsid w:val="00923A91"/>
    <w:rsid w:val="00925336"/>
    <w:rsid w:val="009255F4"/>
    <w:rsid w:val="009270A6"/>
    <w:rsid w:val="00927196"/>
    <w:rsid w:val="00927937"/>
    <w:rsid w:val="00930024"/>
    <w:rsid w:val="0093037A"/>
    <w:rsid w:val="00930D2A"/>
    <w:rsid w:val="00930D75"/>
    <w:rsid w:val="009311D2"/>
    <w:rsid w:val="00931554"/>
    <w:rsid w:val="00931771"/>
    <w:rsid w:val="00931C46"/>
    <w:rsid w:val="00931F22"/>
    <w:rsid w:val="00932BC5"/>
    <w:rsid w:val="00933B27"/>
    <w:rsid w:val="00933F55"/>
    <w:rsid w:val="0093509A"/>
    <w:rsid w:val="00935123"/>
    <w:rsid w:val="00935FDF"/>
    <w:rsid w:val="00936580"/>
    <w:rsid w:val="009367B1"/>
    <w:rsid w:val="009369E5"/>
    <w:rsid w:val="0093730D"/>
    <w:rsid w:val="009405DD"/>
    <w:rsid w:val="0094154D"/>
    <w:rsid w:val="00942357"/>
    <w:rsid w:val="0094239A"/>
    <w:rsid w:val="0094300D"/>
    <w:rsid w:val="00943DC1"/>
    <w:rsid w:val="00944AC1"/>
    <w:rsid w:val="00944CEA"/>
    <w:rsid w:val="00945782"/>
    <w:rsid w:val="00945C16"/>
    <w:rsid w:val="009475B7"/>
    <w:rsid w:val="00947F90"/>
    <w:rsid w:val="00950805"/>
    <w:rsid w:val="0095119D"/>
    <w:rsid w:val="0095155F"/>
    <w:rsid w:val="00951BC8"/>
    <w:rsid w:val="00951CF8"/>
    <w:rsid w:val="00951D07"/>
    <w:rsid w:val="0095200E"/>
    <w:rsid w:val="00952222"/>
    <w:rsid w:val="009525CF"/>
    <w:rsid w:val="00954222"/>
    <w:rsid w:val="00954429"/>
    <w:rsid w:val="00955DAC"/>
    <w:rsid w:val="009563CE"/>
    <w:rsid w:val="0095785D"/>
    <w:rsid w:val="00957B28"/>
    <w:rsid w:val="00960797"/>
    <w:rsid w:val="00961241"/>
    <w:rsid w:val="009615D0"/>
    <w:rsid w:val="00961BA6"/>
    <w:rsid w:val="00962B79"/>
    <w:rsid w:val="00963A62"/>
    <w:rsid w:val="00964104"/>
    <w:rsid w:val="00964730"/>
    <w:rsid w:val="00964880"/>
    <w:rsid w:val="00965204"/>
    <w:rsid w:val="00966E37"/>
    <w:rsid w:val="009673F1"/>
    <w:rsid w:val="0096793D"/>
    <w:rsid w:val="009701F5"/>
    <w:rsid w:val="00970650"/>
    <w:rsid w:val="00970744"/>
    <w:rsid w:val="00970FB3"/>
    <w:rsid w:val="009717D2"/>
    <w:rsid w:val="00971A22"/>
    <w:rsid w:val="00971D5B"/>
    <w:rsid w:val="00972492"/>
    <w:rsid w:val="009737DA"/>
    <w:rsid w:val="009740AF"/>
    <w:rsid w:val="0097441B"/>
    <w:rsid w:val="00975C18"/>
    <w:rsid w:val="00976328"/>
    <w:rsid w:val="00976548"/>
    <w:rsid w:val="009765BE"/>
    <w:rsid w:val="00976631"/>
    <w:rsid w:val="0097680D"/>
    <w:rsid w:val="00976D2B"/>
    <w:rsid w:val="00976EBC"/>
    <w:rsid w:val="009775B1"/>
    <w:rsid w:val="00977B0D"/>
    <w:rsid w:val="00980867"/>
    <w:rsid w:val="00980B62"/>
    <w:rsid w:val="00980E0C"/>
    <w:rsid w:val="00981589"/>
    <w:rsid w:val="009823E8"/>
    <w:rsid w:val="00982438"/>
    <w:rsid w:val="009835EE"/>
    <w:rsid w:val="0098404C"/>
    <w:rsid w:val="00984951"/>
    <w:rsid w:val="00985283"/>
    <w:rsid w:val="00985294"/>
    <w:rsid w:val="0098557E"/>
    <w:rsid w:val="00985641"/>
    <w:rsid w:val="009865A3"/>
    <w:rsid w:val="009865B1"/>
    <w:rsid w:val="00987146"/>
    <w:rsid w:val="00987684"/>
    <w:rsid w:val="00990290"/>
    <w:rsid w:val="00990423"/>
    <w:rsid w:val="00990838"/>
    <w:rsid w:val="00990CE4"/>
    <w:rsid w:val="00991385"/>
    <w:rsid w:val="0099215F"/>
    <w:rsid w:val="009931CB"/>
    <w:rsid w:val="0099323C"/>
    <w:rsid w:val="00993D44"/>
    <w:rsid w:val="00993D99"/>
    <w:rsid w:val="00994A23"/>
    <w:rsid w:val="00995152"/>
    <w:rsid w:val="00995992"/>
    <w:rsid w:val="0099641F"/>
    <w:rsid w:val="00996687"/>
    <w:rsid w:val="0099771F"/>
    <w:rsid w:val="00997CDB"/>
    <w:rsid w:val="00997E8F"/>
    <w:rsid w:val="009A019C"/>
    <w:rsid w:val="009A01C9"/>
    <w:rsid w:val="009A03E5"/>
    <w:rsid w:val="009A081B"/>
    <w:rsid w:val="009A0F3B"/>
    <w:rsid w:val="009A100E"/>
    <w:rsid w:val="009A17CA"/>
    <w:rsid w:val="009A1BB4"/>
    <w:rsid w:val="009A2628"/>
    <w:rsid w:val="009A2CDE"/>
    <w:rsid w:val="009A3200"/>
    <w:rsid w:val="009A35AB"/>
    <w:rsid w:val="009A37D8"/>
    <w:rsid w:val="009A427A"/>
    <w:rsid w:val="009A55A3"/>
    <w:rsid w:val="009A5EA1"/>
    <w:rsid w:val="009A5F35"/>
    <w:rsid w:val="009A6ADF"/>
    <w:rsid w:val="009A7CF2"/>
    <w:rsid w:val="009A7D63"/>
    <w:rsid w:val="009B0897"/>
    <w:rsid w:val="009B0ABE"/>
    <w:rsid w:val="009B0DEE"/>
    <w:rsid w:val="009B2847"/>
    <w:rsid w:val="009B37DA"/>
    <w:rsid w:val="009B3D95"/>
    <w:rsid w:val="009B5743"/>
    <w:rsid w:val="009B58E2"/>
    <w:rsid w:val="009B6107"/>
    <w:rsid w:val="009B648B"/>
    <w:rsid w:val="009B6AC7"/>
    <w:rsid w:val="009B783E"/>
    <w:rsid w:val="009B7B18"/>
    <w:rsid w:val="009B7BD9"/>
    <w:rsid w:val="009C232B"/>
    <w:rsid w:val="009C2CA9"/>
    <w:rsid w:val="009C3132"/>
    <w:rsid w:val="009C436D"/>
    <w:rsid w:val="009C7642"/>
    <w:rsid w:val="009C766B"/>
    <w:rsid w:val="009C7DD5"/>
    <w:rsid w:val="009D2230"/>
    <w:rsid w:val="009D2650"/>
    <w:rsid w:val="009D2BE3"/>
    <w:rsid w:val="009D3305"/>
    <w:rsid w:val="009D330B"/>
    <w:rsid w:val="009D3326"/>
    <w:rsid w:val="009D38D5"/>
    <w:rsid w:val="009D39D9"/>
    <w:rsid w:val="009D4B9B"/>
    <w:rsid w:val="009D4CBE"/>
    <w:rsid w:val="009D5150"/>
    <w:rsid w:val="009D548E"/>
    <w:rsid w:val="009D641C"/>
    <w:rsid w:val="009D6908"/>
    <w:rsid w:val="009D6D15"/>
    <w:rsid w:val="009E0C1B"/>
    <w:rsid w:val="009E0E2A"/>
    <w:rsid w:val="009E0FCE"/>
    <w:rsid w:val="009E227D"/>
    <w:rsid w:val="009E26EB"/>
    <w:rsid w:val="009E4ACA"/>
    <w:rsid w:val="009E4F9C"/>
    <w:rsid w:val="009E5019"/>
    <w:rsid w:val="009E518A"/>
    <w:rsid w:val="009E5FBC"/>
    <w:rsid w:val="009E64BB"/>
    <w:rsid w:val="009E66D4"/>
    <w:rsid w:val="009E6D69"/>
    <w:rsid w:val="009E7D67"/>
    <w:rsid w:val="009F039A"/>
    <w:rsid w:val="009F1792"/>
    <w:rsid w:val="009F1BAE"/>
    <w:rsid w:val="009F2B36"/>
    <w:rsid w:val="009F4AE0"/>
    <w:rsid w:val="009F4EA1"/>
    <w:rsid w:val="009F50EE"/>
    <w:rsid w:val="009F5850"/>
    <w:rsid w:val="009F5A04"/>
    <w:rsid w:val="009F5C4C"/>
    <w:rsid w:val="009F6848"/>
    <w:rsid w:val="009F6C55"/>
    <w:rsid w:val="009F727A"/>
    <w:rsid w:val="009F76B8"/>
    <w:rsid w:val="009F7B9F"/>
    <w:rsid w:val="00A015AE"/>
    <w:rsid w:val="00A022E5"/>
    <w:rsid w:val="00A026BF"/>
    <w:rsid w:val="00A038B8"/>
    <w:rsid w:val="00A04A49"/>
    <w:rsid w:val="00A04BAF"/>
    <w:rsid w:val="00A04F1B"/>
    <w:rsid w:val="00A04F34"/>
    <w:rsid w:val="00A0501B"/>
    <w:rsid w:val="00A07E06"/>
    <w:rsid w:val="00A1069B"/>
    <w:rsid w:val="00A10806"/>
    <w:rsid w:val="00A121FD"/>
    <w:rsid w:val="00A143A7"/>
    <w:rsid w:val="00A14947"/>
    <w:rsid w:val="00A14EFA"/>
    <w:rsid w:val="00A15AD0"/>
    <w:rsid w:val="00A15B8E"/>
    <w:rsid w:val="00A1688C"/>
    <w:rsid w:val="00A1697F"/>
    <w:rsid w:val="00A16B10"/>
    <w:rsid w:val="00A17CC1"/>
    <w:rsid w:val="00A210E0"/>
    <w:rsid w:val="00A223C0"/>
    <w:rsid w:val="00A22C73"/>
    <w:rsid w:val="00A23A5D"/>
    <w:rsid w:val="00A24878"/>
    <w:rsid w:val="00A24984"/>
    <w:rsid w:val="00A24FD0"/>
    <w:rsid w:val="00A25100"/>
    <w:rsid w:val="00A25149"/>
    <w:rsid w:val="00A25B0B"/>
    <w:rsid w:val="00A30B2B"/>
    <w:rsid w:val="00A30E69"/>
    <w:rsid w:val="00A30F9B"/>
    <w:rsid w:val="00A31854"/>
    <w:rsid w:val="00A32A83"/>
    <w:rsid w:val="00A3365A"/>
    <w:rsid w:val="00A33982"/>
    <w:rsid w:val="00A33CE3"/>
    <w:rsid w:val="00A34609"/>
    <w:rsid w:val="00A34748"/>
    <w:rsid w:val="00A36865"/>
    <w:rsid w:val="00A368DB"/>
    <w:rsid w:val="00A36A4B"/>
    <w:rsid w:val="00A40283"/>
    <w:rsid w:val="00A41895"/>
    <w:rsid w:val="00A41A04"/>
    <w:rsid w:val="00A423AA"/>
    <w:rsid w:val="00A423BD"/>
    <w:rsid w:val="00A43160"/>
    <w:rsid w:val="00A43D76"/>
    <w:rsid w:val="00A4466B"/>
    <w:rsid w:val="00A44CE3"/>
    <w:rsid w:val="00A453E3"/>
    <w:rsid w:val="00A45CA6"/>
    <w:rsid w:val="00A479C0"/>
    <w:rsid w:val="00A47B60"/>
    <w:rsid w:val="00A47D68"/>
    <w:rsid w:val="00A501C6"/>
    <w:rsid w:val="00A50E94"/>
    <w:rsid w:val="00A51115"/>
    <w:rsid w:val="00A51186"/>
    <w:rsid w:val="00A513B6"/>
    <w:rsid w:val="00A51788"/>
    <w:rsid w:val="00A539DB"/>
    <w:rsid w:val="00A53EC6"/>
    <w:rsid w:val="00A544F0"/>
    <w:rsid w:val="00A55C0F"/>
    <w:rsid w:val="00A568F7"/>
    <w:rsid w:val="00A56C37"/>
    <w:rsid w:val="00A577FF"/>
    <w:rsid w:val="00A625BA"/>
    <w:rsid w:val="00A629ED"/>
    <w:rsid w:val="00A63BCB"/>
    <w:rsid w:val="00A649F7"/>
    <w:rsid w:val="00A655C0"/>
    <w:rsid w:val="00A66732"/>
    <w:rsid w:val="00A66F2E"/>
    <w:rsid w:val="00A67565"/>
    <w:rsid w:val="00A67D0D"/>
    <w:rsid w:val="00A70DEC"/>
    <w:rsid w:val="00A711FD"/>
    <w:rsid w:val="00A7140B"/>
    <w:rsid w:val="00A71852"/>
    <w:rsid w:val="00A71A8A"/>
    <w:rsid w:val="00A720DA"/>
    <w:rsid w:val="00A7265D"/>
    <w:rsid w:val="00A738B3"/>
    <w:rsid w:val="00A741CB"/>
    <w:rsid w:val="00A75084"/>
    <w:rsid w:val="00A75A59"/>
    <w:rsid w:val="00A75C91"/>
    <w:rsid w:val="00A7607B"/>
    <w:rsid w:val="00A7648D"/>
    <w:rsid w:val="00A80AA2"/>
    <w:rsid w:val="00A838EE"/>
    <w:rsid w:val="00A839C9"/>
    <w:rsid w:val="00A83C7B"/>
    <w:rsid w:val="00A84664"/>
    <w:rsid w:val="00A84E61"/>
    <w:rsid w:val="00A8547D"/>
    <w:rsid w:val="00A856DC"/>
    <w:rsid w:val="00A86024"/>
    <w:rsid w:val="00A86A1D"/>
    <w:rsid w:val="00A8713F"/>
    <w:rsid w:val="00A908B7"/>
    <w:rsid w:val="00A90BA1"/>
    <w:rsid w:val="00A91117"/>
    <w:rsid w:val="00A92790"/>
    <w:rsid w:val="00A92F13"/>
    <w:rsid w:val="00A93215"/>
    <w:rsid w:val="00A93813"/>
    <w:rsid w:val="00A942C0"/>
    <w:rsid w:val="00A9481C"/>
    <w:rsid w:val="00A94B02"/>
    <w:rsid w:val="00A960F3"/>
    <w:rsid w:val="00A967E9"/>
    <w:rsid w:val="00A96942"/>
    <w:rsid w:val="00A96B64"/>
    <w:rsid w:val="00A96C45"/>
    <w:rsid w:val="00A97A9A"/>
    <w:rsid w:val="00AA02C7"/>
    <w:rsid w:val="00AA0671"/>
    <w:rsid w:val="00AA1840"/>
    <w:rsid w:val="00AA2531"/>
    <w:rsid w:val="00AA2B07"/>
    <w:rsid w:val="00AA365C"/>
    <w:rsid w:val="00AA36F9"/>
    <w:rsid w:val="00AA3E69"/>
    <w:rsid w:val="00AA4842"/>
    <w:rsid w:val="00AA495B"/>
    <w:rsid w:val="00AA4E18"/>
    <w:rsid w:val="00AA555D"/>
    <w:rsid w:val="00AA5635"/>
    <w:rsid w:val="00AA5719"/>
    <w:rsid w:val="00AA58E6"/>
    <w:rsid w:val="00AA5B35"/>
    <w:rsid w:val="00AA61A4"/>
    <w:rsid w:val="00AA6955"/>
    <w:rsid w:val="00AB0589"/>
    <w:rsid w:val="00AB08EE"/>
    <w:rsid w:val="00AB1B10"/>
    <w:rsid w:val="00AB1BFE"/>
    <w:rsid w:val="00AB1D74"/>
    <w:rsid w:val="00AB1E09"/>
    <w:rsid w:val="00AB2147"/>
    <w:rsid w:val="00AB2DBA"/>
    <w:rsid w:val="00AB39E1"/>
    <w:rsid w:val="00AB3BA7"/>
    <w:rsid w:val="00AB4151"/>
    <w:rsid w:val="00AB445B"/>
    <w:rsid w:val="00AB4780"/>
    <w:rsid w:val="00AB5055"/>
    <w:rsid w:val="00AB5330"/>
    <w:rsid w:val="00AB5CE3"/>
    <w:rsid w:val="00AB5F92"/>
    <w:rsid w:val="00AB7747"/>
    <w:rsid w:val="00AC0292"/>
    <w:rsid w:val="00AC07B5"/>
    <w:rsid w:val="00AC14CE"/>
    <w:rsid w:val="00AC18E8"/>
    <w:rsid w:val="00AC269B"/>
    <w:rsid w:val="00AC2A56"/>
    <w:rsid w:val="00AC3C50"/>
    <w:rsid w:val="00AC469A"/>
    <w:rsid w:val="00AC48A4"/>
    <w:rsid w:val="00AC53A5"/>
    <w:rsid w:val="00AC56ED"/>
    <w:rsid w:val="00AC7E5C"/>
    <w:rsid w:val="00AD055E"/>
    <w:rsid w:val="00AD0646"/>
    <w:rsid w:val="00AD0D4D"/>
    <w:rsid w:val="00AD0DA9"/>
    <w:rsid w:val="00AD14F6"/>
    <w:rsid w:val="00AD373E"/>
    <w:rsid w:val="00AD46CC"/>
    <w:rsid w:val="00AD47A7"/>
    <w:rsid w:val="00AD4BA5"/>
    <w:rsid w:val="00AD5835"/>
    <w:rsid w:val="00AD5A30"/>
    <w:rsid w:val="00AD6424"/>
    <w:rsid w:val="00AD6583"/>
    <w:rsid w:val="00AD67BC"/>
    <w:rsid w:val="00AE10D0"/>
    <w:rsid w:val="00AE2019"/>
    <w:rsid w:val="00AE296A"/>
    <w:rsid w:val="00AE3BFF"/>
    <w:rsid w:val="00AE4007"/>
    <w:rsid w:val="00AE434A"/>
    <w:rsid w:val="00AE572A"/>
    <w:rsid w:val="00AE5823"/>
    <w:rsid w:val="00AE6232"/>
    <w:rsid w:val="00AE67A3"/>
    <w:rsid w:val="00AE7202"/>
    <w:rsid w:val="00AE74F6"/>
    <w:rsid w:val="00AE78CF"/>
    <w:rsid w:val="00AF0CBF"/>
    <w:rsid w:val="00AF1469"/>
    <w:rsid w:val="00AF257F"/>
    <w:rsid w:val="00AF26DF"/>
    <w:rsid w:val="00AF33CF"/>
    <w:rsid w:val="00AF3BCF"/>
    <w:rsid w:val="00AF3D9D"/>
    <w:rsid w:val="00AF4D50"/>
    <w:rsid w:val="00AF6179"/>
    <w:rsid w:val="00AF7C41"/>
    <w:rsid w:val="00B0043D"/>
    <w:rsid w:val="00B007A3"/>
    <w:rsid w:val="00B009B1"/>
    <w:rsid w:val="00B011FD"/>
    <w:rsid w:val="00B020CF"/>
    <w:rsid w:val="00B02E20"/>
    <w:rsid w:val="00B032F9"/>
    <w:rsid w:val="00B048CB"/>
    <w:rsid w:val="00B05172"/>
    <w:rsid w:val="00B053C8"/>
    <w:rsid w:val="00B05D5E"/>
    <w:rsid w:val="00B06E28"/>
    <w:rsid w:val="00B11532"/>
    <w:rsid w:val="00B116F9"/>
    <w:rsid w:val="00B119F8"/>
    <w:rsid w:val="00B12208"/>
    <w:rsid w:val="00B1275A"/>
    <w:rsid w:val="00B1295A"/>
    <w:rsid w:val="00B12BAD"/>
    <w:rsid w:val="00B12E2F"/>
    <w:rsid w:val="00B1323B"/>
    <w:rsid w:val="00B1393B"/>
    <w:rsid w:val="00B13CAB"/>
    <w:rsid w:val="00B1490B"/>
    <w:rsid w:val="00B1530E"/>
    <w:rsid w:val="00B15933"/>
    <w:rsid w:val="00B16288"/>
    <w:rsid w:val="00B16BDB"/>
    <w:rsid w:val="00B20A45"/>
    <w:rsid w:val="00B20CBD"/>
    <w:rsid w:val="00B21408"/>
    <w:rsid w:val="00B2261E"/>
    <w:rsid w:val="00B22824"/>
    <w:rsid w:val="00B228D4"/>
    <w:rsid w:val="00B22C5C"/>
    <w:rsid w:val="00B231D6"/>
    <w:rsid w:val="00B231E3"/>
    <w:rsid w:val="00B23A89"/>
    <w:rsid w:val="00B24E6E"/>
    <w:rsid w:val="00B24F30"/>
    <w:rsid w:val="00B25ABE"/>
    <w:rsid w:val="00B2613E"/>
    <w:rsid w:val="00B263CE"/>
    <w:rsid w:val="00B27195"/>
    <w:rsid w:val="00B307EE"/>
    <w:rsid w:val="00B30C3D"/>
    <w:rsid w:val="00B30E02"/>
    <w:rsid w:val="00B30ED2"/>
    <w:rsid w:val="00B31ABF"/>
    <w:rsid w:val="00B32836"/>
    <w:rsid w:val="00B32BD1"/>
    <w:rsid w:val="00B337AB"/>
    <w:rsid w:val="00B339BC"/>
    <w:rsid w:val="00B33BE3"/>
    <w:rsid w:val="00B34835"/>
    <w:rsid w:val="00B35287"/>
    <w:rsid w:val="00B376C4"/>
    <w:rsid w:val="00B37EF0"/>
    <w:rsid w:val="00B40497"/>
    <w:rsid w:val="00B40807"/>
    <w:rsid w:val="00B408BD"/>
    <w:rsid w:val="00B41963"/>
    <w:rsid w:val="00B419E6"/>
    <w:rsid w:val="00B41E2D"/>
    <w:rsid w:val="00B448DD"/>
    <w:rsid w:val="00B46560"/>
    <w:rsid w:val="00B4701C"/>
    <w:rsid w:val="00B4712C"/>
    <w:rsid w:val="00B4723B"/>
    <w:rsid w:val="00B510D6"/>
    <w:rsid w:val="00B519F8"/>
    <w:rsid w:val="00B5226E"/>
    <w:rsid w:val="00B53B5D"/>
    <w:rsid w:val="00B55C5D"/>
    <w:rsid w:val="00B55F9B"/>
    <w:rsid w:val="00B57C3F"/>
    <w:rsid w:val="00B6055E"/>
    <w:rsid w:val="00B6141A"/>
    <w:rsid w:val="00B6177A"/>
    <w:rsid w:val="00B62008"/>
    <w:rsid w:val="00B626EF"/>
    <w:rsid w:val="00B63000"/>
    <w:rsid w:val="00B6317D"/>
    <w:rsid w:val="00B63A1C"/>
    <w:rsid w:val="00B63EA2"/>
    <w:rsid w:val="00B645EA"/>
    <w:rsid w:val="00B652F2"/>
    <w:rsid w:val="00B6549C"/>
    <w:rsid w:val="00B655B7"/>
    <w:rsid w:val="00B664F9"/>
    <w:rsid w:val="00B70160"/>
    <w:rsid w:val="00B70253"/>
    <w:rsid w:val="00B738DF"/>
    <w:rsid w:val="00B74787"/>
    <w:rsid w:val="00B75E12"/>
    <w:rsid w:val="00B76188"/>
    <w:rsid w:val="00B76364"/>
    <w:rsid w:val="00B76845"/>
    <w:rsid w:val="00B7723F"/>
    <w:rsid w:val="00B80534"/>
    <w:rsid w:val="00B81057"/>
    <w:rsid w:val="00B8233D"/>
    <w:rsid w:val="00B83162"/>
    <w:rsid w:val="00B8433C"/>
    <w:rsid w:val="00B8531D"/>
    <w:rsid w:val="00B85F2F"/>
    <w:rsid w:val="00B869F7"/>
    <w:rsid w:val="00B86F15"/>
    <w:rsid w:val="00B87491"/>
    <w:rsid w:val="00B87A09"/>
    <w:rsid w:val="00B87E81"/>
    <w:rsid w:val="00B90BF6"/>
    <w:rsid w:val="00B9223E"/>
    <w:rsid w:val="00B92442"/>
    <w:rsid w:val="00B936A5"/>
    <w:rsid w:val="00B93918"/>
    <w:rsid w:val="00B93B0D"/>
    <w:rsid w:val="00B946C1"/>
    <w:rsid w:val="00B94A1B"/>
    <w:rsid w:val="00B953F9"/>
    <w:rsid w:val="00B95D80"/>
    <w:rsid w:val="00B95E92"/>
    <w:rsid w:val="00B95EB6"/>
    <w:rsid w:val="00B96AAA"/>
    <w:rsid w:val="00B97113"/>
    <w:rsid w:val="00B97B14"/>
    <w:rsid w:val="00B97DB8"/>
    <w:rsid w:val="00BA045F"/>
    <w:rsid w:val="00BA0689"/>
    <w:rsid w:val="00BA06C7"/>
    <w:rsid w:val="00BA1118"/>
    <w:rsid w:val="00BA193A"/>
    <w:rsid w:val="00BA240F"/>
    <w:rsid w:val="00BA27AF"/>
    <w:rsid w:val="00BA29E9"/>
    <w:rsid w:val="00BA2A5F"/>
    <w:rsid w:val="00BA4642"/>
    <w:rsid w:val="00BA4A94"/>
    <w:rsid w:val="00BA4E90"/>
    <w:rsid w:val="00BA5320"/>
    <w:rsid w:val="00BA6DD5"/>
    <w:rsid w:val="00BA7142"/>
    <w:rsid w:val="00BA736F"/>
    <w:rsid w:val="00BA7522"/>
    <w:rsid w:val="00BA77D9"/>
    <w:rsid w:val="00BA7FED"/>
    <w:rsid w:val="00BB049E"/>
    <w:rsid w:val="00BB0579"/>
    <w:rsid w:val="00BB128C"/>
    <w:rsid w:val="00BB1324"/>
    <w:rsid w:val="00BB20A2"/>
    <w:rsid w:val="00BB237C"/>
    <w:rsid w:val="00BB29BA"/>
    <w:rsid w:val="00BB2AFC"/>
    <w:rsid w:val="00BB36C3"/>
    <w:rsid w:val="00BB41A3"/>
    <w:rsid w:val="00BB4572"/>
    <w:rsid w:val="00BB4A6F"/>
    <w:rsid w:val="00BB5EE7"/>
    <w:rsid w:val="00BB6ACA"/>
    <w:rsid w:val="00BB6B23"/>
    <w:rsid w:val="00BC03EE"/>
    <w:rsid w:val="00BC07D5"/>
    <w:rsid w:val="00BC0827"/>
    <w:rsid w:val="00BC1D7E"/>
    <w:rsid w:val="00BC2034"/>
    <w:rsid w:val="00BC28BF"/>
    <w:rsid w:val="00BC32DC"/>
    <w:rsid w:val="00BC33A2"/>
    <w:rsid w:val="00BC35B6"/>
    <w:rsid w:val="00BC3A97"/>
    <w:rsid w:val="00BC3B1F"/>
    <w:rsid w:val="00BC553B"/>
    <w:rsid w:val="00BC6D1E"/>
    <w:rsid w:val="00BC7034"/>
    <w:rsid w:val="00BC7104"/>
    <w:rsid w:val="00BC7F1A"/>
    <w:rsid w:val="00BD1B51"/>
    <w:rsid w:val="00BD31C9"/>
    <w:rsid w:val="00BD3670"/>
    <w:rsid w:val="00BD4596"/>
    <w:rsid w:val="00BD58B2"/>
    <w:rsid w:val="00BD5AAC"/>
    <w:rsid w:val="00BD6466"/>
    <w:rsid w:val="00BE040C"/>
    <w:rsid w:val="00BE1405"/>
    <w:rsid w:val="00BE14DD"/>
    <w:rsid w:val="00BE1F8F"/>
    <w:rsid w:val="00BE2577"/>
    <w:rsid w:val="00BE287E"/>
    <w:rsid w:val="00BE312D"/>
    <w:rsid w:val="00BE32D0"/>
    <w:rsid w:val="00BE3966"/>
    <w:rsid w:val="00BE3AD3"/>
    <w:rsid w:val="00BE43DE"/>
    <w:rsid w:val="00BE4FD2"/>
    <w:rsid w:val="00BE5151"/>
    <w:rsid w:val="00BE5352"/>
    <w:rsid w:val="00BE611E"/>
    <w:rsid w:val="00BE6AD3"/>
    <w:rsid w:val="00BE6F01"/>
    <w:rsid w:val="00BE73E8"/>
    <w:rsid w:val="00BE783F"/>
    <w:rsid w:val="00BE7B80"/>
    <w:rsid w:val="00BF1072"/>
    <w:rsid w:val="00BF10E3"/>
    <w:rsid w:val="00BF15D5"/>
    <w:rsid w:val="00BF1C20"/>
    <w:rsid w:val="00BF1E05"/>
    <w:rsid w:val="00BF2059"/>
    <w:rsid w:val="00BF21CB"/>
    <w:rsid w:val="00BF3905"/>
    <w:rsid w:val="00BF3A16"/>
    <w:rsid w:val="00BF5D26"/>
    <w:rsid w:val="00BF655D"/>
    <w:rsid w:val="00BF6D59"/>
    <w:rsid w:val="00BF6FB8"/>
    <w:rsid w:val="00BF777C"/>
    <w:rsid w:val="00BF7E16"/>
    <w:rsid w:val="00C0001F"/>
    <w:rsid w:val="00C007DC"/>
    <w:rsid w:val="00C0093E"/>
    <w:rsid w:val="00C01634"/>
    <w:rsid w:val="00C01663"/>
    <w:rsid w:val="00C02407"/>
    <w:rsid w:val="00C02489"/>
    <w:rsid w:val="00C0267F"/>
    <w:rsid w:val="00C061A9"/>
    <w:rsid w:val="00C062AE"/>
    <w:rsid w:val="00C066E0"/>
    <w:rsid w:val="00C06F40"/>
    <w:rsid w:val="00C070B2"/>
    <w:rsid w:val="00C07637"/>
    <w:rsid w:val="00C10578"/>
    <w:rsid w:val="00C1111E"/>
    <w:rsid w:val="00C11339"/>
    <w:rsid w:val="00C117C2"/>
    <w:rsid w:val="00C11C8A"/>
    <w:rsid w:val="00C12885"/>
    <w:rsid w:val="00C128B9"/>
    <w:rsid w:val="00C12EAF"/>
    <w:rsid w:val="00C12F70"/>
    <w:rsid w:val="00C12FAC"/>
    <w:rsid w:val="00C13127"/>
    <w:rsid w:val="00C135BC"/>
    <w:rsid w:val="00C14C3D"/>
    <w:rsid w:val="00C14F02"/>
    <w:rsid w:val="00C150CB"/>
    <w:rsid w:val="00C15C95"/>
    <w:rsid w:val="00C163FF"/>
    <w:rsid w:val="00C16B3C"/>
    <w:rsid w:val="00C17FF9"/>
    <w:rsid w:val="00C203D7"/>
    <w:rsid w:val="00C20907"/>
    <w:rsid w:val="00C20F26"/>
    <w:rsid w:val="00C2146C"/>
    <w:rsid w:val="00C218B9"/>
    <w:rsid w:val="00C21F8C"/>
    <w:rsid w:val="00C223E8"/>
    <w:rsid w:val="00C22CB0"/>
    <w:rsid w:val="00C22E47"/>
    <w:rsid w:val="00C23051"/>
    <w:rsid w:val="00C23DC8"/>
    <w:rsid w:val="00C25223"/>
    <w:rsid w:val="00C257C3"/>
    <w:rsid w:val="00C2596A"/>
    <w:rsid w:val="00C262DE"/>
    <w:rsid w:val="00C2651A"/>
    <w:rsid w:val="00C27537"/>
    <w:rsid w:val="00C27625"/>
    <w:rsid w:val="00C30686"/>
    <w:rsid w:val="00C30BDE"/>
    <w:rsid w:val="00C31371"/>
    <w:rsid w:val="00C328FE"/>
    <w:rsid w:val="00C3346F"/>
    <w:rsid w:val="00C33507"/>
    <w:rsid w:val="00C36120"/>
    <w:rsid w:val="00C36C8D"/>
    <w:rsid w:val="00C36F0C"/>
    <w:rsid w:val="00C36F11"/>
    <w:rsid w:val="00C37478"/>
    <w:rsid w:val="00C37CA5"/>
    <w:rsid w:val="00C37DF6"/>
    <w:rsid w:val="00C401A2"/>
    <w:rsid w:val="00C40244"/>
    <w:rsid w:val="00C403C3"/>
    <w:rsid w:val="00C4096B"/>
    <w:rsid w:val="00C413ED"/>
    <w:rsid w:val="00C41DFF"/>
    <w:rsid w:val="00C4203A"/>
    <w:rsid w:val="00C42D8F"/>
    <w:rsid w:val="00C42E14"/>
    <w:rsid w:val="00C43F00"/>
    <w:rsid w:val="00C4409D"/>
    <w:rsid w:val="00C44510"/>
    <w:rsid w:val="00C44DF7"/>
    <w:rsid w:val="00C44E72"/>
    <w:rsid w:val="00C45817"/>
    <w:rsid w:val="00C459DD"/>
    <w:rsid w:val="00C45A06"/>
    <w:rsid w:val="00C467DD"/>
    <w:rsid w:val="00C47E5B"/>
    <w:rsid w:val="00C50777"/>
    <w:rsid w:val="00C50F77"/>
    <w:rsid w:val="00C51BED"/>
    <w:rsid w:val="00C51DE0"/>
    <w:rsid w:val="00C5267C"/>
    <w:rsid w:val="00C52D73"/>
    <w:rsid w:val="00C545E7"/>
    <w:rsid w:val="00C548AF"/>
    <w:rsid w:val="00C55468"/>
    <w:rsid w:val="00C55B54"/>
    <w:rsid w:val="00C561F8"/>
    <w:rsid w:val="00C56EDE"/>
    <w:rsid w:val="00C57798"/>
    <w:rsid w:val="00C60830"/>
    <w:rsid w:val="00C61E4B"/>
    <w:rsid w:val="00C63673"/>
    <w:rsid w:val="00C6395A"/>
    <w:rsid w:val="00C63CD2"/>
    <w:rsid w:val="00C63E22"/>
    <w:rsid w:val="00C64BFF"/>
    <w:rsid w:val="00C64C9B"/>
    <w:rsid w:val="00C655CA"/>
    <w:rsid w:val="00C65FA6"/>
    <w:rsid w:val="00C661E2"/>
    <w:rsid w:val="00C66440"/>
    <w:rsid w:val="00C7009A"/>
    <w:rsid w:val="00C704E9"/>
    <w:rsid w:val="00C70D62"/>
    <w:rsid w:val="00C715C4"/>
    <w:rsid w:val="00C716F0"/>
    <w:rsid w:val="00C72A99"/>
    <w:rsid w:val="00C75F5C"/>
    <w:rsid w:val="00C75FD9"/>
    <w:rsid w:val="00C763C9"/>
    <w:rsid w:val="00C765B0"/>
    <w:rsid w:val="00C7663E"/>
    <w:rsid w:val="00C80057"/>
    <w:rsid w:val="00C80B51"/>
    <w:rsid w:val="00C814F9"/>
    <w:rsid w:val="00C81C2F"/>
    <w:rsid w:val="00C82232"/>
    <w:rsid w:val="00C82913"/>
    <w:rsid w:val="00C82EEA"/>
    <w:rsid w:val="00C834EF"/>
    <w:rsid w:val="00C83C84"/>
    <w:rsid w:val="00C84512"/>
    <w:rsid w:val="00C84856"/>
    <w:rsid w:val="00C84A88"/>
    <w:rsid w:val="00C8501F"/>
    <w:rsid w:val="00C85146"/>
    <w:rsid w:val="00C868CB"/>
    <w:rsid w:val="00C90963"/>
    <w:rsid w:val="00C919D8"/>
    <w:rsid w:val="00C91BAB"/>
    <w:rsid w:val="00C93669"/>
    <w:rsid w:val="00C940C6"/>
    <w:rsid w:val="00C9431E"/>
    <w:rsid w:val="00C954C2"/>
    <w:rsid w:val="00C95B6D"/>
    <w:rsid w:val="00C972B1"/>
    <w:rsid w:val="00C97A58"/>
    <w:rsid w:val="00C97C02"/>
    <w:rsid w:val="00CA05E2"/>
    <w:rsid w:val="00CA091C"/>
    <w:rsid w:val="00CA1C8A"/>
    <w:rsid w:val="00CA1EFF"/>
    <w:rsid w:val="00CA28BD"/>
    <w:rsid w:val="00CA2C17"/>
    <w:rsid w:val="00CA2CCE"/>
    <w:rsid w:val="00CA3118"/>
    <w:rsid w:val="00CA3266"/>
    <w:rsid w:val="00CA377C"/>
    <w:rsid w:val="00CA43FD"/>
    <w:rsid w:val="00CA4FB8"/>
    <w:rsid w:val="00CA7313"/>
    <w:rsid w:val="00CA7826"/>
    <w:rsid w:val="00CA7EF8"/>
    <w:rsid w:val="00CB1E77"/>
    <w:rsid w:val="00CB3894"/>
    <w:rsid w:val="00CB3DB1"/>
    <w:rsid w:val="00CB40F9"/>
    <w:rsid w:val="00CB51D1"/>
    <w:rsid w:val="00CB521D"/>
    <w:rsid w:val="00CB5C2B"/>
    <w:rsid w:val="00CB60B5"/>
    <w:rsid w:val="00CB6932"/>
    <w:rsid w:val="00CB71C6"/>
    <w:rsid w:val="00CB7724"/>
    <w:rsid w:val="00CC03E8"/>
    <w:rsid w:val="00CC0911"/>
    <w:rsid w:val="00CC0C03"/>
    <w:rsid w:val="00CC17A7"/>
    <w:rsid w:val="00CC2D59"/>
    <w:rsid w:val="00CC489B"/>
    <w:rsid w:val="00CC5283"/>
    <w:rsid w:val="00CC70C7"/>
    <w:rsid w:val="00CC7829"/>
    <w:rsid w:val="00CD035A"/>
    <w:rsid w:val="00CD0C05"/>
    <w:rsid w:val="00CD1178"/>
    <w:rsid w:val="00CD1333"/>
    <w:rsid w:val="00CD2BCD"/>
    <w:rsid w:val="00CD2E79"/>
    <w:rsid w:val="00CD3616"/>
    <w:rsid w:val="00CD3A4C"/>
    <w:rsid w:val="00CD3D3C"/>
    <w:rsid w:val="00CD5E88"/>
    <w:rsid w:val="00CD5F36"/>
    <w:rsid w:val="00CD6713"/>
    <w:rsid w:val="00CD69B2"/>
    <w:rsid w:val="00CD7911"/>
    <w:rsid w:val="00CD79B7"/>
    <w:rsid w:val="00CE02F0"/>
    <w:rsid w:val="00CE03F1"/>
    <w:rsid w:val="00CE103B"/>
    <w:rsid w:val="00CE10B2"/>
    <w:rsid w:val="00CE10E9"/>
    <w:rsid w:val="00CE1E79"/>
    <w:rsid w:val="00CE205E"/>
    <w:rsid w:val="00CE2910"/>
    <w:rsid w:val="00CE4501"/>
    <w:rsid w:val="00CE4616"/>
    <w:rsid w:val="00CE515C"/>
    <w:rsid w:val="00CE5393"/>
    <w:rsid w:val="00CE54C4"/>
    <w:rsid w:val="00CE57B1"/>
    <w:rsid w:val="00CE58FD"/>
    <w:rsid w:val="00CE5AE2"/>
    <w:rsid w:val="00CE5EC7"/>
    <w:rsid w:val="00CE72E5"/>
    <w:rsid w:val="00CE740A"/>
    <w:rsid w:val="00CE7688"/>
    <w:rsid w:val="00CE7B02"/>
    <w:rsid w:val="00CF0765"/>
    <w:rsid w:val="00CF36BE"/>
    <w:rsid w:val="00CF42F1"/>
    <w:rsid w:val="00CF4C38"/>
    <w:rsid w:val="00CF4D22"/>
    <w:rsid w:val="00CF6000"/>
    <w:rsid w:val="00CF60E2"/>
    <w:rsid w:val="00CF6742"/>
    <w:rsid w:val="00CF6BD1"/>
    <w:rsid w:val="00CF721E"/>
    <w:rsid w:val="00D003F3"/>
    <w:rsid w:val="00D00691"/>
    <w:rsid w:val="00D009F6"/>
    <w:rsid w:val="00D00D9C"/>
    <w:rsid w:val="00D02018"/>
    <w:rsid w:val="00D0274F"/>
    <w:rsid w:val="00D02CFF"/>
    <w:rsid w:val="00D0364F"/>
    <w:rsid w:val="00D03652"/>
    <w:rsid w:val="00D0366D"/>
    <w:rsid w:val="00D03A6B"/>
    <w:rsid w:val="00D04746"/>
    <w:rsid w:val="00D04BFF"/>
    <w:rsid w:val="00D06834"/>
    <w:rsid w:val="00D06D5C"/>
    <w:rsid w:val="00D11254"/>
    <w:rsid w:val="00D11809"/>
    <w:rsid w:val="00D12312"/>
    <w:rsid w:val="00D12BEF"/>
    <w:rsid w:val="00D13899"/>
    <w:rsid w:val="00D14685"/>
    <w:rsid w:val="00D147F7"/>
    <w:rsid w:val="00D158AE"/>
    <w:rsid w:val="00D160E2"/>
    <w:rsid w:val="00D16424"/>
    <w:rsid w:val="00D206FA"/>
    <w:rsid w:val="00D20B7F"/>
    <w:rsid w:val="00D212E2"/>
    <w:rsid w:val="00D2195B"/>
    <w:rsid w:val="00D21CC7"/>
    <w:rsid w:val="00D228DA"/>
    <w:rsid w:val="00D23496"/>
    <w:rsid w:val="00D24473"/>
    <w:rsid w:val="00D259C6"/>
    <w:rsid w:val="00D262B2"/>
    <w:rsid w:val="00D26D6E"/>
    <w:rsid w:val="00D26E1B"/>
    <w:rsid w:val="00D27228"/>
    <w:rsid w:val="00D274F1"/>
    <w:rsid w:val="00D27853"/>
    <w:rsid w:val="00D27A7C"/>
    <w:rsid w:val="00D27E14"/>
    <w:rsid w:val="00D27F3A"/>
    <w:rsid w:val="00D30482"/>
    <w:rsid w:val="00D30639"/>
    <w:rsid w:val="00D308ED"/>
    <w:rsid w:val="00D308FE"/>
    <w:rsid w:val="00D30EB1"/>
    <w:rsid w:val="00D31D79"/>
    <w:rsid w:val="00D3327A"/>
    <w:rsid w:val="00D33504"/>
    <w:rsid w:val="00D33A50"/>
    <w:rsid w:val="00D343E1"/>
    <w:rsid w:val="00D34F1C"/>
    <w:rsid w:val="00D3663C"/>
    <w:rsid w:val="00D368C2"/>
    <w:rsid w:val="00D36D6C"/>
    <w:rsid w:val="00D36D86"/>
    <w:rsid w:val="00D37912"/>
    <w:rsid w:val="00D40E62"/>
    <w:rsid w:val="00D414C4"/>
    <w:rsid w:val="00D41527"/>
    <w:rsid w:val="00D41533"/>
    <w:rsid w:val="00D41634"/>
    <w:rsid w:val="00D416D3"/>
    <w:rsid w:val="00D428AA"/>
    <w:rsid w:val="00D436EC"/>
    <w:rsid w:val="00D43829"/>
    <w:rsid w:val="00D43958"/>
    <w:rsid w:val="00D43B71"/>
    <w:rsid w:val="00D44D1B"/>
    <w:rsid w:val="00D46A24"/>
    <w:rsid w:val="00D479ED"/>
    <w:rsid w:val="00D5024A"/>
    <w:rsid w:val="00D50418"/>
    <w:rsid w:val="00D50A34"/>
    <w:rsid w:val="00D50C69"/>
    <w:rsid w:val="00D51451"/>
    <w:rsid w:val="00D51A7B"/>
    <w:rsid w:val="00D51DD1"/>
    <w:rsid w:val="00D52067"/>
    <w:rsid w:val="00D52450"/>
    <w:rsid w:val="00D52A6E"/>
    <w:rsid w:val="00D5346A"/>
    <w:rsid w:val="00D53EFA"/>
    <w:rsid w:val="00D54308"/>
    <w:rsid w:val="00D554D7"/>
    <w:rsid w:val="00D55A86"/>
    <w:rsid w:val="00D56186"/>
    <w:rsid w:val="00D564B0"/>
    <w:rsid w:val="00D5692C"/>
    <w:rsid w:val="00D56FB0"/>
    <w:rsid w:val="00D57347"/>
    <w:rsid w:val="00D606DF"/>
    <w:rsid w:val="00D618C6"/>
    <w:rsid w:val="00D61BE4"/>
    <w:rsid w:val="00D62BBB"/>
    <w:rsid w:val="00D65E6E"/>
    <w:rsid w:val="00D6651B"/>
    <w:rsid w:val="00D6653A"/>
    <w:rsid w:val="00D665DA"/>
    <w:rsid w:val="00D66731"/>
    <w:rsid w:val="00D67A3F"/>
    <w:rsid w:val="00D67EFF"/>
    <w:rsid w:val="00D714F2"/>
    <w:rsid w:val="00D71D4F"/>
    <w:rsid w:val="00D74AE4"/>
    <w:rsid w:val="00D75812"/>
    <w:rsid w:val="00D75923"/>
    <w:rsid w:val="00D77103"/>
    <w:rsid w:val="00D774C8"/>
    <w:rsid w:val="00D77785"/>
    <w:rsid w:val="00D7786A"/>
    <w:rsid w:val="00D77C24"/>
    <w:rsid w:val="00D814E3"/>
    <w:rsid w:val="00D816A4"/>
    <w:rsid w:val="00D823E8"/>
    <w:rsid w:val="00D82EDA"/>
    <w:rsid w:val="00D8333B"/>
    <w:rsid w:val="00D84196"/>
    <w:rsid w:val="00D84EB4"/>
    <w:rsid w:val="00D85624"/>
    <w:rsid w:val="00D863F2"/>
    <w:rsid w:val="00D868FD"/>
    <w:rsid w:val="00D86A6F"/>
    <w:rsid w:val="00D879D6"/>
    <w:rsid w:val="00D87D39"/>
    <w:rsid w:val="00D90E01"/>
    <w:rsid w:val="00D913FA"/>
    <w:rsid w:val="00D9194C"/>
    <w:rsid w:val="00D92F2B"/>
    <w:rsid w:val="00D93012"/>
    <w:rsid w:val="00D943C2"/>
    <w:rsid w:val="00D945D7"/>
    <w:rsid w:val="00D94A7C"/>
    <w:rsid w:val="00D94CEB"/>
    <w:rsid w:val="00D95001"/>
    <w:rsid w:val="00D9511E"/>
    <w:rsid w:val="00D9518F"/>
    <w:rsid w:val="00D951B6"/>
    <w:rsid w:val="00D95896"/>
    <w:rsid w:val="00D965FC"/>
    <w:rsid w:val="00D97985"/>
    <w:rsid w:val="00DA0371"/>
    <w:rsid w:val="00DA04BD"/>
    <w:rsid w:val="00DA061D"/>
    <w:rsid w:val="00DA0D9E"/>
    <w:rsid w:val="00DA1394"/>
    <w:rsid w:val="00DA13B1"/>
    <w:rsid w:val="00DA1A20"/>
    <w:rsid w:val="00DA2465"/>
    <w:rsid w:val="00DA2526"/>
    <w:rsid w:val="00DA277E"/>
    <w:rsid w:val="00DA3707"/>
    <w:rsid w:val="00DA3745"/>
    <w:rsid w:val="00DA45E6"/>
    <w:rsid w:val="00DA478E"/>
    <w:rsid w:val="00DA54A4"/>
    <w:rsid w:val="00DA5F54"/>
    <w:rsid w:val="00DA6583"/>
    <w:rsid w:val="00DA7BB0"/>
    <w:rsid w:val="00DA7F79"/>
    <w:rsid w:val="00DB18CD"/>
    <w:rsid w:val="00DB20B1"/>
    <w:rsid w:val="00DB251A"/>
    <w:rsid w:val="00DB2523"/>
    <w:rsid w:val="00DB2977"/>
    <w:rsid w:val="00DB2983"/>
    <w:rsid w:val="00DB2A22"/>
    <w:rsid w:val="00DB37D0"/>
    <w:rsid w:val="00DB3F62"/>
    <w:rsid w:val="00DB4807"/>
    <w:rsid w:val="00DB52DF"/>
    <w:rsid w:val="00DB5F1C"/>
    <w:rsid w:val="00DB7584"/>
    <w:rsid w:val="00DB76F2"/>
    <w:rsid w:val="00DC0373"/>
    <w:rsid w:val="00DC1257"/>
    <w:rsid w:val="00DC12D0"/>
    <w:rsid w:val="00DC2637"/>
    <w:rsid w:val="00DC37EE"/>
    <w:rsid w:val="00DC3C61"/>
    <w:rsid w:val="00DC3DC0"/>
    <w:rsid w:val="00DC4868"/>
    <w:rsid w:val="00DC4983"/>
    <w:rsid w:val="00DC4BD4"/>
    <w:rsid w:val="00DC5B2B"/>
    <w:rsid w:val="00DC606C"/>
    <w:rsid w:val="00DC67CC"/>
    <w:rsid w:val="00DC6F69"/>
    <w:rsid w:val="00DC72A1"/>
    <w:rsid w:val="00DC76DF"/>
    <w:rsid w:val="00DC7D05"/>
    <w:rsid w:val="00DD1599"/>
    <w:rsid w:val="00DD1BB6"/>
    <w:rsid w:val="00DD1D02"/>
    <w:rsid w:val="00DD2750"/>
    <w:rsid w:val="00DD293B"/>
    <w:rsid w:val="00DD2F65"/>
    <w:rsid w:val="00DD318D"/>
    <w:rsid w:val="00DD4876"/>
    <w:rsid w:val="00DD4A18"/>
    <w:rsid w:val="00DD5539"/>
    <w:rsid w:val="00DD58DC"/>
    <w:rsid w:val="00DD5A7C"/>
    <w:rsid w:val="00DD67E4"/>
    <w:rsid w:val="00DD6806"/>
    <w:rsid w:val="00DD6F08"/>
    <w:rsid w:val="00DD71DB"/>
    <w:rsid w:val="00DE0597"/>
    <w:rsid w:val="00DE2A09"/>
    <w:rsid w:val="00DE357E"/>
    <w:rsid w:val="00DE38EF"/>
    <w:rsid w:val="00DE58E0"/>
    <w:rsid w:val="00DE5D59"/>
    <w:rsid w:val="00DE6BC6"/>
    <w:rsid w:val="00DE6DFA"/>
    <w:rsid w:val="00DE6DFF"/>
    <w:rsid w:val="00DE75FE"/>
    <w:rsid w:val="00DF013D"/>
    <w:rsid w:val="00DF0140"/>
    <w:rsid w:val="00DF0672"/>
    <w:rsid w:val="00DF0966"/>
    <w:rsid w:val="00DF2733"/>
    <w:rsid w:val="00DF2E12"/>
    <w:rsid w:val="00DF32BF"/>
    <w:rsid w:val="00DF3795"/>
    <w:rsid w:val="00DF44A6"/>
    <w:rsid w:val="00DF4F38"/>
    <w:rsid w:val="00DF514A"/>
    <w:rsid w:val="00DF6127"/>
    <w:rsid w:val="00DF6690"/>
    <w:rsid w:val="00DF6804"/>
    <w:rsid w:val="00DF6BC3"/>
    <w:rsid w:val="00DF7359"/>
    <w:rsid w:val="00DF73C0"/>
    <w:rsid w:val="00DF7CC5"/>
    <w:rsid w:val="00E0039B"/>
    <w:rsid w:val="00E00B00"/>
    <w:rsid w:val="00E00FCA"/>
    <w:rsid w:val="00E01229"/>
    <w:rsid w:val="00E0161B"/>
    <w:rsid w:val="00E01DEF"/>
    <w:rsid w:val="00E02B1C"/>
    <w:rsid w:val="00E0358D"/>
    <w:rsid w:val="00E03C0F"/>
    <w:rsid w:val="00E04323"/>
    <w:rsid w:val="00E043FE"/>
    <w:rsid w:val="00E059A6"/>
    <w:rsid w:val="00E05D0D"/>
    <w:rsid w:val="00E05EF8"/>
    <w:rsid w:val="00E05FE2"/>
    <w:rsid w:val="00E06528"/>
    <w:rsid w:val="00E065F2"/>
    <w:rsid w:val="00E06DD8"/>
    <w:rsid w:val="00E070A2"/>
    <w:rsid w:val="00E07A34"/>
    <w:rsid w:val="00E112F0"/>
    <w:rsid w:val="00E11FD2"/>
    <w:rsid w:val="00E12209"/>
    <w:rsid w:val="00E124AF"/>
    <w:rsid w:val="00E13422"/>
    <w:rsid w:val="00E1356E"/>
    <w:rsid w:val="00E13B84"/>
    <w:rsid w:val="00E13F4A"/>
    <w:rsid w:val="00E1450C"/>
    <w:rsid w:val="00E148FD"/>
    <w:rsid w:val="00E14CEC"/>
    <w:rsid w:val="00E14E65"/>
    <w:rsid w:val="00E16C61"/>
    <w:rsid w:val="00E17702"/>
    <w:rsid w:val="00E17955"/>
    <w:rsid w:val="00E17B37"/>
    <w:rsid w:val="00E2055F"/>
    <w:rsid w:val="00E20996"/>
    <w:rsid w:val="00E21331"/>
    <w:rsid w:val="00E21F38"/>
    <w:rsid w:val="00E23E18"/>
    <w:rsid w:val="00E24B0B"/>
    <w:rsid w:val="00E24E47"/>
    <w:rsid w:val="00E253B3"/>
    <w:rsid w:val="00E254AF"/>
    <w:rsid w:val="00E25889"/>
    <w:rsid w:val="00E25DB3"/>
    <w:rsid w:val="00E262B7"/>
    <w:rsid w:val="00E2656A"/>
    <w:rsid w:val="00E26D23"/>
    <w:rsid w:val="00E2762A"/>
    <w:rsid w:val="00E30464"/>
    <w:rsid w:val="00E30E3C"/>
    <w:rsid w:val="00E32485"/>
    <w:rsid w:val="00E332E2"/>
    <w:rsid w:val="00E3572F"/>
    <w:rsid w:val="00E37473"/>
    <w:rsid w:val="00E37E28"/>
    <w:rsid w:val="00E40BAC"/>
    <w:rsid w:val="00E40E90"/>
    <w:rsid w:val="00E41129"/>
    <w:rsid w:val="00E412D0"/>
    <w:rsid w:val="00E41307"/>
    <w:rsid w:val="00E4196A"/>
    <w:rsid w:val="00E41AD4"/>
    <w:rsid w:val="00E41C58"/>
    <w:rsid w:val="00E41D38"/>
    <w:rsid w:val="00E4361F"/>
    <w:rsid w:val="00E43661"/>
    <w:rsid w:val="00E4558D"/>
    <w:rsid w:val="00E47CC2"/>
    <w:rsid w:val="00E53636"/>
    <w:rsid w:val="00E53F25"/>
    <w:rsid w:val="00E54095"/>
    <w:rsid w:val="00E54186"/>
    <w:rsid w:val="00E54AB0"/>
    <w:rsid w:val="00E54E82"/>
    <w:rsid w:val="00E54EEF"/>
    <w:rsid w:val="00E54F7D"/>
    <w:rsid w:val="00E55C37"/>
    <w:rsid w:val="00E56322"/>
    <w:rsid w:val="00E56A72"/>
    <w:rsid w:val="00E5789F"/>
    <w:rsid w:val="00E6015E"/>
    <w:rsid w:val="00E603F4"/>
    <w:rsid w:val="00E60982"/>
    <w:rsid w:val="00E609D0"/>
    <w:rsid w:val="00E61659"/>
    <w:rsid w:val="00E61A13"/>
    <w:rsid w:val="00E61D6D"/>
    <w:rsid w:val="00E62C62"/>
    <w:rsid w:val="00E6483C"/>
    <w:rsid w:val="00E65428"/>
    <w:rsid w:val="00E654C1"/>
    <w:rsid w:val="00E65D97"/>
    <w:rsid w:val="00E675D1"/>
    <w:rsid w:val="00E67E19"/>
    <w:rsid w:val="00E702AF"/>
    <w:rsid w:val="00E703B8"/>
    <w:rsid w:val="00E70F5A"/>
    <w:rsid w:val="00E70FDF"/>
    <w:rsid w:val="00E71474"/>
    <w:rsid w:val="00E71EA2"/>
    <w:rsid w:val="00E71EF9"/>
    <w:rsid w:val="00E72264"/>
    <w:rsid w:val="00E72A5A"/>
    <w:rsid w:val="00E72F63"/>
    <w:rsid w:val="00E73354"/>
    <w:rsid w:val="00E733CF"/>
    <w:rsid w:val="00E74919"/>
    <w:rsid w:val="00E7538F"/>
    <w:rsid w:val="00E762F9"/>
    <w:rsid w:val="00E76E90"/>
    <w:rsid w:val="00E77799"/>
    <w:rsid w:val="00E806D0"/>
    <w:rsid w:val="00E81ABC"/>
    <w:rsid w:val="00E821FE"/>
    <w:rsid w:val="00E831AC"/>
    <w:rsid w:val="00E83430"/>
    <w:rsid w:val="00E84639"/>
    <w:rsid w:val="00E8607A"/>
    <w:rsid w:val="00E86223"/>
    <w:rsid w:val="00E8629E"/>
    <w:rsid w:val="00E87E11"/>
    <w:rsid w:val="00E9242D"/>
    <w:rsid w:val="00E92686"/>
    <w:rsid w:val="00E93836"/>
    <w:rsid w:val="00E93C23"/>
    <w:rsid w:val="00E94D81"/>
    <w:rsid w:val="00E94DC2"/>
    <w:rsid w:val="00E94F93"/>
    <w:rsid w:val="00E9641A"/>
    <w:rsid w:val="00E967DF"/>
    <w:rsid w:val="00E97913"/>
    <w:rsid w:val="00EA08AE"/>
    <w:rsid w:val="00EA0946"/>
    <w:rsid w:val="00EA1385"/>
    <w:rsid w:val="00EA319B"/>
    <w:rsid w:val="00EA3E0B"/>
    <w:rsid w:val="00EA6FA9"/>
    <w:rsid w:val="00EA70DC"/>
    <w:rsid w:val="00EA73DB"/>
    <w:rsid w:val="00EA79AA"/>
    <w:rsid w:val="00EB0EB9"/>
    <w:rsid w:val="00EB1604"/>
    <w:rsid w:val="00EB26E6"/>
    <w:rsid w:val="00EB28DE"/>
    <w:rsid w:val="00EB2D1B"/>
    <w:rsid w:val="00EB2D56"/>
    <w:rsid w:val="00EB46FA"/>
    <w:rsid w:val="00EB4B75"/>
    <w:rsid w:val="00EB4B96"/>
    <w:rsid w:val="00EB5255"/>
    <w:rsid w:val="00EB56A9"/>
    <w:rsid w:val="00EB58E7"/>
    <w:rsid w:val="00EB59FC"/>
    <w:rsid w:val="00EB5C47"/>
    <w:rsid w:val="00EB7278"/>
    <w:rsid w:val="00EC0232"/>
    <w:rsid w:val="00EC0701"/>
    <w:rsid w:val="00EC16A3"/>
    <w:rsid w:val="00EC18B2"/>
    <w:rsid w:val="00EC2449"/>
    <w:rsid w:val="00EC2724"/>
    <w:rsid w:val="00EC2CAE"/>
    <w:rsid w:val="00EC2E5F"/>
    <w:rsid w:val="00EC4931"/>
    <w:rsid w:val="00EC5912"/>
    <w:rsid w:val="00EC59C8"/>
    <w:rsid w:val="00EC60E2"/>
    <w:rsid w:val="00EC63A4"/>
    <w:rsid w:val="00EC65AF"/>
    <w:rsid w:val="00EC7BA6"/>
    <w:rsid w:val="00ED0508"/>
    <w:rsid w:val="00ED0639"/>
    <w:rsid w:val="00ED0A00"/>
    <w:rsid w:val="00ED115A"/>
    <w:rsid w:val="00ED19AE"/>
    <w:rsid w:val="00ED1B88"/>
    <w:rsid w:val="00ED2C01"/>
    <w:rsid w:val="00ED3E11"/>
    <w:rsid w:val="00ED4972"/>
    <w:rsid w:val="00ED4DD0"/>
    <w:rsid w:val="00ED5E2B"/>
    <w:rsid w:val="00ED62C4"/>
    <w:rsid w:val="00ED64AE"/>
    <w:rsid w:val="00ED7A91"/>
    <w:rsid w:val="00EE4559"/>
    <w:rsid w:val="00EE5477"/>
    <w:rsid w:val="00EE5501"/>
    <w:rsid w:val="00EE5F2E"/>
    <w:rsid w:val="00EE63C0"/>
    <w:rsid w:val="00EE649F"/>
    <w:rsid w:val="00EE6C1C"/>
    <w:rsid w:val="00EE7CA0"/>
    <w:rsid w:val="00EE7EA3"/>
    <w:rsid w:val="00EF1922"/>
    <w:rsid w:val="00EF1FB0"/>
    <w:rsid w:val="00EF36A9"/>
    <w:rsid w:val="00EF4646"/>
    <w:rsid w:val="00EF4755"/>
    <w:rsid w:val="00EF4B00"/>
    <w:rsid w:val="00EF4EF6"/>
    <w:rsid w:val="00EF5F12"/>
    <w:rsid w:val="00EF63FB"/>
    <w:rsid w:val="00EF703B"/>
    <w:rsid w:val="00EF70C4"/>
    <w:rsid w:val="00EF7135"/>
    <w:rsid w:val="00EF7726"/>
    <w:rsid w:val="00F00792"/>
    <w:rsid w:val="00F01B7D"/>
    <w:rsid w:val="00F01F1D"/>
    <w:rsid w:val="00F0254C"/>
    <w:rsid w:val="00F027DB"/>
    <w:rsid w:val="00F02A79"/>
    <w:rsid w:val="00F03616"/>
    <w:rsid w:val="00F038F0"/>
    <w:rsid w:val="00F05286"/>
    <w:rsid w:val="00F0646A"/>
    <w:rsid w:val="00F0648B"/>
    <w:rsid w:val="00F06F52"/>
    <w:rsid w:val="00F10A7C"/>
    <w:rsid w:val="00F128CB"/>
    <w:rsid w:val="00F13113"/>
    <w:rsid w:val="00F131D8"/>
    <w:rsid w:val="00F1347A"/>
    <w:rsid w:val="00F141E7"/>
    <w:rsid w:val="00F14A7A"/>
    <w:rsid w:val="00F14FB2"/>
    <w:rsid w:val="00F159C9"/>
    <w:rsid w:val="00F15A82"/>
    <w:rsid w:val="00F16A69"/>
    <w:rsid w:val="00F16D18"/>
    <w:rsid w:val="00F176BE"/>
    <w:rsid w:val="00F20B6C"/>
    <w:rsid w:val="00F21239"/>
    <w:rsid w:val="00F21E9D"/>
    <w:rsid w:val="00F22985"/>
    <w:rsid w:val="00F22C33"/>
    <w:rsid w:val="00F23633"/>
    <w:rsid w:val="00F243CE"/>
    <w:rsid w:val="00F24452"/>
    <w:rsid w:val="00F2550B"/>
    <w:rsid w:val="00F2564E"/>
    <w:rsid w:val="00F25B02"/>
    <w:rsid w:val="00F26E17"/>
    <w:rsid w:val="00F27BDF"/>
    <w:rsid w:val="00F27CEB"/>
    <w:rsid w:val="00F30B32"/>
    <w:rsid w:val="00F31410"/>
    <w:rsid w:val="00F3200B"/>
    <w:rsid w:val="00F320D2"/>
    <w:rsid w:val="00F33494"/>
    <w:rsid w:val="00F33516"/>
    <w:rsid w:val="00F3383E"/>
    <w:rsid w:val="00F35262"/>
    <w:rsid w:val="00F3577B"/>
    <w:rsid w:val="00F35B8B"/>
    <w:rsid w:val="00F36E26"/>
    <w:rsid w:val="00F36E42"/>
    <w:rsid w:val="00F40AFF"/>
    <w:rsid w:val="00F41454"/>
    <w:rsid w:val="00F4196C"/>
    <w:rsid w:val="00F42893"/>
    <w:rsid w:val="00F42BFF"/>
    <w:rsid w:val="00F42D9E"/>
    <w:rsid w:val="00F4398F"/>
    <w:rsid w:val="00F45063"/>
    <w:rsid w:val="00F465A7"/>
    <w:rsid w:val="00F47BBC"/>
    <w:rsid w:val="00F47FAC"/>
    <w:rsid w:val="00F50B7C"/>
    <w:rsid w:val="00F50D6E"/>
    <w:rsid w:val="00F5136B"/>
    <w:rsid w:val="00F51669"/>
    <w:rsid w:val="00F5203C"/>
    <w:rsid w:val="00F52B76"/>
    <w:rsid w:val="00F52BF4"/>
    <w:rsid w:val="00F53697"/>
    <w:rsid w:val="00F5471D"/>
    <w:rsid w:val="00F550E6"/>
    <w:rsid w:val="00F55371"/>
    <w:rsid w:val="00F5583D"/>
    <w:rsid w:val="00F568C3"/>
    <w:rsid w:val="00F569DC"/>
    <w:rsid w:val="00F620A3"/>
    <w:rsid w:val="00F631B9"/>
    <w:rsid w:val="00F638BC"/>
    <w:rsid w:val="00F6412F"/>
    <w:rsid w:val="00F64760"/>
    <w:rsid w:val="00F648BF"/>
    <w:rsid w:val="00F64AD4"/>
    <w:rsid w:val="00F65B81"/>
    <w:rsid w:val="00F66CFD"/>
    <w:rsid w:val="00F66F31"/>
    <w:rsid w:val="00F70508"/>
    <w:rsid w:val="00F713BF"/>
    <w:rsid w:val="00F71484"/>
    <w:rsid w:val="00F71FF3"/>
    <w:rsid w:val="00F7335D"/>
    <w:rsid w:val="00F73573"/>
    <w:rsid w:val="00F73CCA"/>
    <w:rsid w:val="00F74345"/>
    <w:rsid w:val="00F74465"/>
    <w:rsid w:val="00F74778"/>
    <w:rsid w:val="00F74CCE"/>
    <w:rsid w:val="00F74EE1"/>
    <w:rsid w:val="00F76E7D"/>
    <w:rsid w:val="00F76E87"/>
    <w:rsid w:val="00F77503"/>
    <w:rsid w:val="00F77CDB"/>
    <w:rsid w:val="00F80A0A"/>
    <w:rsid w:val="00F80BA0"/>
    <w:rsid w:val="00F80C52"/>
    <w:rsid w:val="00F81366"/>
    <w:rsid w:val="00F81DEE"/>
    <w:rsid w:val="00F826C1"/>
    <w:rsid w:val="00F82B19"/>
    <w:rsid w:val="00F82FC9"/>
    <w:rsid w:val="00F83796"/>
    <w:rsid w:val="00F83870"/>
    <w:rsid w:val="00F83C1A"/>
    <w:rsid w:val="00F84D7B"/>
    <w:rsid w:val="00F864E1"/>
    <w:rsid w:val="00F86CBE"/>
    <w:rsid w:val="00F90A8F"/>
    <w:rsid w:val="00F90ED8"/>
    <w:rsid w:val="00F9212D"/>
    <w:rsid w:val="00F92FD1"/>
    <w:rsid w:val="00F9344F"/>
    <w:rsid w:val="00F949E5"/>
    <w:rsid w:val="00F9532F"/>
    <w:rsid w:val="00F95502"/>
    <w:rsid w:val="00F95BEE"/>
    <w:rsid w:val="00F95E10"/>
    <w:rsid w:val="00F96027"/>
    <w:rsid w:val="00F965DA"/>
    <w:rsid w:val="00F96DF1"/>
    <w:rsid w:val="00F97B37"/>
    <w:rsid w:val="00F97C7B"/>
    <w:rsid w:val="00FA0462"/>
    <w:rsid w:val="00FA0B01"/>
    <w:rsid w:val="00FA0DC5"/>
    <w:rsid w:val="00FA1579"/>
    <w:rsid w:val="00FA406A"/>
    <w:rsid w:val="00FA41D8"/>
    <w:rsid w:val="00FA44E1"/>
    <w:rsid w:val="00FA491D"/>
    <w:rsid w:val="00FA528E"/>
    <w:rsid w:val="00FA5CE1"/>
    <w:rsid w:val="00FA6B7D"/>
    <w:rsid w:val="00FA7843"/>
    <w:rsid w:val="00FA7D8F"/>
    <w:rsid w:val="00FB0DDF"/>
    <w:rsid w:val="00FB15DC"/>
    <w:rsid w:val="00FB1AB3"/>
    <w:rsid w:val="00FB1D09"/>
    <w:rsid w:val="00FB1FA8"/>
    <w:rsid w:val="00FB23AD"/>
    <w:rsid w:val="00FB2F8B"/>
    <w:rsid w:val="00FB38F2"/>
    <w:rsid w:val="00FB488C"/>
    <w:rsid w:val="00FB503A"/>
    <w:rsid w:val="00FB516C"/>
    <w:rsid w:val="00FB6D1F"/>
    <w:rsid w:val="00FC0D4C"/>
    <w:rsid w:val="00FC1FF5"/>
    <w:rsid w:val="00FC2B51"/>
    <w:rsid w:val="00FC3289"/>
    <w:rsid w:val="00FC3D4D"/>
    <w:rsid w:val="00FC4B96"/>
    <w:rsid w:val="00FC606F"/>
    <w:rsid w:val="00FC64A0"/>
    <w:rsid w:val="00FC6899"/>
    <w:rsid w:val="00FC6EC4"/>
    <w:rsid w:val="00FC725D"/>
    <w:rsid w:val="00FC72FD"/>
    <w:rsid w:val="00FC761B"/>
    <w:rsid w:val="00FD0056"/>
    <w:rsid w:val="00FD0236"/>
    <w:rsid w:val="00FD18F4"/>
    <w:rsid w:val="00FD1DBC"/>
    <w:rsid w:val="00FD26D8"/>
    <w:rsid w:val="00FD3D80"/>
    <w:rsid w:val="00FD54DB"/>
    <w:rsid w:val="00FD619F"/>
    <w:rsid w:val="00FD777A"/>
    <w:rsid w:val="00FD7C5F"/>
    <w:rsid w:val="00FE0B8B"/>
    <w:rsid w:val="00FE0F76"/>
    <w:rsid w:val="00FE11E4"/>
    <w:rsid w:val="00FE1D46"/>
    <w:rsid w:val="00FE20AD"/>
    <w:rsid w:val="00FE24D7"/>
    <w:rsid w:val="00FE2BC5"/>
    <w:rsid w:val="00FE35D4"/>
    <w:rsid w:val="00FE4031"/>
    <w:rsid w:val="00FE4B94"/>
    <w:rsid w:val="00FE4D3B"/>
    <w:rsid w:val="00FE4E14"/>
    <w:rsid w:val="00FE4FC4"/>
    <w:rsid w:val="00FE60F6"/>
    <w:rsid w:val="00FF03B6"/>
    <w:rsid w:val="00FF0FDE"/>
    <w:rsid w:val="00FF1078"/>
    <w:rsid w:val="00FF14FC"/>
    <w:rsid w:val="00FF156C"/>
    <w:rsid w:val="00FF1DC5"/>
    <w:rsid w:val="00FF2A44"/>
    <w:rsid w:val="00FF3F50"/>
    <w:rsid w:val="00FF5607"/>
    <w:rsid w:val="00FF5779"/>
    <w:rsid w:val="00FF5DFD"/>
    <w:rsid w:val="00FF73E5"/>
    <w:rsid w:val="01123FE8"/>
    <w:rsid w:val="01176E27"/>
    <w:rsid w:val="011B7573"/>
    <w:rsid w:val="01290F7E"/>
    <w:rsid w:val="014F6463"/>
    <w:rsid w:val="015D1E09"/>
    <w:rsid w:val="016043AA"/>
    <w:rsid w:val="016814B1"/>
    <w:rsid w:val="016C5603"/>
    <w:rsid w:val="019E7742"/>
    <w:rsid w:val="01A21E99"/>
    <w:rsid w:val="01AA4EBD"/>
    <w:rsid w:val="01B60A44"/>
    <w:rsid w:val="01E23011"/>
    <w:rsid w:val="01EE57A2"/>
    <w:rsid w:val="01EF5E7D"/>
    <w:rsid w:val="01F251EE"/>
    <w:rsid w:val="01F33470"/>
    <w:rsid w:val="022F4F9A"/>
    <w:rsid w:val="02301F51"/>
    <w:rsid w:val="02502671"/>
    <w:rsid w:val="02697903"/>
    <w:rsid w:val="0273010D"/>
    <w:rsid w:val="027345B1"/>
    <w:rsid w:val="0294008E"/>
    <w:rsid w:val="029C7664"/>
    <w:rsid w:val="02B27B76"/>
    <w:rsid w:val="02B40C5C"/>
    <w:rsid w:val="02C00E24"/>
    <w:rsid w:val="02C343E8"/>
    <w:rsid w:val="02E10CED"/>
    <w:rsid w:val="02EB05EB"/>
    <w:rsid w:val="02F079B0"/>
    <w:rsid w:val="02F96569"/>
    <w:rsid w:val="02FA438B"/>
    <w:rsid w:val="031758A5"/>
    <w:rsid w:val="0334789D"/>
    <w:rsid w:val="03391357"/>
    <w:rsid w:val="03556B84"/>
    <w:rsid w:val="036363D4"/>
    <w:rsid w:val="037E320E"/>
    <w:rsid w:val="03B60BF9"/>
    <w:rsid w:val="03BF779A"/>
    <w:rsid w:val="03C266F1"/>
    <w:rsid w:val="03C2759E"/>
    <w:rsid w:val="03D909FA"/>
    <w:rsid w:val="03E47515"/>
    <w:rsid w:val="03EA7B21"/>
    <w:rsid w:val="03ED7737"/>
    <w:rsid w:val="03FD228A"/>
    <w:rsid w:val="040D6D58"/>
    <w:rsid w:val="041651F4"/>
    <w:rsid w:val="041B0FFD"/>
    <w:rsid w:val="042F570D"/>
    <w:rsid w:val="044959A2"/>
    <w:rsid w:val="04636E21"/>
    <w:rsid w:val="04700DA8"/>
    <w:rsid w:val="04702B56"/>
    <w:rsid w:val="04803B96"/>
    <w:rsid w:val="0488711C"/>
    <w:rsid w:val="04F54EE8"/>
    <w:rsid w:val="05075069"/>
    <w:rsid w:val="05092FAB"/>
    <w:rsid w:val="050E236F"/>
    <w:rsid w:val="05186E74"/>
    <w:rsid w:val="05442A43"/>
    <w:rsid w:val="054D10EA"/>
    <w:rsid w:val="0552743F"/>
    <w:rsid w:val="056608C3"/>
    <w:rsid w:val="05790131"/>
    <w:rsid w:val="05801699"/>
    <w:rsid w:val="058A13A2"/>
    <w:rsid w:val="058F34B0"/>
    <w:rsid w:val="05A351AD"/>
    <w:rsid w:val="05B9677F"/>
    <w:rsid w:val="05C31DD9"/>
    <w:rsid w:val="05D84E57"/>
    <w:rsid w:val="05D97099"/>
    <w:rsid w:val="05E80E12"/>
    <w:rsid w:val="05F34B67"/>
    <w:rsid w:val="05F70902"/>
    <w:rsid w:val="05F83EAE"/>
    <w:rsid w:val="05FD000B"/>
    <w:rsid w:val="063E7D85"/>
    <w:rsid w:val="064B2885"/>
    <w:rsid w:val="066761DB"/>
    <w:rsid w:val="06677F89"/>
    <w:rsid w:val="06691F53"/>
    <w:rsid w:val="066C77A0"/>
    <w:rsid w:val="06781D56"/>
    <w:rsid w:val="06821BC2"/>
    <w:rsid w:val="068535CC"/>
    <w:rsid w:val="068A4F44"/>
    <w:rsid w:val="06AB256C"/>
    <w:rsid w:val="06E05986"/>
    <w:rsid w:val="06F3181D"/>
    <w:rsid w:val="070F3643"/>
    <w:rsid w:val="070F3B90"/>
    <w:rsid w:val="07106BF4"/>
    <w:rsid w:val="07293490"/>
    <w:rsid w:val="07293586"/>
    <w:rsid w:val="07295285"/>
    <w:rsid w:val="07391925"/>
    <w:rsid w:val="07581CE7"/>
    <w:rsid w:val="07636392"/>
    <w:rsid w:val="07770C56"/>
    <w:rsid w:val="07A019A5"/>
    <w:rsid w:val="07AC7005"/>
    <w:rsid w:val="07C338E5"/>
    <w:rsid w:val="07D57174"/>
    <w:rsid w:val="07D7113E"/>
    <w:rsid w:val="07E30570"/>
    <w:rsid w:val="07ED2710"/>
    <w:rsid w:val="07F24004"/>
    <w:rsid w:val="07F719DE"/>
    <w:rsid w:val="08274D71"/>
    <w:rsid w:val="083D71D5"/>
    <w:rsid w:val="086E1695"/>
    <w:rsid w:val="08933F6D"/>
    <w:rsid w:val="089B03BE"/>
    <w:rsid w:val="089F33CE"/>
    <w:rsid w:val="08A234FA"/>
    <w:rsid w:val="08BD20E2"/>
    <w:rsid w:val="08D12DD6"/>
    <w:rsid w:val="08DA2F68"/>
    <w:rsid w:val="08F36C77"/>
    <w:rsid w:val="08FF26FB"/>
    <w:rsid w:val="091F0FEF"/>
    <w:rsid w:val="092108C3"/>
    <w:rsid w:val="092217DD"/>
    <w:rsid w:val="09271C52"/>
    <w:rsid w:val="093A7294"/>
    <w:rsid w:val="095A5B83"/>
    <w:rsid w:val="096A5B6B"/>
    <w:rsid w:val="097721BF"/>
    <w:rsid w:val="097D5ED5"/>
    <w:rsid w:val="098D036F"/>
    <w:rsid w:val="099A0675"/>
    <w:rsid w:val="09AF2373"/>
    <w:rsid w:val="09B74D83"/>
    <w:rsid w:val="09D361A8"/>
    <w:rsid w:val="09E7549D"/>
    <w:rsid w:val="09EF276F"/>
    <w:rsid w:val="09FE29B2"/>
    <w:rsid w:val="0A083831"/>
    <w:rsid w:val="0A263993"/>
    <w:rsid w:val="0A2D3AC2"/>
    <w:rsid w:val="0A402FCB"/>
    <w:rsid w:val="0A495478"/>
    <w:rsid w:val="0A59408D"/>
    <w:rsid w:val="0A630A26"/>
    <w:rsid w:val="0A6C1CF4"/>
    <w:rsid w:val="0A6F1B02"/>
    <w:rsid w:val="0A9617A0"/>
    <w:rsid w:val="0A9926DB"/>
    <w:rsid w:val="0AA755DF"/>
    <w:rsid w:val="0ABB6E64"/>
    <w:rsid w:val="0ABC6086"/>
    <w:rsid w:val="0AD1137E"/>
    <w:rsid w:val="0AD7038C"/>
    <w:rsid w:val="0AF14301"/>
    <w:rsid w:val="0AFB5FB1"/>
    <w:rsid w:val="0AFC15E8"/>
    <w:rsid w:val="0AFF69E2"/>
    <w:rsid w:val="0B120D44"/>
    <w:rsid w:val="0B197A17"/>
    <w:rsid w:val="0B1B244D"/>
    <w:rsid w:val="0B242263"/>
    <w:rsid w:val="0B5009EE"/>
    <w:rsid w:val="0B865355"/>
    <w:rsid w:val="0B93537C"/>
    <w:rsid w:val="0BAA10DF"/>
    <w:rsid w:val="0BB0660F"/>
    <w:rsid w:val="0BD27BF6"/>
    <w:rsid w:val="0BD33B2D"/>
    <w:rsid w:val="0BDB256B"/>
    <w:rsid w:val="0BFE0E60"/>
    <w:rsid w:val="0C134F16"/>
    <w:rsid w:val="0C2B35CB"/>
    <w:rsid w:val="0C385C19"/>
    <w:rsid w:val="0C3B3C7D"/>
    <w:rsid w:val="0C3C77C2"/>
    <w:rsid w:val="0C4049F1"/>
    <w:rsid w:val="0C921E46"/>
    <w:rsid w:val="0C977663"/>
    <w:rsid w:val="0CA84E57"/>
    <w:rsid w:val="0CA97D26"/>
    <w:rsid w:val="0CAB2EAE"/>
    <w:rsid w:val="0CAE70D6"/>
    <w:rsid w:val="0CB257E4"/>
    <w:rsid w:val="0CB3217A"/>
    <w:rsid w:val="0CB828CC"/>
    <w:rsid w:val="0CB90E13"/>
    <w:rsid w:val="0CBA4B2A"/>
    <w:rsid w:val="0CC55A09"/>
    <w:rsid w:val="0CE350C5"/>
    <w:rsid w:val="0D0B564D"/>
    <w:rsid w:val="0D1C5F21"/>
    <w:rsid w:val="0D2B3D13"/>
    <w:rsid w:val="0D4224E0"/>
    <w:rsid w:val="0D424407"/>
    <w:rsid w:val="0D494B5D"/>
    <w:rsid w:val="0D621C7D"/>
    <w:rsid w:val="0D6E7E4F"/>
    <w:rsid w:val="0D780392"/>
    <w:rsid w:val="0D7C723F"/>
    <w:rsid w:val="0D8238FA"/>
    <w:rsid w:val="0DA67E5A"/>
    <w:rsid w:val="0DB717F6"/>
    <w:rsid w:val="0DC0786C"/>
    <w:rsid w:val="0DC83A03"/>
    <w:rsid w:val="0DE93979"/>
    <w:rsid w:val="0DFA4F1E"/>
    <w:rsid w:val="0E3D7C66"/>
    <w:rsid w:val="0E4875A4"/>
    <w:rsid w:val="0E552DBD"/>
    <w:rsid w:val="0E5D73DE"/>
    <w:rsid w:val="0E73034D"/>
    <w:rsid w:val="0E77636A"/>
    <w:rsid w:val="0E7E2314"/>
    <w:rsid w:val="0E9F5A87"/>
    <w:rsid w:val="0EAE221F"/>
    <w:rsid w:val="0EBC4BEA"/>
    <w:rsid w:val="0EC51CF1"/>
    <w:rsid w:val="0ED038B9"/>
    <w:rsid w:val="0EFC26D1"/>
    <w:rsid w:val="0F0B68D1"/>
    <w:rsid w:val="0F13775A"/>
    <w:rsid w:val="0F234C69"/>
    <w:rsid w:val="0F254344"/>
    <w:rsid w:val="0F274028"/>
    <w:rsid w:val="0F2E5AE8"/>
    <w:rsid w:val="0F5F45FE"/>
    <w:rsid w:val="0F625791"/>
    <w:rsid w:val="0F662830"/>
    <w:rsid w:val="0F670FFA"/>
    <w:rsid w:val="0F7D6A6F"/>
    <w:rsid w:val="0F9A112B"/>
    <w:rsid w:val="0F9F39DA"/>
    <w:rsid w:val="0FAB538A"/>
    <w:rsid w:val="0FC0066A"/>
    <w:rsid w:val="0FC621C4"/>
    <w:rsid w:val="0FC65D20"/>
    <w:rsid w:val="0FDC3796"/>
    <w:rsid w:val="0FF359F9"/>
    <w:rsid w:val="100F3B6B"/>
    <w:rsid w:val="10147605"/>
    <w:rsid w:val="10172A2D"/>
    <w:rsid w:val="1021564D"/>
    <w:rsid w:val="10685029"/>
    <w:rsid w:val="106D0892"/>
    <w:rsid w:val="106D2F64"/>
    <w:rsid w:val="107439CE"/>
    <w:rsid w:val="107C0AD5"/>
    <w:rsid w:val="10833C11"/>
    <w:rsid w:val="10A32505"/>
    <w:rsid w:val="10AB3168"/>
    <w:rsid w:val="10B63710"/>
    <w:rsid w:val="10BE3CD6"/>
    <w:rsid w:val="10C5369A"/>
    <w:rsid w:val="10D64689"/>
    <w:rsid w:val="10EB3FD5"/>
    <w:rsid w:val="10EC17B7"/>
    <w:rsid w:val="10F10820"/>
    <w:rsid w:val="10FB7C4C"/>
    <w:rsid w:val="110C1E59"/>
    <w:rsid w:val="110E6878"/>
    <w:rsid w:val="111C2F7A"/>
    <w:rsid w:val="111E393A"/>
    <w:rsid w:val="11221D8F"/>
    <w:rsid w:val="112430E7"/>
    <w:rsid w:val="112609E5"/>
    <w:rsid w:val="112847B9"/>
    <w:rsid w:val="112C24FB"/>
    <w:rsid w:val="11454C19"/>
    <w:rsid w:val="1145536B"/>
    <w:rsid w:val="114C74DC"/>
    <w:rsid w:val="115B1192"/>
    <w:rsid w:val="115B562F"/>
    <w:rsid w:val="11665CA1"/>
    <w:rsid w:val="11731EFE"/>
    <w:rsid w:val="11733C86"/>
    <w:rsid w:val="119121AC"/>
    <w:rsid w:val="11AA1BBC"/>
    <w:rsid w:val="11B5604C"/>
    <w:rsid w:val="11BF5616"/>
    <w:rsid w:val="11D230A2"/>
    <w:rsid w:val="11D84431"/>
    <w:rsid w:val="11F12FFF"/>
    <w:rsid w:val="12015736"/>
    <w:rsid w:val="12114284"/>
    <w:rsid w:val="121A73FA"/>
    <w:rsid w:val="121C60CC"/>
    <w:rsid w:val="122C58CE"/>
    <w:rsid w:val="124619C1"/>
    <w:rsid w:val="12467C52"/>
    <w:rsid w:val="125C0BBE"/>
    <w:rsid w:val="127D12BF"/>
    <w:rsid w:val="128B52F9"/>
    <w:rsid w:val="12977E48"/>
    <w:rsid w:val="12A644BF"/>
    <w:rsid w:val="12A96BC1"/>
    <w:rsid w:val="12AF5C24"/>
    <w:rsid w:val="12B409FA"/>
    <w:rsid w:val="12D06F94"/>
    <w:rsid w:val="12F83839"/>
    <w:rsid w:val="1302590C"/>
    <w:rsid w:val="132E13A7"/>
    <w:rsid w:val="132E255A"/>
    <w:rsid w:val="13381A50"/>
    <w:rsid w:val="1385050C"/>
    <w:rsid w:val="13857CA0"/>
    <w:rsid w:val="13951726"/>
    <w:rsid w:val="139B5716"/>
    <w:rsid w:val="13FB2438"/>
    <w:rsid w:val="1400790F"/>
    <w:rsid w:val="140C03C2"/>
    <w:rsid w:val="14131750"/>
    <w:rsid w:val="143516C6"/>
    <w:rsid w:val="14396509"/>
    <w:rsid w:val="145C6C53"/>
    <w:rsid w:val="145F4995"/>
    <w:rsid w:val="14627FE2"/>
    <w:rsid w:val="147246C9"/>
    <w:rsid w:val="1473692B"/>
    <w:rsid w:val="147408A5"/>
    <w:rsid w:val="148443FC"/>
    <w:rsid w:val="1494463F"/>
    <w:rsid w:val="14B80288"/>
    <w:rsid w:val="14C52A4A"/>
    <w:rsid w:val="14C60835"/>
    <w:rsid w:val="14DD2C3C"/>
    <w:rsid w:val="14E31122"/>
    <w:rsid w:val="14E804E7"/>
    <w:rsid w:val="14EC7396"/>
    <w:rsid w:val="14EF637E"/>
    <w:rsid w:val="151D2886"/>
    <w:rsid w:val="151E03AD"/>
    <w:rsid w:val="152068E3"/>
    <w:rsid w:val="15386004"/>
    <w:rsid w:val="15437082"/>
    <w:rsid w:val="1549248C"/>
    <w:rsid w:val="154F0566"/>
    <w:rsid w:val="15714980"/>
    <w:rsid w:val="15805B8C"/>
    <w:rsid w:val="15861F52"/>
    <w:rsid w:val="15BF393E"/>
    <w:rsid w:val="15D66ED9"/>
    <w:rsid w:val="16087E1D"/>
    <w:rsid w:val="160B1A85"/>
    <w:rsid w:val="160E21CF"/>
    <w:rsid w:val="167504A0"/>
    <w:rsid w:val="16907088"/>
    <w:rsid w:val="169923E1"/>
    <w:rsid w:val="169E6BB7"/>
    <w:rsid w:val="16A55FBE"/>
    <w:rsid w:val="16A668AC"/>
    <w:rsid w:val="16C744C6"/>
    <w:rsid w:val="16C94348"/>
    <w:rsid w:val="16DF591A"/>
    <w:rsid w:val="16FC64CC"/>
    <w:rsid w:val="171001C9"/>
    <w:rsid w:val="175C1539"/>
    <w:rsid w:val="17701D14"/>
    <w:rsid w:val="17735226"/>
    <w:rsid w:val="17766388"/>
    <w:rsid w:val="177B6F58"/>
    <w:rsid w:val="17884203"/>
    <w:rsid w:val="178D1819"/>
    <w:rsid w:val="178D5376"/>
    <w:rsid w:val="17BB1EE3"/>
    <w:rsid w:val="17E802B7"/>
    <w:rsid w:val="181D47CC"/>
    <w:rsid w:val="184243B2"/>
    <w:rsid w:val="185A16FC"/>
    <w:rsid w:val="18631867"/>
    <w:rsid w:val="18694035"/>
    <w:rsid w:val="187A7D80"/>
    <w:rsid w:val="187F006A"/>
    <w:rsid w:val="187F42A3"/>
    <w:rsid w:val="188744BB"/>
    <w:rsid w:val="189F624C"/>
    <w:rsid w:val="18B85A4A"/>
    <w:rsid w:val="18C94AD3"/>
    <w:rsid w:val="18E23892"/>
    <w:rsid w:val="18EB67F8"/>
    <w:rsid w:val="191025A3"/>
    <w:rsid w:val="19194AA2"/>
    <w:rsid w:val="191D2683"/>
    <w:rsid w:val="194D300E"/>
    <w:rsid w:val="195233B3"/>
    <w:rsid w:val="19787FBA"/>
    <w:rsid w:val="198C7FDB"/>
    <w:rsid w:val="19BC6185"/>
    <w:rsid w:val="19C257AA"/>
    <w:rsid w:val="19D43730"/>
    <w:rsid w:val="1A082EDA"/>
    <w:rsid w:val="1A1C66C0"/>
    <w:rsid w:val="1A2F6BB8"/>
    <w:rsid w:val="1A393593"/>
    <w:rsid w:val="1A3D3083"/>
    <w:rsid w:val="1A42393B"/>
    <w:rsid w:val="1A46462D"/>
    <w:rsid w:val="1A467785"/>
    <w:rsid w:val="1A604B7E"/>
    <w:rsid w:val="1A705206"/>
    <w:rsid w:val="1AAD45DE"/>
    <w:rsid w:val="1ABF1756"/>
    <w:rsid w:val="1AC3727C"/>
    <w:rsid w:val="1ACD4355"/>
    <w:rsid w:val="1ACD4A4C"/>
    <w:rsid w:val="1AEE241D"/>
    <w:rsid w:val="1AFC4D52"/>
    <w:rsid w:val="1AFF47DC"/>
    <w:rsid w:val="1B046F80"/>
    <w:rsid w:val="1B120509"/>
    <w:rsid w:val="1B1C1F26"/>
    <w:rsid w:val="1B23546C"/>
    <w:rsid w:val="1B23671D"/>
    <w:rsid w:val="1B3267B5"/>
    <w:rsid w:val="1B40161D"/>
    <w:rsid w:val="1B441859"/>
    <w:rsid w:val="1B6606B1"/>
    <w:rsid w:val="1B7644EC"/>
    <w:rsid w:val="1B770817"/>
    <w:rsid w:val="1B7966E7"/>
    <w:rsid w:val="1B8847D2"/>
    <w:rsid w:val="1B886580"/>
    <w:rsid w:val="1B903686"/>
    <w:rsid w:val="1BA15893"/>
    <w:rsid w:val="1BC352E5"/>
    <w:rsid w:val="1BCD6688"/>
    <w:rsid w:val="1BE85270"/>
    <w:rsid w:val="1BFF6654"/>
    <w:rsid w:val="1C044240"/>
    <w:rsid w:val="1C046B66"/>
    <w:rsid w:val="1C100BE6"/>
    <w:rsid w:val="1C25645B"/>
    <w:rsid w:val="1C32795E"/>
    <w:rsid w:val="1C4920AC"/>
    <w:rsid w:val="1C5823F6"/>
    <w:rsid w:val="1C5E7925"/>
    <w:rsid w:val="1C60323F"/>
    <w:rsid w:val="1C7F4184"/>
    <w:rsid w:val="1C802328"/>
    <w:rsid w:val="1CAD4F6E"/>
    <w:rsid w:val="1CBC0BD7"/>
    <w:rsid w:val="1CDD28FB"/>
    <w:rsid w:val="1CDF3B2A"/>
    <w:rsid w:val="1CE417F1"/>
    <w:rsid w:val="1CFD070F"/>
    <w:rsid w:val="1D0248C4"/>
    <w:rsid w:val="1D352737"/>
    <w:rsid w:val="1D3C4A63"/>
    <w:rsid w:val="1D4110DC"/>
    <w:rsid w:val="1D4E55A7"/>
    <w:rsid w:val="1D544216"/>
    <w:rsid w:val="1D56453A"/>
    <w:rsid w:val="1D5F6196"/>
    <w:rsid w:val="1D6132A5"/>
    <w:rsid w:val="1D6261A5"/>
    <w:rsid w:val="1D69659B"/>
    <w:rsid w:val="1D71569B"/>
    <w:rsid w:val="1D85546D"/>
    <w:rsid w:val="1D8E3608"/>
    <w:rsid w:val="1D8E56D5"/>
    <w:rsid w:val="1D920A3C"/>
    <w:rsid w:val="1D9343F6"/>
    <w:rsid w:val="1DC53ABB"/>
    <w:rsid w:val="1DDF452F"/>
    <w:rsid w:val="1E087E4C"/>
    <w:rsid w:val="1E3A76EE"/>
    <w:rsid w:val="1E3F0DB1"/>
    <w:rsid w:val="1E461D13"/>
    <w:rsid w:val="1E4C772B"/>
    <w:rsid w:val="1E543C87"/>
    <w:rsid w:val="1E736539"/>
    <w:rsid w:val="1E7A43DA"/>
    <w:rsid w:val="1E802B32"/>
    <w:rsid w:val="1E893BB9"/>
    <w:rsid w:val="1E8F40C9"/>
    <w:rsid w:val="1E91399D"/>
    <w:rsid w:val="1EAC3529"/>
    <w:rsid w:val="1EC21DA9"/>
    <w:rsid w:val="1ECB3486"/>
    <w:rsid w:val="1ED50026"/>
    <w:rsid w:val="1EDF722D"/>
    <w:rsid w:val="1EEA12FF"/>
    <w:rsid w:val="1F07179F"/>
    <w:rsid w:val="1F175E9E"/>
    <w:rsid w:val="1F186E36"/>
    <w:rsid w:val="1F1D139B"/>
    <w:rsid w:val="1F342C07"/>
    <w:rsid w:val="1F372797"/>
    <w:rsid w:val="1F382545"/>
    <w:rsid w:val="1F5328F3"/>
    <w:rsid w:val="1F79582C"/>
    <w:rsid w:val="1F8A176C"/>
    <w:rsid w:val="1F941997"/>
    <w:rsid w:val="1FA56A71"/>
    <w:rsid w:val="1FA94D17"/>
    <w:rsid w:val="1FC55FF4"/>
    <w:rsid w:val="1FC63B1B"/>
    <w:rsid w:val="1FD01024"/>
    <w:rsid w:val="1FD4694A"/>
    <w:rsid w:val="1FE7539E"/>
    <w:rsid w:val="1FF40EAB"/>
    <w:rsid w:val="1FF468DA"/>
    <w:rsid w:val="200672E3"/>
    <w:rsid w:val="20120B0E"/>
    <w:rsid w:val="20313CDC"/>
    <w:rsid w:val="203776EA"/>
    <w:rsid w:val="20671BE0"/>
    <w:rsid w:val="2083043B"/>
    <w:rsid w:val="20963CB8"/>
    <w:rsid w:val="20A81A1B"/>
    <w:rsid w:val="20AA6F98"/>
    <w:rsid w:val="20B07FB6"/>
    <w:rsid w:val="20B646FB"/>
    <w:rsid w:val="20C462AC"/>
    <w:rsid w:val="20CA3197"/>
    <w:rsid w:val="20DD2C3A"/>
    <w:rsid w:val="20F326ED"/>
    <w:rsid w:val="20FD1D19"/>
    <w:rsid w:val="20FF44F4"/>
    <w:rsid w:val="210C7C53"/>
    <w:rsid w:val="212456F9"/>
    <w:rsid w:val="2132358F"/>
    <w:rsid w:val="213B74B1"/>
    <w:rsid w:val="21425423"/>
    <w:rsid w:val="214321FC"/>
    <w:rsid w:val="214C62A1"/>
    <w:rsid w:val="215666D4"/>
    <w:rsid w:val="215A2310"/>
    <w:rsid w:val="218B6DCA"/>
    <w:rsid w:val="21916924"/>
    <w:rsid w:val="21CD7A35"/>
    <w:rsid w:val="21DE318A"/>
    <w:rsid w:val="21EF5B80"/>
    <w:rsid w:val="22016908"/>
    <w:rsid w:val="2217240B"/>
    <w:rsid w:val="22196184"/>
    <w:rsid w:val="222F1E4B"/>
    <w:rsid w:val="22317971"/>
    <w:rsid w:val="22576990"/>
    <w:rsid w:val="226C34F6"/>
    <w:rsid w:val="227B299A"/>
    <w:rsid w:val="227F4824"/>
    <w:rsid w:val="22B867D6"/>
    <w:rsid w:val="22B96352"/>
    <w:rsid w:val="22C42BB6"/>
    <w:rsid w:val="22D0347C"/>
    <w:rsid w:val="22D24A91"/>
    <w:rsid w:val="22EC4676"/>
    <w:rsid w:val="22F47480"/>
    <w:rsid w:val="22F84944"/>
    <w:rsid w:val="22F93B6C"/>
    <w:rsid w:val="22FE11E8"/>
    <w:rsid w:val="23085B95"/>
    <w:rsid w:val="23152DEF"/>
    <w:rsid w:val="232140E8"/>
    <w:rsid w:val="2323152C"/>
    <w:rsid w:val="23244DE0"/>
    <w:rsid w:val="232748D0"/>
    <w:rsid w:val="233734B5"/>
    <w:rsid w:val="23390004"/>
    <w:rsid w:val="23435A34"/>
    <w:rsid w:val="234436D4"/>
    <w:rsid w:val="236A0569"/>
    <w:rsid w:val="2389331B"/>
    <w:rsid w:val="238E494F"/>
    <w:rsid w:val="23A10B26"/>
    <w:rsid w:val="23A7494C"/>
    <w:rsid w:val="23B51EDC"/>
    <w:rsid w:val="23CE7442"/>
    <w:rsid w:val="23D5432C"/>
    <w:rsid w:val="23D95E22"/>
    <w:rsid w:val="23DE1C48"/>
    <w:rsid w:val="23E80EFE"/>
    <w:rsid w:val="23F92711"/>
    <w:rsid w:val="240210CD"/>
    <w:rsid w:val="240B41F2"/>
    <w:rsid w:val="2418246B"/>
    <w:rsid w:val="243C4718"/>
    <w:rsid w:val="24503D37"/>
    <w:rsid w:val="245060A9"/>
    <w:rsid w:val="245513DF"/>
    <w:rsid w:val="24551467"/>
    <w:rsid w:val="2472601F"/>
    <w:rsid w:val="247515EE"/>
    <w:rsid w:val="248B7B1A"/>
    <w:rsid w:val="249B7324"/>
    <w:rsid w:val="24A62CC5"/>
    <w:rsid w:val="24BF09F7"/>
    <w:rsid w:val="24D16B39"/>
    <w:rsid w:val="24FD4C8D"/>
    <w:rsid w:val="2519649B"/>
    <w:rsid w:val="251B2969"/>
    <w:rsid w:val="252D53FE"/>
    <w:rsid w:val="2533755C"/>
    <w:rsid w:val="256B6748"/>
    <w:rsid w:val="25797A56"/>
    <w:rsid w:val="258957D0"/>
    <w:rsid w:val="2590660C"/>
    <w:rsid w:val="259F5388"/>
    <w:rsid w:val="25A36C3A"/>
    <w:rsid w:val="25B368EF"/>
    <w:rsid w:val="25C1100C"/>
    <w:rsid w:val="25CC204F"/>
    <w:rsid w:val="25DF4AAE"/>
    <w:rsid w:val="25EC2D81"/>
    <w:rsid w:val="25F32AF8"/>
    <w:rsid w:val="26202C71"/>
    <w:rsid w:val="26355556"/>
    <w:rsid w:val="263C5DD3"/>
    <w:rsid w:val="264834DB"/>
    <w:rsid w:val="264C60CB"/>
    <w:rsid w:val="26661BB3"/>
    <w:rsid w:val="266C2E7A"/>
    <w:rsid w:val="268B7B25"/>
    <w:rsid w:val="26993D37"/>
    <w:rsid w:val="26997893"/>
    <w:rsid w:val="26B7240F"/>
    <w:rsid w:val="26C8461C"/>
    <w:rsid w:val="26DF638E"/>
    <w:rsid w:val="26E256F1"/>
    <w:rsid w:val="26F03ABB"/>
    <w:rsid w:val="27090EBD"/>
    <w:rsid w:val="27356517"/>
    <w:rsid w:val="273A0013"/>
    <w:rsid w:val="273C55E4"/>
    <w:rsid w:val="273D0B66"/>
    <w:rsid w:val="274454B9"/>
    <w:rsid w:val="27453891"/>
    <w:rsid w:val="276C33DC"/>
    <w:rsid w:val="277057A2"/>
    <w:rsid w:val="277338EC"/>
    <w:rsid w:val="279724A7"/>
    <w:rsid w:val="27C60B5C"/>
    <w:rsid w:val="27CD690F"/>
    <w:rsid w:val="27DC212D"/>
    <w:rsid w:val="27DF5779"/>
    <w:rsid w:val="27EB05C2"/>
    <w:rsid w:val="27F46833"/>
    <w:rsid w:val="27FA2A1A"/>
    <w:rsid w:val="28042758"/>
    <w:rsid w:val="28055976"/>
    <w:rsid w:val="28117DA6"/>
    <w:rsid w:val="2819686D"/>
    <w:rsid w:val="281F201A"/>
    <w:rsid w:val="28206C63"/>
    <w:rsid w:val="28245882"/>
    <w:rsid w:val="283C2BCC"/>
    <w:rsid w:val="283C72B8"/>
    <w:rsid w:val="283D2A8F"/>
    <w:rsid w:val="28486455"/>
    <w:rsid w:val="285223EF"/>
    <w:rsid w:val="285F68BA"/>
    <w:rsid w:val="28885E11"/>
    <w:rsid w:val="289C366A"/>
    <w:rsid w:val="28AF7B18"/>
    <w:rsid w:val="28C83982"/>
    <w:rsid w:val="28D56B7C"/>
    <w:rsid w:val="28E62B38"/>
    <w:rsid w:val="28F720FD"/>
    <w:rsid w:val="290A2CCA"/>
    <w:rsid w:val="29206EB8"/>
    <w:rsid w:val="29385A89"/>
    <w:rsid w:val="293E0BC6"/>
    <w:rsid w:val="294A1318"/>
    <w:rsid w:val="2951091E"/>
    <w:rsid w:val="29595666"/>
    <w:rsid w:val="29787C34"/>
    <w:rsid w:val="29874881"/>
    <w:rsid w:val="29A9038D"/>
    <w:rsid w:val="29E325E0"/>
    <w:rsid w:val="29E453C0"/>
    <w:rsid w:val="29EA6E8A"/>
    <w:rsid w:val="2A077209"/>
    <w:rsid w:val="2A092F3E"/>
    <w:rsid w:val="2A0F6254"/>
    <w:rsid w:val="2A383867"/>
    <w:rsid w:val="2A452503"/>
    <w:rsid w:val="2A585CB7"/>
    <w:rsid w:val="2A663F30"/>
    <w:rsid w:val="2A680777"/>
    <w:rsid w:val="2A790107"/>
    <w:rsid w:val="2A7D74CC"/>
    <w:rsid w:val="2A7D768B"/>
    <w:rsid w:val="2AAF4081"/>
    <w:rsid w:val="2AB253C7"/>
    <w:rsid w:val="2AB729DE"/>
    <w:rsid w:val="2AD41BD4"/>
    <w:rsid w:val="2B111321"/>
    <w:rsid w:val="2B1C6E1C"/>
    <w:rsid w:val="2B261206"/>
    <w:rsid w:val="2B2B6F28"/>
    <w:rsid w:val="2B2F0815"/>
    <w:rsid w:val="2B536BB8"/>
    <w:rsid w:val="2B6568DD"/>
    <w:rsid w:val="2B6C794F"/>
    <w:rsid w:val="2B826D81"/>
    <w:rsid w:val="2B9A7DBA"/>
    <w:rsid w:val="2BA936A8"/>
    <w:rsid w:val="2BAB516D"/>
    <w:rsid w:val="2BBE2BE0"/>
    <w:rsid w:val="2BC61925"/>
    <w:rsid w:val="2BD66E93"/>
    <w:rsid w:val="2BE874D8"/>
    <w:rsid w:val="2C002162"/>
    <w:rsid w:val="2C0734F1"/>
    <w:rsid w:val="2C0B1233"/>
    <w:rsid w:val="2C155DD5"/>
    <w:rsid w:val="2C250873"/>
    <w:rsid w:val="2C315A5A"/>
    <w:rsid w:val="2C371AE6"/>
    <w:rsid w:val="2C3870C3"/>
    <w:rsid w:val="2C4B1C25"/>
    <w:rsid w:val="2C585947"/>
    <w:rsid w:val="2C58739C"/>
    <w:rsid w:val="2C5C1A8E"/>
    <w:rsid w:val="2C7A3CC3"/>
    <w:rsid w:val="2C92725E"/>
    <w:rsid w:val="2C9C632F"/>
    <w:rsid w:val="2CBE62A5"/>
    <w:rsid w:val="2CD0422B"/>
    <w:rsid w:val="2CD04B52"/>
    <w:rsid w:val="2CD94390"/>
    <w:rsid w:val="2CDC3EC7"/>
    <w:rsid w:val="2CDC497D"/>
    <w:rsid w:val="2CE66C12"/>
    <w:rsid w:val="2CEB49CE"/>
    <w:rsid w:val="2CED0939"/>
    <w:rsid w:val="2CF970F4"/>
    <w:rsid w:val="2D0B7011"/>
    <w:rsid w:val="2D144117"/>
    <w:rsid w:val="2D157E8F"/>
    <w:rsid w:val="2D2D6F87"/>
    <w:rsid w:val="2D4349FC"/>
    <w:rsid w:val="2D482013"/>
    <w:rsid w:val="2D6230D5"/>
    <w:rsid w:val="2D647324"/>
    <w:rsid w:val="2D6D7E98"/>
    <w:rsid w:val="2D6F57F1"/>
    <w:rsid w:val="2D8A7415"/>
    <w:rsid w:val="2D9E56F5"/>
    <w:rsid w:val="2DA01E4F"/>
    <w:rsid w:val="2DA52FC1"/>
    <w:rsid w:val="2DB63420"/>
    <w:rsid w:val="2DBD655D"/>
    <w:rsid w:val="2DD6761F"/>
    <w:rsid w:val="2DE07B8D"/>
    <w:rsid w:val="2DE279BB"/>
    <w:rsid w:val="2DE55AB4"/>
    <w:rsid w:val="2DE63220"/>
    <w:rsid w:val="2DEA4E78"/>
    <w:rsid w:val="2E0C1292"/>
    <w:rsid w:val="2E1D0ABD"/>
    <w:rsid w:val="2E555E72"/>
    <w:rsid w:val="2E59771C"/>
    <w:rsid w:val="2E667F96"/>
    <w:rsid w:val="2E80779F"/>
    <w:rsid w:val="2E81758A"/>
    <w:rsid w:val="2E8226AB"/>
    <w:rsid w:val="2EAC037F"/>
    <w:rsid w:val="2EF51086"/>
    <w:rsid w:val="2F087CAC"/>
    <w:rsid w:val="2F124686"/>
    <w:rsid w:val="2F1E15A0"/>
    <w:rsid w:val="2F214344"/>
    <w:rsid w:val="2F594063"/>
    <w:rsid w:val="2F5D7C65"/>
    <w:rsid w:val="2F5E167A"/>
    <w:rsid w:val="2F5F53F2"/>
    <w:rsid w:val="2F7E3ACA"/>
    <w:rsid w:val="2F7E613B"/>
    <w:rsid w:val="2F805A94"/>
    <w:rsid w:val="2FA30B75"/>
    <w:rsid w:val="2FAC4EFF"/>
    <w:rsid w:val="2FBD0A96"/>
    <w:rsid w:val="2FCE2CA3"/>
    <w:rsid w:val="2FCF2577"/>
    <w:rsid w:val="2FD065E6"/>
    <w:rsid w:val="2FD96870"/>
    <w:rsid w:val="2FF14047"/>
    <w:rsid w:val="301D5297"/>
    <w:rsid w:val="30343562"/>
    <w:rsid w:val="30473CEF"/>
    <w:rsid w:val="304C3BC8"/>
    <w:rsid w:val="30580BC9"/>
    <w:rsid w:val="3071362F"/>
    <w:rsid w:val="30A30C90"/>
    <w:rsid w:val="30A82681"/>
    <w:rsid w:val="30B272C9"/>
    <w:rsid w:val="30B65F0A"/>
    <w:rsid w:val="30C10112"/>
    <w:rsid w:val="30CD2F5B"/>
    <w:rsid w:val="30DC52C3"/>
    <w:rsid w:val="30F23094"/>
    <w:rsid w:val="30F60C00"/>
    <w:rsid w:val="30FF50DE"/>
    <w:rsid w:val="31192C28"/>
    <w:rsid w:val="311A0B44"/>
    <w:rsid w:val="311E2ED7"/>
    <w:rsid w:val="31322DBE"/>
    <w:rsid w:val="315619EE"/>
    <w:rsid w:val="315C449C"/>
    <w:rsid w:val="316D3505"/>
    <w:rsid w:val="317452BC"/>
    <w:rsid w:val="31B82709"/>
    <w:rsid w:val="31C874FD"/>
    <w:rsid w:val="31D05482"/>
    <w:rsid w:val="31D0753F"/>
    <w:rsid w:val="31D200FD"/>
    <w:rsid w:val="31DE195E"/>
    <w:rsid w:val="3206742F"/>
    <w:rsid w:val="3207249C"/>
    <w:rsid w:val="32385AD2"/>
    <w:rsid w:val="32400B34"/>
    <w:rsid w:val="324C7EAF"/>
    <w:rsid w:val="324F174E"/>
    <w:rsid w:val="32655415"/>
    <w:rsid w:val="32690DBC"/>
    <w:rsid w:val="32701BD2"/>
    <w:rsid w:val="32761300"/>
    <w:rsid w:val="327853AE"/>
    <w:rsid w:val="328C0BF4"/>
    <w:rsid w:val="329E6876"/>
    <w:rsid w:val="32A777DC"/>
    <w:rsid w:val="32D05125"/>
    <w:rsid w:val="32D83A96"/>
    <w:rsid w:val="32E53E60"/>
    <w:rsid w:val="32F00761"/>
    <w:rsid w:val="32F04CDF"/>
    <w:rsid w:val="33095BEF"/>
    <w:rsid w:val="330B48F7"/>
    <w:rsid w:val="331B765D"/>
    <w:rsid w:val="331C5AD4"/>
    <w:rsid w:val="33233306"/>
    <w:rsid w:val="333015F2"/>
    <w:rsid w:val="334B6320"/>
    <w:rsid w:val="334E470B"/>
    <w:rsid w:val="335C05C6"/>
    <w:rsid w:val="33732477"/>
    <w:rsid w:val="33745910"/>
    <w:rsid w:val="338356FE"/>
    <w:rsid w:val="338B4A07"/>
    <w:rsid w:val="33955A3D"/>
    <w:rsid w:val="33965860"/>
    <w:rsid w:val="339A4C4A"/>
    <w:rsid w:val="33AB50A9"/>
    <w:rsid w:val="33B229EA"/>
    <w:rsid w:val="33D740F0"/>
    <w:rsid w:val="33D934D4"/>
    <w:rsid w:val="33E52369"/>
    <w:rsid w:val="33FE2F6A"/>
    <w:rsid w:val="34014CC9"/>
    <w:rsid w:val="340622E0"/>
    <w:rsid w:val="340E07E5"/>
    <w:rsid w:val="341449FD"/>
    <w:rsid w:val="34225DB6"/>
    <w:rsid w:val="34235BF7"/>
    <w:rsid w:val="34303663"/>
    <w:rsid w:val="343706EB"/>
    <w:rsid w:val="34437258"/>
    <w:rsid w:val="34474900"/>
    <w:rsid w:val="344A041F"/>
    <w:rsid w:val="346F4329"/>
    <w:rsid w:val="34806536"/>
    <w:rsid w:val="348576A9"/>
    <w:rsid w:val="34967B08"/>
    <w:rsid w:val="34A00986"/>
    <w:rsid w:val="34A43FD3"/>
    <w:rsid w:val="34A95B57"/>
    <w:rsid w:val="34C93A39"/>
    <w:rsid w:val="34E46AC5"/>
    <w:rsid w:val="34F02826"/>
    <w:rsid w:val="34F30AB6"/>
    <w:rsid w:val="34FC4997"/>
    <w:rsid w:val="35044A71"/>
    <w:rsid w:val="351153E0"/>
    <w:rsid w:val="35134512"/>
    <w:rsid w:val="35150A2C"/>
    <w:rsid w:val="35160F1B"/>
    <w:rsid w:val="351C2635"/>
    <w:rsid w:val="353A1E83"/>
    <w:rsid w:val="35415CC5"/>
    <w:rsid w:val="355F7EFA"/>
    <w:rsid w:val="356273B0"/>
    <w:rsid w:val="357D64E1"/>
    <w:rsid w:val="358C5FA8"/>
    <w:rsid w:val="3595385E"/>
    <w:rsid w:val="35A818A1"/>
    <w:rsid w:val="35B53FBD"/>
    <w:rsid w:val="35C15DF1"/>
    <w:rsid w:val="35C869C9"/>
    <w:rsid w:val="35CF5088"/>
    <w:rsid w:val="35F12B13"/>
    <w:rsid w:val="35F54315"/>
    <w:rsid w:val="35F67D33"/>
    <w:rsid w:val="35FF5321"/>
    <w:rsid w:val="36074A7F"/>
    <w:rsid w:val="360867E3"/>
    <w:rsid w:val="3616178C"/>
    <w:rsid w:val="36237179"/>
    <w:rsid w:val="36541A28"/>
    <w:rsid w:val="366642A9"/>
    <w:rsid w:val="366C449A"/>
    <w:rsid w:val="36716136"/>
    <w:rsid w:val="36923549"/>
    <w:rsid w:val="36B1214A"/>
    <w:rsid w:val="36B75FBF"/>
    <w:rsid w:val="36BD0C45"/>
    <w:rsid w:val="36C344B8"/>
    <w:rsid w:val="370276D6"/>
    <w:rsid w:val="37462BAC"/>
    <w:rsid w:val="375515B4"/>
    <w:rsid w:val="375A6BCB"/>
    <w:rsid w:val="37626AAF"/>
    <w:rsid w:val="37661A13"/>
    <w:rsid w:val="37727331"/>
    <w:rsid w:val="37861C3C"/>
    <w:rsid w:val="378C567A"/>
    <w:rsid w:val="379D2CF9"/>
    <w:rsid w:val="37A477E3"/>
    <w:rsid w:val="37DB7B8A"/>
    <w:rsid w:val="37E00298"/>
    <w:rsid w:val="37F0752F"/>
    <w:rsid w:val="37F91B2A"/>
    <w:rsid w:val="3826307B"/>
    <w:rsid w:val="382F1D90"/>
    <w:rsid w:val="383B2EA0"/>
    <w:rsid w:val="38402264"/>
    <w:rsid w:val="38545D10"/>
    <w:rsid w:val="389D69AD"/>
    <w:rsid w:val="38B302F9"/>
    <w:rsid w:val="38C74734"/>
    <w:rsid w:val="38D3552B"/>
    <w:rsid w:val="38D726AD"/>
    <w:rsid w:val="38DD5D05"/>
    <w:rsid w:val="38F052AC"/>
    <w:rsid w:val="38F12CD3"/>
    <w:rsid w:val="38F94775"/>
    <w:rsid w:val="39041389"/>
    <w:rsid w:val="3907025B"/>
    <w:rsid w:val="39131727"/>
    <w:rsid w:val="39203E44"/>
    <w:rsid w:val="39261BF0"/>
    <w:rsid w:val="392971ED"/>
    <w:rsid w:val="392C4597"/>
    <w:rsid w:val="39325651"/>
    <w:rsid w:val="3950297B"/>
    <w:rsid w:val="39516F7F"/>
    <w:rsid w:val="396401D4"/>
    <w:rsid w:val="396935D0"/>
    <w:rsid w:val="396F143B"/>
    <w:rsid w:val="3984586D"/>
    <w:rsid w:val="39932868"/>
    <w:rsid w:val="399A789E"/>
    <w:rsid w:val="399B34CA"/>
    <w:rsid w:val="39B34CB8"/>
    <w:rsid w:val="39BA7DF4"/>
    <w:rsid w:val="39D30EB6"/>
    <w:rsid w:val="39D82C0F"/>
    <w:rsid w:val="39E13ABD"/>
    <w:rsid w:val="39F51010"/>
    <w:rsid w:val="3A080ADD"/>
    <w:rsid w:val="3A1F310B"/>
    <w:rsid w:val="3A241712"/>
    <w:rsid w:val="3A2C0BE8"/>
    <w:rsid w:val="3A2E433E"/>
    <w:rsid w:val="3A361B71"/>
    <w:rsid w:val="3A432327"/>
    <w:rsid w:val="3A517197"/>
    <w:rsid w:val="3A575643"/>
    <w:rsid w:val="3A787053"/>
    <w:rsid w:val="3A805B11"/>
    <w:rsid w:val="3A816969"/>
    <w:rsid w:val="3A872856"/>
    <w:rsid w:val="3A96260F"/>
    <w:rsid w:val="3AB3217D"/>
    <w:rsid w:val="3ABB540A"/>
    <w:rsid w:val="3ACA4145"/>
    <w:rsid w:val="3ACF6A20"/>
    <w:rsid w:val="3AFB171C"/>
    <w:rsid w:val="3B007A89"/>
    <w:rsid w:val="3B017D29"/>
    <w:rsid w:val="3B0F23C2"/>
    <w:rsid w:val="3B351E28"/>
    <w:rsid w:val="3B3763D1"/>
    <w:rsid w:val="3B5B1163"/>
    <w:rsid w:val="3B65662F"/>
    <w:rsid w:val="3B745EE6"/>
    <w:rsid w:val="3B7B5C24"/>
    <w:rsid w:val="3B7F12F6"/>
    <w:rsid w:val="3B9308FD"/>
    <w:rsid w:val="3B98592D"/>
    <w:rsid w:val="3BB802B3"/>
    <w:rsid w:val="3BB8039C"/>
    <w:rsid w:val="3BC25E32"/>
    <w:rsid w:val="3BE66B87"/>
    <w:rsid w:val="3BF21AC7"/>
    <w:rsid w:val="3C011D0B"/>
    <w:rsid w:val="3C033CD5"/>
    <w:rsid w:val="3C036632"/>
    <w:rsid w:val="3C0F15E4"/>
    <w:rsid w:val="3C1A101E"/>
    <w:rsid w:val="3C211DCF"/>
    <w:rsid w:val="3C2F6E1E"/>
    <w:rsid w:val="3C4F64BA"/>
    <w:rsid w:val="3C597D99"/>
    <w:rsid w:val="3C5F5A55"/>
    <w:rsid w:val="3C7B5B5E"/>
    <w:rsid w:val="3C95062E"/>
    <w:rsid w:val="3C983A6F"/>
    <w:rsid w:val="3C9E39FD"/>
    <w:rsid w:val="3CB6189E"/>
    <w:rsid w:val="3CDA245A"/>
    <w:rsid w:val="3CDA5DA3"/>
    <w:rsid w:val="3CF33D49"/>
    <w:rsid w:val="3D18555E"/>
    <w:rsid w:val="3D1E06B7"/>
    <w:rsid w:val="3D2A5291"/>
    <w:rsid w:val="3D3A19A2"/>
    <w:rsid w:val="3D6759D2"/>
    <w:rsid w:val="3D725EEA"/>
    <w:rsid w:val="3D7309E6"/>
    <w:rsid w:val="3D7B3D3F"/>
    <w:rsid w:val="3D8C4A86"/>
    <w:rsid w:val="3DAB15C3"/>
    <w:rsid w:val="3DBA1187"/>
    <w:rsid w:val="3DC86515"/>
    <w:rsid w:val="3DCB3EC5"/>
    <w:rsid w:val="3DCD6C0E"/>
    <w:rsid w:val="3DFD0D30"/>
    <w:rsid w:val="3DFF08E6"/>
    <w:rsid w:val="3E232ECA"/>
    <w:rsid w:val="3E3670C6"/>
    <w:rsid w:val="3E444130"/>
    <w:rsid w:val="3E5743BA"/>
    <w:rsid w:val="3E587BDC"/>
    <w:rsid w:val="3E6622F9"/>
    <w:rsid w:val="3E695F89"/>
    <w:rsid w:val="3E992C55"/>
    <w:rsid w:val="3EAD43CC"/>
    <w:rsid w:val="3EDA0523"/>
    <w:rsid w:val="3EE14075"/>
    <w:rsid w:val="3F310B59"/>
    <w:rsid w:val="3F3D74FE"/>
    <w:rsid w:val="3F410F33"/>
    <w:rsid w:val="3F843F07"/>
    <w:rsid w:val="3F874CDC"/>
    <w:rsid w:val="3F9B2941"/>
    <w:rsid w:val="3FA26712"/>
    <w:rsid w:val="3FA30B08"/>
    <w:rsid w:val="3FA56E51"/>
    <w:rsid w:val="3FAE3F57"/>
    <w:rsid w:val="3FCC1CC2"/>
    <w:rsid w:val="3FE8346E"/>
    <w:rsid w:val="3FF97BCE"/>
    <w:rsid w:val="400022D9"/>
    <w:rsid w:val="400224F5"/>
    <w:rsid w:val="40224945"/>
    <w:rsid w:val="403808C5"/>
    <w:rsid w:val="403B1641"/>
    <w:rsid w:val="40752CC7"/>
    <w:rsid w:val="407537F0"/>
    <w:rsid w:val="407A6407"/>
    <w:rsid w:val="4081166C"/>
    <w:rsid w:val="408A49C4"/>
    <w:rsid w:val="40AA1674"/>
    <w:rsid w:val="40B21825"/>
    <w:rsid w:val="40C15F0C"/>
    <w:rsid w:val="40C80671"/>
    <w:rsid w:val="40D01062"/>
    <w:rsid w:val="40D479EE"/>
    <w:rsid w:val="40F24318"/>
    <w:rsid w:val="40F9678D"/>
    <w:rsid w:val="40FE580A"/>
    <w:rsid w:val="414F176A"/>
    <w:rsid w:val="4156135A"/>
    <w:rsid w:val="41601281"/>
    <w:rsid w:val="4162217B"/>
    <w:rsid w:val="41655AB3"/>
    <w:rsid w:val="41662610"/>
    <w:rsid w:val="41676AB4"/>
    <w:rsid w:val="416D4D11"/>
    <w:rsid w:val="417F2794"/>
    <w:rsid w:val="41AD14AA"/>
    <w:rsid w:val="41AD6793"/>
    <w:rsid w:val="41B810BD"/>
    <w:rsid w:val="41CA77FE"/>
    <w:rsid w:val="41EF2605"/>
    <w:rsid w:val="4200449D"/>
    <w:rsid w:val="4205007B"/>
    <w:rsid w:val="423A3BCC"/>
    <w:rsid w:val="424E57D2"/>
    <w:rsid w:val="425A6618"/>
    <w:rsid w:val="425E4849"/>
    <w:rsid w:val="42610F23"/>
    <w:rsid w:val="42786A9F"/>
    <w:rsid w:val="427F2673"/>
    <w:rsid w:val="42864D18"/>
    <w:rsid w:val="42865530"/>
    <w:rsid w:val="42A41358"/>
    <w:rsid w:val="42A46488"/>
    <w:rsid w:val="42B26C49"/>
    <w:rsid w:val="42B37C80"/>
    <w:rsid w:val="42C10446"/>
    <w:rsid w:val="42D00689"/>
    <w:rsid w:val="42EC35D9"/>
    <w:rsid w:val="42ED2326"/>
    <w:rsid w:val="42F61DCE"/>
    <w:rsid w:val="42FC322C"/>
    <w:rsid w:val="4300375D"/>
    <w:rsid w:val="430A7116"/>
    <w:rsid w:val="43132115"/>
    <w:rsid w:val="431C742A"/>
    <w:rsid w:val="431F37EA"/>
    <w:rsid w:val="432B3B11"/>
    <w:rsid w:val="433A6FE6"/>
    <w:rsid w:val="433C187A"/>
    <w:rsid w:val="43480868"/>
    <w:rsid w:val="4350713C"/>
    <w:rsid w:val="4356153B"/>
    <w:rsid w:val="436653E0"/>
    <w:rsid w:val="436865A2"/>
    <w:rsid w:val="4369014C"/>
    <w:rsid w:val="43770B04"/>
    <w:rsid w:val="438812A0"/>
    <w:rsid w:val="43902E7A"/>
    <w:rsid w:val="43A538C3"/>
    <w:rsid w:val="43A7392E"/>
    <w:rsid w:val="43C1127E"/>
    <w:rsid w:val="43C4431A"/>
    <w:rsid w:val="43DB5C81"/>
    <w:rsid w:val="43DD4E0B"/>
    <w:rsid w:val="43F02873"/>
    <w:rsid w:val="440305EA"/>
    <w:rsid w:val="440C56F0"/>
    <w:rsid w:val="440C795F"/>
    <w:rsid w:val="44130D52"/>
    <w:rsid w:val="44182D17"/>
    <w:rsid w:val="44221865"/>
    <w:rsid w:val="445B14BB"/>
    <w:rsid w:val="446114BF"/>
    <w:rsid w:val="44735770"/>
    <w:rsid w:val="44867251"/>
    <w:rsid w:val="44B85878"/>
    <w:rsid w:val="44B951CC"/>
    <w:rsid w:val="44BC2C73"/>
    <w:rsid w:val="44BC7116"/>
    <w:rsid w:val="44CD14E0"/>
    <w:rsid w:val="44F20B0B"/>
    <w:rsid w:val="44F248E6"/>
    <w:rsid w:val="450B3BFA"/>
    <w:rsid w:val="452E5F4C"/>
    <w:rsid w:val="452F5B3A"/>
    <w:rsid w:val="4541586E"/>
    <w:rsid w:val="45435142"/>
    <w:rsid w:val="454F1D39"/>
    <w:rsid w:val="45612018"/>
    <w:rsid w:val="4568104C"/>
    <w:rsid w:val="458539AC"/>
    <w:rsid w:val="4588524B"/>
    <w:rsid w:val="458946E9"/>
    <w:rsid w:val="45A47C0E"/>
    <w:rsid w:val="45A72FA9"/>
    <w:rsid w:val="45B918A8"/>
    <w:rsid w:val="45C52C71"/>
    <w:rsid w:val="45CD7B55"/>
    <w:rsid w:val="460D47A6"/>
    <w:rsid w:val="461214CC"/>
    <w:rsid w:val="462D74DA"/>
    <w:rsid w:val="463827CD"/>
    <w:rsid w:val="46577FD6"/>
    <w:rsid w:val="466435C2"/>
    <w:rsid w:val="4670640B"/>
    <w:rsid w:val="46707D4A"/>
    <w:rsid w:val="468657B4"/>
    <w:rsid w:val="46AC4F69"/>
    <w:rsid w:val="46B04A59"/>
    <w:rsid w:val="46BA1434"/>
    <w:rsid w:val="46CA3B6E"/>
    <w:rsid w:val="46D955A7"/>
    <w:rsid w:val="46ED1809"/>
    <w:rsid w:val="46F240B4"/>
    <w:rsid w:val="46F427BC"/>
    <w:rsid w:val="46FC7C9E"/>
    <w:rsid w:val="47084895"/>
    <w:rsid w:val="47133957"/>
    <w:rsid w:val="47176886"/>
    <w:rsid w:val="47266AC9"/>
    <w:rsid w:val="473401AF"/>
    <w:rsid w:val="47794E4B"/>
    <w:rsid w:val="477A4BF3"/>
    <w:rsid w:val="477C7AE8"/>
    <w:rsid w:val="477E1477"/>
    <w:rsid w:val="478C612E"/>
    <w:rsid w:val="479077D3"/>
    <w:rsid w:val="479B74B7"/>
    <w:rsid w:val="47A07E0C"/>
    <w:rsid w:val="47A10846"/>
    <w:rsid w:val="47AF4D11"/>
    <w:rsid w:val="47BC742D"/>
    <w:rsid w:val="47D93349"/>
    <w:rsid w:val="47E32C0C"/>
    <w:rsid w:val="47E35983"/>
    <w:rsid w:val="47EE3A83"/>
    <w:rsid w:val="47F75254"/>
    <w:rsid w:val="480C2163"/>
    <w:rsid w:val="480F1B2D"/>
    <w:rsid w:val="4811190C"/>
    <w:rsid w:val="48164D90"/>
    <w:rsid w:val="484A4A39"/>
    <w:rsid w:val="484E7228"/>
    <w:rsid w:val="48657AC5"/>
    <w:rsid w:val="4870272E"/>
    <w:rsid w:val="487720A7"/>
    <w:rsid w:val="487D6A75"/>
    <w:rsid w:val="48837E5F"/>
    <w:rsid w:val="488451FD"/>
    <w:rsid w:val="488D5250"/>
    <w:rsid w:val="48994F34"/>
    <w:rsid w:val="489C27BC"/>
    <w:rsid w:val="48AC4C67"/>
    <w:rsid w:val="48C12F4D"/>
    <w:rsid w:val="48DC7D87"/>
    <w:rsid w:val="48E64762"/>
    <w:rsid w:val="4904108C"/>
    <w:rsid w:val="49090450"/>
    <w:rsid w:val="491C61DA"/>
    <w:rsid w:val="491F6E90"/>
    <w:rsid w:val="49342C6C"/>
    <w:rsid w:val="49507A41"/>
    <w:rsid w:val="49607B4C"/>
    <w:rsid w:val="496658A3"/>
    <w:rsid w:val="497955D6"/>
    <w:rsid w:val="498741C4"/>
    <w:rsid w:val="499E2F5D"/>
    <w:rsid w:val="49A346C1"/>
    <w:rsid w:val="49CB2B39"/>
    <w:rsid w:val="49DC7715"/>
    <w:rsid w:val="49E1317B"/>
    <w:rsid w:val="49E55BB5"/>
    <w:rsid w:val="49EF5898"/>
    <w:rsid w:val="49F42EAF"/>
    <w:rsid w:val="4A023139"/>
    <w:rsid w:val="4A0850D1"/>
    <w:rsid w:val="4A25750C"/>
    <w:rsid w:val="4A2A5702"/>
    <w:rsid w:val="4A323724"/>
    <w:rsid w:val="4A3634C7"/>
    <w:rsid w:val="4A37230B"/>
    <w:rsid w:val="4A3B5412"/>
    <w:rsid w:val="4A3D2AA8"/>
    <w:rsid w:val="4A422A09"/>
    <w:rsid w:val="4A4E1BD2"/>
    <w:rsid w:val="4A647200"/>
    <w:rsid w:val="4A7B576F"/>
    <w:rsid w:val="4A800BE6"/>
    <w:rsid w:val="4AA541A9"/>
    <w:rsid w:val="4AAC432F"/>
    <w:rsid w:val="4AB16FF2"/>
    <w:rsid w:val="4AB4050D"/>
    <w:rsid w:val="4AB8064A"/>
    <w:rsid w:val="4AB97C54"/>
    <w:rsid w:val="4AC77295"/>
    <w:rsid w:val="4ACE3700"/>
    <w:rsid w:val="4AEC6725"/>
    <w:rsid w:val="4AED38FC"/>
    <w:rsid w:val="4AF13892"/>
    <w:rsid w:val="4AF561A9"/>
    <w:rsid w:val="4B092783"/>
    <w:rsid w:val="4B1B446B"/>
    <w:rsid w:val="4B2127DC"/>
    <w:rsid w:val="4B337A07"/>
    <w:rsid w:val="4B3A7111"/>
    <w:rsid w:val="4B3F0AAC"/>
    <w:rsid w:val="4B555BCF"/>
    <w:rsid w:val="4B5660A7"/>
    <w:rsid w:val="4B5A7017"/>
    <w:rsid w:val="4B616322"/>
    <w:rsid w:val="4B6202EC"/>
    <w:rsid w:val="4B8B7A32"/>
    <w:rsid w:val="4B9A1834"/>
    <w:rsid w:val="4BA6467C"/>
    <w:rsid w:val="4BCC39E9"/>
    <w:rsid w:val="4BD94702"/>
    <w:rsid w:val="4C061033"/>
    <w:rsid w:val="4C0E0026"/>
    <w:rsid w:val="4C0F5D7E"/>
    <w:rsid w:val="4C214E6D"/>
    <w:rsid w:val="4C2555A1"/>
    <w:rsid w:val="4C3E3B4F"/>
    <w:rsid w:val="4C4A0649"/>
    <w:rsid w:val="4C5F6C91"/>
    <w:rsid w:val="4C6A7611"/>
    <w:rsid w:val="4C6C1422"/>
    <w:rsid w:val="4C7E5ECA"/>
    <w:rsid w:val="4C876AA5"/>
    <w:rsid w:val="4C8A7AFA"/>
    <w:rsid w:val="4C967FE9"/>
    <w:rsid w:val="4C9E35A6"/>
    <w:rsid w:val="4CAF7561"/>
    <w:rsid w:val="4CC312AD"/>
    <w:rsid w:val="4CC4300C"/>
    <w:rsid w:val="4CD02FAE"/>
    <w:rsid w:val="4CD57664"/>
    <w:rsid w:val="4D021D86"/>
    <w:rsid w:val="4D0E00FB"/>
    <w:rsid w:val="4D0E4287"/>
    <w:rsid w:val="4D176606"/>
    <w:rsid w:val="4D2603AC"/>
    <w:rsid w:val="4D2D62EB"/>
    <w:rsid w:val="4D4B4DB2"/>
    <w:rsid w:val="4D6D2BF0"/>
    <w:rsid w:val="4D72461A"/>
    <w:rsid w:val="4D782049"/>
    <w:rsid w:val="4D82076F"/>
    <w:rsid w:val="4DB12E65"/>
    <w:rsid w:val="4DEC4FB0"/>
    <w:rsid w:val="4DF669E9"/>
    <w:rsid w:val="4DF75DD0"/>
    <w:rsid w:val="4E075D8A"/>
    <w:rsid w:val="4E102281"/>
    <w:rsid w:val="4E2654DB"/>
    <w:rsid w:val="4E303A07"/>
    <w:rsid w:val="4E320449"/>
    <w:rsid w:val="4E440EA2"/>
    <w:rsid w:val="4E4E5E08"/>
    <w:rsid w:val="4E5220CA"/>
    <w:rsid w:val="4E560F1F"/>
    <w:rsid w:val="4E655D57"/>
    <w:rsid w:val="4E656129"/>
    <w:rsid w:val="4E984392"/>
    <w:rsid w:val="4EA053B3"/>
    <w:rsid w:val="4EB1136E"/>
    <w:rsid w:val="4EB33338"/>
    <w:rsid w:val="4EB534A5"/>
    <w:rsid w:val="4EBB3930"/>
    <w:rsid w:val="4EBD41B7"/>
    <w:rsid w:val="4EC00FAD"/>
    <w:rsid w:val="4EC42169"/>
    <w:rsid w:val="4ECA0682"/>
    <w:rsid w:val="4F192ACE"/>
    <w:rsid w:val="4F196F13"/>
    <w:rsid w:val="4F2C30EB"/>
    <w:rsid w:val="4F5544D8"/>
    <w:rsid w:val="4F585C8E"/>
    <w:rsid w:val="4F642A1A"/>
    <w:rsid w:val="4F9843DC"/>
    <w:rsid w:val="4FA709C3"/>
    <w:rsid w:val="4FBD3D43"/>
    <w:rsid w:val="4FC62A8C"/>
    <w:rsid w:val="4FE20F0D"/>
    <w:rsid w:val="4FE51552"/>
    <w:rsid w:val="4FEB6B02"/>
    <w:rsid w:val="4FFC0D0F"/>
    <w:rsid w:val="50005ABB"/>
    <w:rsid w:val="50044AF4"/>
    <w:rsid w:val="500B71A4"/>
    <w:rsid w:val="501C4F0D"/>
    <w:rsid w:val="5039139F"/>
    <w:rsid w:val="5039786D"/>
    <w:rsid w:val="503B1837"/>
    <w:rsid w:val="50504C4B"/>
    <w:rsid w:val="505226DD"/>
    <w:rsid w:val="505F5665"/>
    <w:rsid w:val="5079410E"/>
    <w:rsid w:val="507D550F"/>
    <w:rsid w:val="50834F8C"/>
    <w:rsid w:val="508B13F1"/>
    <w:rsid w:val="509815C0"/>
    <w:rsid w:val="509C6E7C"/>
    <w:rsid w:val="50A17308"/>
    <w:rsid w:val="50E54F1A"/>
    <w:rsid w:val="50EA5564"/>
    <w:rsid w:val="50EC48E0"/>
    <w:rsid w:val="510559A1"/>
    <w:rsid w:val="510A745C"/>
    <w:rsid w:val="510D1231"/>
    <w:rsid w:val="510E0CFA"/>
    <w:rsid w:val="511C3FA7"/>
    <w:rsid w:val="514E559A"/>
    <w:rsid w:val="5162104E"/>
    <w:rsid w:val="5166335F"/>
    <w:rsid w:val="51937451"/>
    <w:rsid w:val="51A67184"/>
    <w:rsid w:val="51B634AD"/>
    <w:rsid w:val="51BD627C"/>
    <w:rsid w:val="51D535C6"/>
    <w:rsid w:val="51EE0B2B"/>
    <w:rsid w:val="51FE3978"/>
    <w:rsid w:val="52036385"/>
    <w:rsid w:val="520619D1"/>
    <w:rsid w:val="521D6D1B"/>
    <w:rsid w:val="5221680B"/>
    <w:rsid w:val="523D047A"/>
    <w:rsid w:val="524E1B29"/>
    <w:rsid w:val="525C7843"/>
    <w:rsid w:val="52636E23"/>
    <w:rsid w:val="52666269"/>
    <w:rsid w:val="52870314"/>
    <w:rsid w:val="52C8137C"/>
    <w:rsid w:val="52D415D5"/>
    <w:rsid w:val="52D64B41"/>
    <w:rsid w:val="52E2243E"/>
    <w:rsid w:val="531C4DAC"/>
    <w:rsid w:val="532C06D7"/>
    <w:rsid w:val="532C7855"/>
    <w:rsid w:val="533B1B4E"/>
    <w:rsid w:val="536015B5"/>
    <w:rsid w:val="53634C01"/>
    <w:rsid w:val="536E0A2F"/>
    <w:rsid w:val="536E3CD2"/>
    <w:rsid w:val="537C0557"/>
    <w:rsid w:val="537E1A3B"/>
    <w:rsid w:val="53A039CC"/>
    <w:rsid w:val="53A1505A"/>
    <w:rsid w:val="53A355B8"/>
    <w:rsid w:val="53AE40CE"/>
    <w:rsid w:val="53B94568"/>
    <w:rsid w:val="53C73B85"/>
    <w:rsid w:val="53C953AC"/>
    <w:rsid w:val="53FA5565"/>
    <w:rsid w:val="53FD2659"/>
    <w:rsid w:val="54063E08"/>
    <w:rsid w:val="540B32CF"/>
    <w:rsid w:val="543437E8"/>
    <w:rsid w:val="543640C4"/>
    <w:rsid w:val="544F11B4"/>
    <w:rsid w:val="545D0CB7"/>
    <w:rsid w:val="548C76AE"/>
    <w:rsid w:val="5495703C"/>
    <w:rsid w:val="54AB710B"/>
    <w:rsid w:val="54B83EB0"/>
    <w:rsid w:val="54CA2F2A"/>
    <w:rsid w:val="54CC5154"/>
    <w:rsid w:val="54D250A8"/>
    <w:rsid w:val="54E57FC4"/>
    <w:rsid w:val="54EB345D"/>
    <w:rsid w:val="54F73313"/>
    <w:rsid w:val="54F80955"/>
    <w:rsid w:val="55050666"/>
    <w:rsid w:val="55105FFA"/>
    <w:rsid w:val="551746E8"/>
    <w:rsid w:val="55191A1B"/>
    <w:rsid w:val="55241B5D"/>
    <w:rsid w:val="55284354"/>
    <w:rsid w:val="55306D65"/>
    <w:rsid w:val="555170A7"/>
    <w:rsid w:val="555D56E4"/>
    <w:rsid w:val="55651104"/>
    <w:rsid w:val="55656C7B"/>
    <w:rsid w:val="556E31C8"/>
    <w:rsid w:val="55737C22"/>
    <w:rsid w:val="55792B4C"/>
    <w:rsid w:val="557B0928"/>
    <w:rsid w:val="5587536D"/>
    <w:rsid w:val="55972423"/>
    <w:rsid w:val="559B174B"/>
    <w:rsid w:val="55A35789"/>
    <w:rsid w:val="55A84F8D"/>
    <w:rsid w:val="55CC4D94"/>
    <w:rsid w:val="55CE0CF4"/>
    <w:rsid w:val="55E0078B"/>
    <w:rsid w:val="562F23D9"/>
    <w:rsid w:val="56303FB9"/>
    <w:rsid w:val="56466840"/>
    <w:rsid w:val="56582A17"/>
    <w:rsid w:val="566403CE"/>
    <w:rsid w:val="567710EF"/>
    <w:rsid w:val="56B22A9C"/>
    <w:rsid w:val="56B3637C"/>
    <w:rsid w:val="56B7773E"/>
    <w:rsid w:val="56D227CA"/>
    <w:rsid w:val="56DF6711"/>
    <w:rsid w:val="56FA5260"/>
    <w:rsid w:val="57140E82"/>
    <w:rsid w:val="571B5F1F"/>
    <w:rsid w:val="572172AD"/>
    <w:rsid w:val="57283E15"/>
    <w:rsid w:val="57337211"/>
    <w:rsid w:val="57383429"/>
    <w:rsid w:val="574134AB"/>
    <w:rsid w:val="574865E8"/>
    <w:rsid w:val="57544F8D"/>
    <w:rsid w:val="576306A8"/>
    <w:rsid w:val="57A852D8"/>
    <w:rsid w:val="57B679F5"/>
    <w:rsid w:val="57B72A76"/>
    <w:rsid w:val="57BD2906"/>
    <w:rsid w:val="57C3426C"/>
    <w:rsid w:val="57CE1F93"/>
    <w:rsid w:val="57E256DF"/>
    <w:rsid w:val="58117322"/>
    <w:rsid w:val="5822508B"/>
    <w:rsid w:val="582B03E3"/>
    <w:rsid w:val="58353222"/>
    <w:rsid w:val="58366C4E"/>
    <w:rsid w:val="583D5ED1"/>
    <w:rsid w:val="58405B96"/>
    <w:rsid w:val="58507E4A"/>
    <w:rsid w:val="58775D4B"/>
    <w:rsid w:val="587C0C3F"/>
    <w:rsid w:val="587D1105"/>
    <w:rsid w:val="5883021B"/>
    <w:rsid w:val="58845D45"/>
    <w:rsid w:val="588743D1"/>
    <w:rsid w:val="5887701A"/>
    <w:rsid w:val="58CE0D6F"/>
    <w:rsid w:val="58D36385"/>
    <w:rsid w:val="58FF092C"/>
    <w:rsid w:val="59353000"/>
    <w:rsid w:val="59357E4C"/>
    <w:rsid w:val="59413C36"/>
    <w:rsid w:val="594436A2"/>
    <w:rsid w:val="5947124D"/>
    <w:rsid w:val="59774606"/>
    <w:rsid w:val="598734E2"/>
    <w:rsid w:val="59883613"/>
    <w:rsid w:val="598E133D"/>
    <w:rsid w:val="59954D2B"/>
    <w:rsid w:val="599E2E37"/>
    <w:rsid w:val="59A10231"/>
    <w:rsid w:val="59A77C33"/>
    <w:rsid w:val="59AD307A"/>
    <w:rsid w:val="59AF0BA0"/>
    <w:rsid w:val="59BB5797"/>
    <w:rsid w:val="59BE6B1F"/>
    <w:rsid w:val="59C0439F"/>
    <w:rsid w:val="59D95C1D"/>
    <w:rsid w:val="59EA7E2A"/>
    <w:rsid w:val="59F40CA9"/>
    <w:rsid w:val="59F760A3"/>
    <w:rsid w:val="5A160C1F"/>
    <w:rsid w:val="5A1F4951"/>
    <w:rsid w:val="5A2A5BA1"/>
    <w:rsid w:val="5A2D15C4"/>
    <w:rsid w:val="5A532442"/>
    <w:rsid w:val="5A6951E1"/>
    <w:rsid w:val="5A6A4AC7"/>
    <w:rsid w:val="5A6E0A5B"/>
    <w:rsid w:val="5A76387F"/>
    <w:rsid w:val="5A8042EB"/>
    <w:rsid w:val="5A897643"/>
    <w:rsid w:val="5A8A1882"/>
    <w:rsid w:val="5A9304C2"/>
    <w:rsid w:val="5AA478AA"/>
    <w:rsid w:val="5ABD2027"/>
    <w:rsid w:val="5ABE2233"/>
    <w:rsid w:val="5ACE08E9"/>
    <w:rsid w:val="5AD84E97"/>
    <w:rsid w:val="5AEF056D"/>
    <w:rsid w:val="5B13308D"/>
    <w:rsid w:val="5B2829B8"/>
    <w:rsid w:val="5B323837"/>
    <w:rsid w:val="5B4A6DD2"/>
    <w:rsid w:val="5B637E94"/>
    <w:rsid w:val="5B754E4E"/>
    <w:rsid w:val="5B771B0D"/>
    <w:rsid w:val="5BB104BC"/>
    <w:rsid w:val="5BCB799B"/>
    <w:rsid w:val="5BDB3ECE"/>
    <w:rsid w:val="5BDF5D95"/>
    <w:rsid w:val="5BF01305"/>
    <w:rsid w:val="5BFB00CD"/>
    <w:rsid w:val="5BFE7528"/>
    <w:rsid w:val="5C02257D"/>
    <w:rsid w:val="5C4314AF"/>
    <w:rsid w:val="5C621EFA"/>
    <w:rsid w:val="5C7560D1"/>
    <w:rsid w:val="5C7E22B1"/>
    <w:rsid w:val="5C8005D2"/>
    <w:rsid w:val="5C82434A"/>
    <w:rsid w:val="5C981DBF"/>
    <w:rsid w:val="5CC93D27"/>
    <w:rsid w:val="5CD46F19"/>
    <w:rsid w:val="5CDF179C"/>
    <w:rsid w:val="5CDF354A"/>
    <w:rsid w:val="5CFA7995"/>
    <w:rsid w:val="5D1274D3"/>
    <w:rsid w:val="5D26561D"/>
    <w:rsid w:val="5D3D7A05"/>
    <w:rsid w:val="5D3E4715"/>
    <w:rsid w:val="5D447851"/>
    <w:rsid w:val="5D474937"/>
    <w:rsid w:val="5D4B0BE0"/>
    <w:rsid w:val="5D4D6706"/>
    <w:rsid w:val="5D577585"/>
    <w:rsid w:val="5D6B74D4"/>
    <w:rsid w:val="5D775E79"/>
    <w:rsid w:val="5D870982"/>
    <w:rsid w:val="5D973E25"/>
    <w:rsid w:val="5DAD7D25"/>
    <w:rsid w:val="5DBB2413"/>
    <w:rsid w:val="5DBD2A3C"/>
    <w:rsid w:val="5DC82230"/>
    <w:rsid w:val="5DD415C7"/>
    <w:rsid w:val="5DD41735"/>
    <w:rsid w:val="5DD532EB"/>
    <w:rsid w:val="5DE132F2"/>
    <w:rsid w:val="5DE2588C"/>
    <w:rsid w:val="5DE352BC"/>
    <w:rsid w:val="5DEF7705"/>
    <w:rsid w:val="5DF43D16"/>
    <w:rsid w:val="5DF94AE0"/>
    <w:rsid w:val="5E0F5E69"/>
    <w:rsid w:val="5E17190F"/>
    <w:rsid w:val="5E1C0918"/>
    <w:rsid w:val="5E1E62F4"/>
    <w:rsid w:val="5E2467F1"/>
    <w:rsid w:val="5E5341F0"/>
    <w:rsid w:val="5E574CEC"/>
    <w:rsid w:val="5E7D0D9B"/>
    <w:rsid w:val="5E802B0B"/>
    <w:rsid w:val="5E9401F8"/>
    <w:rsid w:val="5E9D546B"/>
    <w:rsid w:val="5EC85FBD"/>
    <w:rsid w:val="5F04373C"/>
    <w:rsid w:val="5F082B06"/>
    <w:rsid w:val="5F13572D"/>
    <w:rsid w:val="5F1A2B43"/>
    <w:rsid w:val="5F313E05"/>
    <w:rsid w:val="5F426012"/>
    <w:rsid w:val="5F531FCE"/>
    <w:rsid w:val="5F54797E"/>
    <w:rsid w:val="5F56116E"/>
    <w:rsid w:val="5F5A335C"/>
    <w:rsid w:val="5F5E109E"/>
    <w:rsid w:val="5F5E1B39"/>
    <w:rsid w:val="5F673AEC"/>
    <w:rsid w:val="5F897830"/>
    <w:rsid w:val="5F8E3006"/>
    <w:rsid w:val="5FB837BB"/>
    <w:rsid w:val="5FD760D4"/>
    <w:rsid w:val="5FF732A1"/>
    <w:rsid w:val="5FFD59DD"/>
    <w:rsid w:val="60031C46"/>
    <w:rsid w:val="60334CB1"/>
    <w:rsid w:val="60367925"/>
    <w:rsid w:val="604D2EC1"/>
    <w:rsid w:val="605F4B24"/>
    <w:rsid w:val="6062071A"/>
    <w:rsid w:val="60643359"/>
    <w:rsid w:val="607A38EA"/>
    <w:rsid w:val="60885CA7"/>
    <w:rsid w:val="6095302D"/>
    <w:rsid w:val="60C34BF2"/>
    <w:rsid w:val="60CC405A"/>
    <w:rsid w:val="60CF7BE6"/>
    <w:rsid w:val="60D55390"/>
    <w:rsid w:val="60D96503"/>
    <w:rsid w:val="61022D9C"/>
    <w:rsid w:val="61024E44"/>
    <w:rsid w:val="610D1713"/>
    <w:rsid w:val="61150F65"/>
    <w:rsid w:val="61186C5D"/>
    <w:rsid w:val="611A7247"/>
    <w:rsid w:val="612C6F7A"/>
    <w:rsid w:val="613B0F6B"/>
    <w:rsid w:val="61424EA8"/>
    <w:rsid w:val="614E6EF1"/>
    <w:rsid w:val="61534507"/>
    <w:rsid w:val="616437E8"/>
    <w:rsid w:val="616E2A35"/>
    <w:rsid w:val="617E77D6"/>
    <w:rsid w:val="61832A11"/>
    <w:rsid w:val="61952A3A"/>
    <w:rsid w:val="61952D71"/>
    <w:rsid w:val="61A46B11"/>
    <w:rsid w:val="61B53A89"/>
    <w:rsid w:val="61C64D38"/>
    <w:rsid w:val="61DC78F0"/>
    <w:rsid w:val="61E215D8"/>
    <w:rsid w:val="621B3775"/>
    <w:rsid w:val="62364782"/>
    <w:rsid w:val="625422E5"/>
    <w:rsid w:val="625B3673"/>
    <w:rsid w:val="627A2F37"/>
    <w:rsid w:val="62977990"/>
    <w:rsid w:val="62C642C8"/>
    <w:rsid w:val="62CE3832"/>
    <w:rsid w:val="62CF4061"/>
    <w:rsid w:val="62DE5BC0"/>
    <w:rsid w:val="62E01ADB"/>
    <w:rsid w:val="62EA0190"/>
    <w:rsid w:val="630B6407"/>
    <w:rsid w:val="63147CC6"/>
    <w:rsid w:val="631711D0"/>
    <w:rsid w:val="631F6D97"/>
    <w:rsid w:val="63247F09"/>
    <w:rsid w:val="63353484"/>
    <w:rsid w:val="633914DA"/>
    <w:rsid w:val="634342D2"/>
    <w:rsid w:val="634B7B8C"/>
    <w:rsid w:val="63610403"/>
    <w:rsid w:val="637A221F"/>
    <w:rsid w:val="6394356A"/>
    <w:rsid w:val="63C61B2C"/>
    <w:rsid w:val="63CD51F0"/>
    <w:rsid w:val="63D40BE9"/>
    <w:rsid w:val="63FA510E"/>
    <w:rsid w:val="64102431"/>
    <w:rsid w:val="641C6A7E"/>
    <w:rsid w:val="642C10C6"/>
    <w:rsid w:val="64371AFF"/>
    <w:rsid w:val="64405216"/>
    <w:rsid w:val="644F47CA"/>
    <w:rsid w:val="645163FF"/>
    <w:rsid w:val="64575BF2"/>
    <w:rsid w:val="646706C0"/>
    <w:rsid w:val="64815730"/>
    <w:rsid w:val="6482221F"/>
    <w:rsid w:val="64917820"/>
    <w:rsid w:val="64964415"/>
    <w:rsid w:val="64A05E3E"/>
    <w:rsid w:val="64A5243A"/>
    <w:rsid w:val="64A86918"/>
    <w:rsid w:val="64E2007C"/>
    <w:rsid w:val="64F531DE"/>
    <w:rsid w:val="64F93617"/>
    <w:rsid w:val="65222B6E"/>
    <w:rsid w:val="65332E1B"/>
    <w:rsid w:val="65373578"/>
    <w:rsid w:val="65384251"/>
    <w:rsid w:val="653F727C"/>
    <w:rsid w:val="65421FB5"/>
    <w:rsid w:val="655223E7"/>
    <w:rsid w:val="6562740E"/>
    <w:rsid w:val="656E24E3"/>
    <w:rsid w:val="657607C4"/>
    <w:rsid w:val="658253BB"/>
    <w:rsid w:val="65913850"/>
    <w:rsid w:val="65A94C27"/>
    <w:rsid w:val="65AB66C0"/>
    <w:rsid w:val="65AC1FD2"/>
    <w:rsid w:val="65E16585"/>
    <w:rsid w:val="65E65D5A"/>
    <w:rsid w:val="65F8742B"/>
    <w:rsid w:val="66037553"/>
    <w:rsid w:val="660404C6"/>
    <w:rsid w:val="661B6549"/>
    <w:rsid w:val="66326465"/>
    <w:rsid w:val="66500A01"/>
    <w:rsid w:val="66521231"/>
    <w:rsid w:val="66636F9A"/>
    <w:rsid w:val="666D644F"/>
    <w:rsid w:val="66C0263F"/>
    <w:rsid w:val="66C739CD"/>
    <w:rsid w:val="66C9392C"/>
    <w:rsid w:val="66D01C75"/>
    <w:rsid w:val="66DC54CF"/>
    <w:rsid w:val="66FE1E6C"/>
    <w:rsid w:val="671F124A"/>
    <w:rsid w:val="6727446C"/>
    <w:rsid w:val="67362901"/>
    <w:rsid w:val="67374A88"/>
    <w:rsid w:val="673D196D"/>
    <w:rsid w:val="674072DB"/>
    <w:rsid w:val="67474108"/>
    <w:rsid w:val="674800FB"/>
    <w:rsid w:val="674F166D"/>
    <w:rsid w:val="675B6D68"/>
    <w:rsid w:val="676E7D45"/>
    <w:rsid w:val="677037BE"/>
    <w:rsid w:val="677671A1"/>
    <w:rsid w:val="677A33C6"/>
    <w:rsid w:val="67931555"/>
    <w:rsid w:val="67A4562D"/>
    <w:rsid w:val="67D01D23"/>
    <w:rsid w:val="67DD0FCE"/>
    <w:rsid w:val="67E21D4E"/>
    <w:rsid w:val="67FF6E3A"/>
    <w:rsid w:val="680176AB"/>
    <w:rsid w:val="681F3395"/>
    <w:rsid w:val="681F6961"/>
    <w:rsid w:val="68303C5A"/>
    <w:rsid w:val="6841155D"/>
    <w:rsid w:val="68610A2F"/>
    <w:rsid w:val="686276C2"/>
    <w:rsid w:val="687731D1"/>
    <w:rsid w:val="68805514"/>
    <w:rsid w:val="689E075E"/>
    <w:rsid w:val="68AF64C7"/>
    <w:rsid w:val="68B02D5D"/>
    <w:rsid w:val="68BA4E6C"/>
    <w:rsid w:val="68EA5751"/>
    <w:rsid w:val="68EE1B60"/>
    <w:rsid w:val="69057411"/>
    <w:rsid w:val="691722BE"/>
    <w:rsid w:val="69316E2F"/>
    <w:rsid w:val="694E2071"/>
    <w:rsid w:val="695370CD"/>
    <w:rsid w:val="69766163"/>
    <w:rsid w:val="69783417"/>
    <w:rsid w:val="697A3B33"/>
    <w:rsid w:val="698C05B6"/>
    <w:rsid w:val="69A753F0"/>
    <w:rsid w:val="69AA0182"/>
    <w:rsid w:val="69AC69E8"/>
    <w:rsid w:val="69C04704"/>
    <w:rsid w:val="69D44760"/>
    <w:rsid w:val="69DB153D"/>
    <w:rsid w:val="69F044E9"/>
    <w:rsid w:val="69F2320D"/>
    <w:rsid w:val="6A260536"/>
    <w:rsid w:val="6A2904FB"/>
    <w:rsid w:val="6A2B7301"/>
    <w:rsid w:val="6A3C6480"/>
    <w:rsid w:val="6A440D3C"/>
    <w:rsid w:val="6A503CD9"/>
    <w:rsid w:val="6A520EC7"/>
    <w:rsid w:val="6A570BC4"/>
    <w:rsid w:val="6A73309A"/>
    <w:rsid w:val="6A797C54"/>
    <w:rsid w:val="6A7A48B2"/>
    <w:rsid w:val="6A8219B9"/>
    <w:rsid w:val="6A91779A"/>
    <w:rsid w:val="6ABE2511"/>
    <w:rsid w:val="6AE10DD5"/>
    <w:rsid w:val="6AE21EB1"/>
    <w:rsid w:val="6AE52674"/>
    <w:rsid w:val="6AF87E20"/>
    <w:rsid w:val="6B025340"/>
    <w:rsid w:val="6B0B7C00"/>
    <w:rsid w:val="6B134C81"/>
    <w:rsid w:val="6B19139A"/>
    <w:rsid w:val="6B192FD3"/>
    <w:rsid w:val="6B1C5B5B"/>
    <w:rsid w:val="6B23319C"/>
    <w:rsid w:val="6B261B6A"/>
    <w:rsid w:val="6B2734B9"/>
    <w:rsid w:val="6B2A452A"/>
    <w:rsid w:val="6B2C59DC"/>
    <w:rsid w:val="6B322639"/>
    <w:rsid w:val="6B462314"/>
    <w:rsid w:val="6B464480"/>
    <w:rsid w:val="6B51265F"/>
    <w:rsid w:val="6B5415A7"/>
    <w:rsid w:val="6B666FFD"/>
    <w:rsid w:val="6B7439F8"/>
    <w:rsid w:val="6B760C36"/>
    <w:rsid w:val="6BA83319"/>
    <w:rsid w:val="6BD1485D"/>
    <w:rsid w:val="6BDA7CFF"/>
    <w:rsid w:val="6BEC17E0"/>
    <w:rsid w:val="6BF863D7"/>
    <w:rsid w:val="6C02535B"/>
    <w:rsid w:val="6C07486C"/>
    <w:rsid w:val="6C0A7EB8"/>
    <w:rsid w:val="6C157962"/>
    <w:rsid w:val="6C202A90"/>
    <w:rsid w:val="6C215D13"/>
    <w:rsid w:val="6C445178"/>
    <w:rsid w:val="6C465BE9"/>
    <w:rsid w:val="6C636C38"/>
    <w:rsid w:val="6C691082"/>
    <w:rsid w:val="6C711CE5"/>
    <w:rsid w:val="6C8D2FC3"/>
    <w:rsid w:val="6CAC3E0C"/>
    <w:rsid w:val="6CF3094C"/>
    <w:rsid w:val="6D042B59"/>
    <w:rsid w:val="6D042EC7"/>
    <w:rsid w:val="6D0E31A9"/>
    <w:rsid w:val="6D1B179F"/>
    <w:rsid w:val="6D2B458A"/>
    <w:rsid w:val="6D36794D"/>
    <w:rsid w:val="6D382E4B"/>
    <w:rsid w:val="6D437B25"/>
    <w:rsid w:val="6DA05F24"/>
    <w:rsid w:val="6DB34098"/>
    <w:rsid w:val="6DB545B6"/>
    <w:rsid w:val="6DC72505"/>
    <w:rsid w:val="6DCA5B51"/>
    <w:rsid w:val="6DE02FB4"/>
    <w:rsid w:val="6DEB3CEC"/>
    <w:rsid w:val="6DEE305B"/>
    <w:rsid w:val="6DF1132F"/>
    <w:rsid w:val="6DF332FA"/>
    <w:rsid w:val="6DFE57FA"/>
    <w:rsid w:val="6E072901"/>
    <w:rsid w:val="6E0C7F17"/>
    <w:rsid w:val="6E122BA3"/>
    <w:rsid w:val="6E214FDF"/>
    <w:rsid w:val="6E256410"/>
    <w:rsid w:val="6E2C05BA"/>
    <w:rsid w:val="6E4A251A"/>
    <w:rsid w:val="6E514CED"/>
    <w:rsid w:val="6E5B18FA"/>
    <w:rsid w:val="6E6E7258"/>
    <w:rsid w:val="6E810905"/>
    <w:rsid w:val="6E873A42"/>
    <w:rsid w:val="6EB563D5"/>
    <w:rsid w:val="6ED92677"/>
    <w:rsid w:val="6EE67DB6"/>
    <w:rsid w:val="6EE70955"/>
    <w:rsid w:val="6F06343B"/>
    <w:rsid w:val="6F225983"/>
    <w:rsid w:val="6F2A4AF9"/>
    <w:rsid w:val="6F2D283B"/>
    <w:rsid w:val="6F343BCA"/>
    <w:rsid w:val="6F392F8E"/>
    <w:rsid w:val="6F40631D"/>
    <w:rsid w:val="6F47062E"/>
    <w:rsid w:val="6F672E8D"/>
    <w:rsid w:val="6F834702"/>
    <w:rsid w:val="6F9B7998"/>
    <w:rsid w:val="6FA475BA"/>
    <w:rsid w:val="6FC2426A"/>
    <w:rsid w:val="6FC43175"/>
    <w:rsid w:val="6FC62348"/>
    <w:rsid w:val="6FD35191"/>
    <w:rsid w:val="6FDF70C2"/>
    <w:rsid w:val="6FFC5590"/>
    <w:rsid w:val="70103A20"/>
    <w:rsid w:val="70110110"/>
    <w:rsid w:val="70161521"/>
    <w:rsid w:val="70326C80"/>
    <w:rsid w:val="703E6382"/>
    <w:rsid w:val="704D257C"/>
    <w:rsid w:val="706D1DD0"/>
    <w:rsid w:val="70856B87"/>
    <w:rsid w:val="70956D4A"/>
    <w:rsid w:val="70A03947"/>
    <w:rsid w:val="70A94143"/>
    <w:rsid w:val="70BC3B32"/>
    <w:rsid w:val="70C1148D"/>
    <w:rsid w:val="70D527EE"/>
    <w:rsid w:val="70E266E6"/>
    <w:rsid w:val="71003DE3"/>
    <w:rsid w:val="71060401"/>
    <w:rsid w:val="71080E6A"/>
    <w:rsid w:val="714B5B9D"/>
    <w:rsid w:val="714E0847"/>
    <w:rsid w:val="714F7C49"/>
    <w:rsid w:val="715B5300"/>
    <w:rsid w:val="71607D1D"/>
    <w:rsid w:val="717464FF"/>
    <w:rsid w:val="71A55F82"/>
    <w:rsid w:val="71B11484"/>
    <w:rsid w:val="71B2556A"/>
    <w:rsid w:val="71C50B09"/>
    <w:rsid w:val="71C72AD3"/>
    <w:rsid w:val="71D27F8A"/>
    <w:rsid w:val="71E333B4"/>
    <w:rsid w:val="71EE0512"/>
    <w:rsid w:val="72127AC6"/>
    <w:rsid w:val="72356C88"/>
    <w:rsid w:val="72473C14"/>
    <w:rsid w:val="72553024"/>
    <w:rsid w:val="72581706"/>
    <w:rsid w:val="72844FE5"/>
    <w:rsid w:val="72FF629D"/>
    <w:rsid w:val="73122968"/>
    <w:rsid w:val="73163B1C"/>
    <w:rsid w:val="731F5D5E"/>
    <w:rsid w:val="73291E5D"/>
    <w:rsid w:val="733278B4"/>
    <w:rsid w:val="735B67C0"/>
    <w:rsid w:val="735F3FD4"/>
    <w:rsid w:val="73783D48"/>
    <w:rsid w:val="73861F99"/>
    <w:rsid w:val="73C02559"/>
    <w:rsid w:val="73C31078"/>
    <w:rsid w:val="73C44DF0"/>
    <w:rsid w:val="73C51AD5"/>
    <w:rsid w:val="73CB6A5C"/>
    <w:rsid w:val="73DB15E2"/>
    <w:rsid w:val="73DC01DA"/>
    <w:rsid w:val="73F43927"/>
    <w:rsid w:val="74095EC2"/>
    <w:rsid w:val="741E793C"/>
    <w:rsid w:val="743E4BA3"/>
    <w:rsid w:val="744C1E93"/>
    <w:rsid w:val="745E3944"/>
    <w:rsid w:val="746615D7"/>
    <w:rsid w:val="74784559"/>
    <w:rsid w:val="74795BDB"/>
    <w:rsid w:val="74877B4D"/>
    <w:rsid w:val="74975536"/>
    <w:rsid w:val="74BA06CD"/>
    <w:rsid w:val="74C54F79"/>
    <w:rsid w:val="74CC549B"/>
    <w:rsid w:val="74CE5F27"/>
    <w:rsid w:val="74DB0DA6"/>
    <w:rsid w:val="74EF5F37"/>
    <w:rsid w:val="750202C6"/>
    <w:rsid w:val="751678CE"/>
    <w:rsid w:val="751A5610"/>
    <w:rsid w:val="75274AAE"/>
    <w:rsid w:val="75481556"/>
    <w:rsid w:val="7550129A"/>
    <w:rsid w:val="75524D77"/>
    <w:rsid w:val="756021F7"/>
    <w:rsid w:val="75976C60"/>
    <w:rsid w:val="75B05EEF"/>
    <w:rsid w:val="75B85DD2"/>
    <w:rsid w:val="75CB4B5C"/>
    <w:rsid w:val="75ED062E"/>
    <w:rsid w:val="75F01901"/>
    <w:rsid w:val="75FF1698"/>
    <w:rsid w:val="760A11E0"/>
    <w:rsid w:val="760A54BC"/>
    <w:rsid w:val="7635099D"/>
    <w:rsid w:val="763554C6"/>
    <w:rsid w:val="76542AE7"/>
    <w:rsid w:val="765B7C8E"/>
    <w:rsid w:val="765D52E0"/>
    <w:rsid w:val="7662101C"/>
    <w:rsid w:val="766347C8"/>
    <w:rsid w:val="76817327"/>
    <w:rsid w:val="76880357"/>
    <w:rsid w:val="76A664D2"/>
    <w:rsid w:val="76B34A14"/>
    <w:rsid w:val="76BA05F0"/>
    <w:rsid w:val="76BA32CF"/>
    <w:rsid w:val="76DB47B5"/>
    <w:rsid w:val="76F51E90"/>
    <w:rsid w:val="76FA12D1"/>
    <w:rsid w:val="76FD5BC9"/>
    <w:rsid w:val="77464281"/>
    <w:rsid w:val="77476464"/>
    <w:rsid w:val="7748751D"/>
    <w:rsid w:val="774B7D02"/>
    <w:rsid w:val="77647CED"/>
    <w:rsid w:val="77762421"/>
    <w:rsid w:val="778D0189"/>
    <w:rsid w:val="779D6084"/>
    <w:rsid w:val="77A17922"/>
    <w:rsid w:val="77AD43C3"/>
    <w:rsid w:val="77AE3DED"/>
    <w:rsid w:val="77B533CE"/>
    <w:rsid w:val="77B56B1F"/>
    <w:rsid w:val="77BE04D4"/>
    <w:rsid w:val="77D93560"/>
    <w:rsid w:val="77DC715C"/>
    <w:rsid w:val="77E04572"/>
    <w:rsid w:val="77F35B0B"/>
    <w:rsid w:val="780879A1"/>
    <w:rsid w:val="780F09F4"/>
    <w:rsid w:val="78130047"/>
    <w:rsid w:val="785153B8"/>
    <w:rsid w:val="7855384C"/>
    <w:rsid w:val="785D5F3F"/>
    <w:rsid w:val="78624831"/>
    <w:rsid w:val="78706C88"/>
    <w:rsid w:val="78880AE2"/>
    <w:rsid w:val="78A23952"/>
    <w:rsid w:val="78A90480"/>
    <w:rsid w:val="78D2049C"/>
    <w:rsid w:val="78D41F79"/>
    <w:rsid w:val="79114E7C"/>
    <w:rsid w:val="79243D01"/>
    <w:rsid w:val="79275BAD"/>
    <w:rsid w:val="792E731E"/>
    <w:rsid w:val="793A4B94"/>
    <w:rsid w:val="795C61F7"/>
    <w:rsid w:val="795E3642"/>
    <w:rsid w:val="79955265"/>
    <w:rsid w:val="79A74F98"/>
    <w:rsid w:val="79B847EB"/>
    <w:rsid w:val="79FE105C"/>
    <w:rsid w:val="79FF3026"/>
    <w:rsid w:val="7A000EBA"/>
    <w:rsid w:val="7A091AFD"/>
    <w:rsid w:val="7A2860D9"/>
    <w:rsid w:val="7A2F1E3C"/>
    <w:rsid w:val="7A33329F"/>
    <w:rsid w:val="7A364017"/>
    <w:rsid w:val="7A3650BB"/>
    <w:rsid w:val="7A4C65EF"/>
    <w:rsid w:val="7A6F1F5A"/>
    <w:rsid w:val="7A8265E1"/>
    <w:rsid w:val="7AAB2866"/>
    <w:rsid w:val="7AAE5B3E"/>
    <w:rsid w:val="7AB61937"/>
    <w:rsid w:val="7AC91CC3"/>
    <w:rsid w:val="7AE3175D"/>
    <w:rsid w:val="7AE32FB2"/>
    <w:rsid w:val="7AF1118B"/>
    <w:rsid w:val="7AF13938"/>
    <w:rsid w:val="7B1F195E"/>
    <w:rsid w:val="7B3059DB"/>
    <w:rsid w:val="7B446F42"/>
    <w:rsid w:val="7B686D42"/>
    <w:rsid w:val="7B6E5D6D"/>
    <w:rsid w:val="7B754F5D"/>
    <w:rsid w:val="7B807F81"/>
    <w:rsid w:val="7B841746"/>
    <w:rsid w:val="7B965474"/>
    <w:rsid w:val="7BAE095D"/>
    <w:rsid w:val="7BEA6358"/>
    <w:rsid w:val="7BF344C5"/>
    <w:rsid w:val="7C084414"/>
    <w:rsid w:val="7C183F2B"/>
    <w:rsid w:val="7C1A5EF5"/>
    <w:rsid w:val="7C3074C7"/>
    <w:rsid w:val="7C6A678D"/>
    <w:rsid w:val="7C6C5AC7"/>
    <w:rsid w:val="7C6F6F7F"/>
    <w:rsid w:val="7C777E09"/>
    <w:rsid w:val="7C894B90"/>
    <w:rsid w:val="7C9554F7"/>
    <w:rsid w:val="7CC04CEF"/>
    <w:rsid w:val="7CC16B7E"/>
    <w:rsid w:val="7CC6544B"/>
    <w:rsid w:val="7CE0713F"/>
    <w:rsid w:val="7CE107C1"/>
    <w:rsid w:val="7CFE66BC"/>
    <w:rsid w:val="7D0239FF"/>
    <w:rsid w:val="7D115EB2"/>
    <w:rsid w:val="7D2277FD"/>
    <w:rsid w:val="7D230DDA"/>
    <w:rsid w:val="7D24527D"/>
    <w:rsid w:val="7D311748"/>
    <w:rsid w:val="7D36003F"/>
    <w:rsid w:val="7D374AF1"/>
    <w:rsid w:val="7D575FCD"/>
    <w:rsid w:val="7D5E40CD"/>
    <w:rsid w:val="7D621902"/>
    <w:rsid w:val="7D7D673C"/>
    <w:rsid w:val="7DBD3EFF"/>
    <w:rsid w:val="7DCD56F2"/>
    <w:rsid w:val="7DEC38C1"/>
    <w:rsid w:val="7DEC566F"/>
    <w:rsid w:val="7DF76D39"/>
    <w:rsid w:val="7DFD753B"/>
    <w:rsid w:val="7E027190"/>
    <w:rsid w:val="7E06253F"/>
    <w:rsid w:val="7E0E3FE1"/>
    <w:rsid w:val="7E1B2D4A"/>
    <w:rsid w:val="7E2E3EDA"/>
    <w:rsid w:val="7E3C457E"/>
    <w:rsid w:val="7E543940"/>
    <w:rsid w:val="7E5C0A47"/>
    <w:rsid w:val="7E5F6C01"/>
    <w:rsid w:val="7E907CA2"/>
    <w:rsid w:val="7E932DCE"/>
    <w:rsid w:val="7EA85A3A"/>
    <w:rsid w:val="7EC20932"/>
    <w:rsid w:val="7ED607F9"/>
    <w:rsid w:val="7EEC1DCB"/>
    <w:rsid w:val="7F001CE7"/>
    <w:rsid w:val="7F152A82"/>
    <w:rsid w:val="7F273516"/>
    <w:rsid w:val="7F645E05"/>
    <w:rsid w:val="7F647061"/>
    <w:rsid w:val="7F6D458E"/>
    <w:rsid w:val="7F6F7419"/>
    <w:rsid w:val="7F953113"/>
    <w:rsid w:val="7FA057A0"/>
    <w:rsid w:val="7FE47E50"/>
    <w:rsid w:val="7FF35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caption"/>
    <w:next w:val="1"/>
    <w:qFormat/>
    <w:uiPriority w:val="35"/>
    <w:pPr>
      <w:widowControl w:val="0"/>
      <w:jc w:val="both"/>
    </w:pPr>
    <w:rPr>
      <w:rFonts w:ascii="Cambria" w:hAnsi="Cambria" w:eastAsia="黑体" w:cs="Times New Roman"/>
      <w:kern w:val="2"/>
      <w:lang w:val="en-US" w:eastAsia="zh-CN" w:bidi="ar-SA"/>
    </w:rPr>
  </w:style>
  <w:style w:type="paragraph" w:styleId="6">
    <w:name w:val="annotation text"/>
    <w:basedOn w:val="1"/>
    <w:link w:val="24"/>
    <w:qFormat/>
    <w:uiPriority w:val="99"/>
    <w:pPr>
      <w:jc w:val="left"/>
    </w:pPr>
    <w:rPr>
      <w:kern w:val="0"/>
      <w:sz w:val="24"/>
      <w:szCs w:val="20"/>
    </w:rPr>
  </w:style>
  <w:style w:type="paragraph" w:styleId="7">
    <w:name w:val="Body Text"/>
    <w:basedOn w:val="1"/>
    <w:link w:val="25"/>
    <w:qFormat/>
    <w:uiPriority w:val="0"/>
    <w:pPr>
      <w:widowControl/>
      <w:snapToGrid w:val="0"/>
      <w:spacing w:before="60" w:after="160" w:line="259" w:lineRule="auto"/>
      <w:ind w:right="113"/>
    </w:pPr>
    <w:rPr>
      <w:kern w:val="0"/>
      <w:sz w:val="18"/>
      <w:szCs w:val="20"/>
    </w:rPr>
  </w:style>
  <w:style w:type="paragraph" w:styleId="8">
    <w:name w:val="Body Text Indent"/>
    <w:basedOn w:val="1"/>
    <w:next w:val="9"/>
    <w:link w:val="26"/>
    <w:qFormat/>
    <w:uiPriority w:val="0"/>
    <w:pPr>
      <w:spacing w:after="120"/>
      <w:ind w:left="420" w:leftChars="200"/>
    </w:pPr>
    <w:rPr>
      <w:kern w:val="0"/>
      <w:sz w:val="24"/>
      <w:szCs w:val="20"/>
    </w:rPr>
  </w:style>
  <w:style w:type="paragraph" w:styleId="9">
    <w:name w:val="annotation subject"/>
    <w:basedOn w:val="6"/>
    <w:next w:val="1"/>
    <w:link w:val="32"/>
    <w:semiHidden/>
    <w:qFormat/>
    <w:uiPriority w:val="0"/>
    <w:rPr>
      <w:b/>
    </w:rPr>
  </w:style>
  <w:style w:type="paragraph" w:styleId="10">
    <w:name w:val="Date"/>
    <w:basedOn w:val="1"/>
    <w:next w:val="1"/>
    <w:link w:val="27"/>
    <w:qFormat/>
    <w:uiPriority w:val="0"/>
    <w:pPr>
      <w:ind w:left="100" w:leftChars="2500"/>
    </w:pPr>
    <w:rPr>
      <w:kern w:val="0"/>
      <w:sz w:val="24"/>
      <w:szCs w:val="20"/>
    </w:rPr>
  </w:style>
  <w:style w:type="paragraph" w:styleId="11">
    <w:name w:val="Balloon Text"/>
    <w:basedOn w:val="1"/>
    <w:link w:val="28"/>
    <w:semiHidden/>
    <w:qFormat/>
    <w:uiPriority w:val="0"/>
    <w:rPr>
      <w:kern w:val="0"/>
      <w:sz w:val="18"/>
      <w:szCs w:val="20"/>
    </w:rPr>
  </w:style>
  <w:style w:type="paragraph" w:styleId="12">
    <w:name w:val="footer"/>
    <w:basedOn w:val="1"/>
    <w:link w:val="29"/>
    <w:qFormat/>
    <w:uiPriority w:val="99"/>
    <w:pPr>
      <w:tabs>
        <w:tab w:val="center" w:pos="4153"/>
        <w:tab w:val="right" w:pos="8306"/>
      </w:tabs>
      <w:snapToGrid w:val="0"/>
      <w:jc w:val="left"/>
    </w:pPr>
    <w:rPr>
      <w:kern w:val="0"/>
      <w:sz w:val="18"/>
      <w:szCs w:val="20"/>
    </w:rPr>
  </w:style>
  <w:style w:type="paragraph" w:styleId="13">
    <w:name w:val="header"/>
    <w:basedOn w:val="1"/>
    <w:link w:val="30"/>
    <w:qFormat/>
    <w:uiPriority w:val="99"/>
    <w:pPr>
      <w:pBdr>
        <w:bottom w:val="single" w:color="auto" w:sz="6" w:space="1"/>
      </w:pBdr>
      <w:tabs>
        <w:tab w:val="center" w:pos="4153"/>
        <w:tab w:val="right" w:pos="8306"/>
      </w:tabs>
      <w:snapToGrid w:val="0"/>
      <w:jc w:val="center"/>
    </w:pPr>
    <w:rPr>
      <w:kern w:val="0"/>
      <w:sz w:val="18"/>
      <w:szCs w:val="20"/>
    </w:rPr>
  </w:style>
  <w:style w:type="paragraph" w:styleId="14">
    <w:name w:val="toc 2"/>
    <w:basedOn w:val="1"/>
    <w:next w:val="1"/>
    <w:qFormat/>
    <w:uiPriority w:val="0"/>
    <w:pPr>
      <w:ind w:left="420" w:leftChars="200"/>
    </w:pPr>
  </w:style>
  <w:style w:type="paragraph" w:styleId="15">
    <w:name w:val="Normal (Web)"/>
    <w:basedOn w:val="1"/>
    <w:link w:val="31"/>
    <w:qFormat/>
    <w:uiPriority w:val="0"/>
    <w:pPr>
      <w:widowControl/>
      <w:spacing w:before="100" w:beforeAutospacing="1" w:after="100" w:afterAutospacing="1"/>
      <w:jc w:val="left"/>
    </w:pPr>
    <w:rPr>
      <w:rFonts w:ascii="宋体" w:hAnsi="宋体"/>
      <w:kern w:val="0"/>
      <w:sz w:val="24"/>
      <w:szCs w:val="20"/>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qFormat/>
    <w:uiPriority w:val="22"/>
    <w:rPr>
      <w:b/>
      <w:bCs/>
    </w:rPr>
  </w:style>
  <w:style w:type="character" w:styleId="20">
    <w:name w:val="page number"/>
    <w:qFormat/>
    <w:uiPriority w:val="0"/>
  </w:style>
  <w:style w:type="character" w:styleId="21">
    <w:name w:val="Hyperlink"/>
    <w:unhideWhenUsed/>
    <w:qFormat/>
    <w:uiPriority w:val="99"/>
    <w:rPr>
      <w:color w:val="0000FF"/>
      <w:u w:val="single"/>
    </w:rPr>
  </w:style>
  <w:style w:type="character" w:styleId="22">
    <w:name w:val="annotation reference"/>
    <w:qFormat/>
    <w:uiPriority w:val="0"/>
    <w:rPr>
      <w:sz w:val="21"/>
    </w:rPr>
  </w:style>
  <w:style w:type="paragraph" w:customStyle="1" w:styleId="23">
    <w:name w:val="表格"/>
    <w:basedOn w:val="1"/>
    <w:next w:val="1"/>
    <w:link w:val="35"/>
    <w:qFormat/>
    <w:uiPriority w:val="0"/>
    <w:pPr>
      <w:adjustRightInd w:val="0"/>
      <w:snapToGrid w:val="0"/>
      <w:spacing w:beforeLines="10" w:afterLines="10" w:line="259" w:lineRule="auto"/>
      <w:jc w:val="center"/>
    </w:pPr>
    <w:rPr>
      <w:rFonts w:ascii="宋体"/>
      <w:kern w:val="0"/>
      <w:szCs w:val="20"/>
    </w:rPr>
  </w:style>
  <w:style w:type="character" w:customStyle="1" w:styleId="24">
    <w:name w:val="批注文字 Char1"/>
    <w:link w:val="6"/>
    <w:qFormat/>
    <w:uiPriority w:val="99"/>
    <w:rPr>
      <w:rFonts w:ascii="Times New Roman" w:hAnsi="Times New Roman" w:eastAsia="宋体"/>
      <w:sz w:val="24"/>
    </w:rPr>
  </w:style>
  <w:style w:type="character" w:customStyle="1" w:styleId="25">
    <w:name w:val="正文文本 Char"/>
    <w:link w:val="7"/>
    <w:qFormat/>
    <w:uiPriority w:val="0"/>
    <w:rPr>
      <w:sz w:val="18"/>
    </w:rPr>
  </w:style>
  <w:style w:type="character" w:customStyle="1" w:styleId="26">
    <w:name w:val="正文文本缩进 Char"/>
    <w:link w:val="8"/>
    <w:semiHidden/>
    <w:qFormat/>
    <w:uiPriority w:val="0"/>
    <w:rPr>
      <w:rFonts w:ascii="Times New Roman" w:hAnsi="Times New Roman" w:eastAsia="宋体"/>
      <w:sz w:val="24"/>
    </w:rPr>
  </w:style>
  <w:style w:type="character" w:customStyle="1" w:styleId="27">
    <w:name w:val="日期 Char"/>
    <w:link w:val="10"/>
    <w:qFormat/>
    <w:uiPriority w:val="0"/>
    <w:rPr>
      <w:rFonts w:ascii="Times New Roman" w:hAnsi="Times New Roman" w:eastAsia="宋体"/>
      <w:sz w:val="24"/>
    </w:rPr>
  </w:style>
  <w:style w:type="character" w:customStyle="1" w:styleId="28">
    <w:name w:val="批注框文本 Char"/>
    <w:link w:val="11"/>
    <w:semiHidden/>
    <w:qFormat/>
    <w:uiPriority w:val="0"/>
    <w:rPr>
      <w:rFonts w:ascii="Times New Roman" w:hAnsi="Times New Roman" w:eastAsia="宋体"/>
      <w:sz w:val="18"/>
    </w:rPr>
  </w:style>
  <w:style w:type="character" w:customStyle="1" w:styleId="29">
    <w:name w:val="页脚 Char"/>
    <w:link w:val="12"/>
    <w:qFormat/>
    <w:uiPriority w:val="99"/>
    <w:rPr>
      <w:sz w:val="18"/>
    </w:rPr>
  </w:style>
  <w:style w:type="character" w:customStyle="1" w:styleId="30">
    <w:name w:val="页眉 Char"/>
    <w:link w:val="13"/>
    <w:qFormat/>
    <w:uiPriority w:val="99"/>
    <w:rPr>
      <w:sz w:val="18"/>
    </w:rPr>
  </w:style>
  <w:style w:type="character" w:customStyle="1" w:styleId="31">
    <w:name w:val="普通(网站) Char"/>
    <w:link w:val="15"/>
    <w:qFormat/>
    <w:uiPriority w:val="0"/>
    <w:rPr>
      <w:rFonts w:ascii="宋体" w:hAnsi="宋体" w:eastAsia="宋体"/>
      <w:sz w:val="24"/>
    </w:rPr>
  </w:style>
  <w:style w:type="character" w:customStyle="1" w:styleId="32">
    <w:name w:val="批注主题 Char"/>
    <w:link w:val="9"/>
    <w:semiHidden/>
    <w:qFormat/>
    <w:uiPriority w:val="0"/>
    <w:rPr>
      <w:rFonts w:ascii="Times New Roman" w:hAnsi="Times New Roman" w:eastAsia="宋体"/>
      <w:b/>
      <w:kern w:val="2"/>
      <w:sz w:val="24"/>
    </w:rPr>
  </w:style>
  <w:style w:type="character" w:customStyle="1" w:styleId="33">
    <w:name w:val="页脚 字符"/>
    <w:qFormat/>
    <w:uiPriority w:val="99"/>
  </w:style>
  <w:style w:type="character" w:customStyle="1" w:styleId="34">
    <w:name w:val="正文文本 字符1"/>
    <w:semiHidden/>
    <w:qFormat/>
    <w:uiPriority w:val="0"/>
    <w:rPr>
      <w:rFonts w:ascii="Times New Roman" w:hAnsi="Times New Roman" w:eastAsia="宋体"/>
      <w:sz w:val="24"/>
    </w:rPr>
  </w:style>
  <w:style w:type="character" w:customStyle="1" w:styleId="35">
    <w:name w:val="表格 Char"/>
    <w:link w:val="23"/>
    <w:qFormat/>
    <w:uiPriority w:val="0"/>
    <w:rPr>
      <w:rFonts w:ascii="宋体"/>
      <w:sz w:val="21"/>
    </w:rPr>
  </w:style>
  <w:style w:type="character" w:customStyle="1" w:styleId="36">
    <w:name w:val="日期 字符"/>
    <w:semiHidden/>
    <w:qFormat/>
    <w:uiPriority w:val="0"/>
    <w:rPr>
      <w:rFonts w:ascii="Times New Roman" w:hAnsi="Times New Roman" w:eastAsia="宋体"/>
      <w:sz w:val="24"/>
    </w:rPr>
  </w:style>
  <w:style w:type="character" w:customStyle="1" w:styleId="37">
    <w:name w:val="批注文字 字符1"/>
    <w:semiHidden/>
    <w:qFormat/>
    <w:uiPriority w:val="0"/>
    <w:rPr>
      <w:rFonts w:ascii="Times New Roman" w:hAnsi="Times New Roman" w:eastAsia="宋体"/>
      <w:sz w:val="24"/>
    </w:rPr>
  </w:style>
  <w:style w:type="paragraph" w:customStyle="1" w:styleId="3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0">
    <w:name w:val="表格内居中文字"/>
    <w:basedOn w:val="1"/>
    <w:qFormat/>
    <w:uiPriority w:val="99"/>
    <w:pPr>
      <w:jc w:val="center"/>
    </w:pPr>
    <w:rPr>
      <w:sz w:val="22"/>
    </w:rPr>
  </w:style>
  <w:style w:type="paragraph" w:customStyle="1" w:styleId="41">
    <w:name w:val="lulu正文"/>
    <w:basedOn w:val="1"/>
    <w:link w:val="42"/>
    <w:qFormat/>
    <w:uiPriority w:val="0"/>
    <w:pPr>
      <w:autoSpaceDE w:val="0"/>
      <w:autoSpaceDN w:val="0"/>
      <w:adjustRightInd w:val="0"/>
      <w:spacing w:line="480" w:lineRule="exact"/>
      <w:ind w:firstLine="520" w:firstLineChars="200"/>
      <w:textAlignment w:val="baseline"/>
    </w:pPr>
    <w:rPr>
      <w:bCs/>
      <w:sz w:val="26"/>
      <w:szCs w:val="26"/>
    </w:rPr>
  </w:style>
  <w:style w:type="character" w:customStyle="1" w:styleId="42">
    <w:name w:val="lulu正文 Char"/>
    <w:link w:val="41"/>
    <w:qFormat/>
    <w:uiPriority w:val="0"/>
    <w:rPr>
      <w:bCs/>
      <w:kern w:val="2"/>
      <w:sz w:val="26"/>
      <w:szCs w:val="26"/>
    </w:rPr>
  </w:style>
  <w:style w:type="paragraph" w:customStyle="1" w:styleId="43">
    <w:name w:val="lulu表格"/>
    <w:basedOn w:val="1"/>
    <w:qFormat/>
    <w:uiPriority w:val="0"/>
    <w:pPr>
      <w:widowControl/>
      <w:jc w:val="center"/>
    </w:pPr>
    <w:rPr>
      <w:rFonts w:cs="宋体"/>
      <w:kern w:val="0"/>
      <w:sz w:val="22"/>
      <w:szCs w:val="22"/>
    </w:rPr>
  </w:style>
  <w:style w:type="character" w:customStyle="1" w:styleId="44">
    <w:name w:val="批注文字 Char"/>
    <w:qFormat/>
    <w:uiPriority w:val="99"/>
    <w:rPr>
      <w:rFonts w:ascii="Times New Roman" w:hAnsi="Times New Roman" w:eastAsia="宋体"/>
      <w:sz w:val="24"/>
    </w:rPr>
  </w:style>
  <w:style w:type="paragraph" w:customStyle="1" w:styleId="45">
    <w:name w:val="p0"/>
    <w:basedOn w:val="1"/>
    <w:qFormat/>
    <w:uiPriority w:val="0"/>
    <w:pPr>
      <w:widowControl/>
    </w:pPr>
    <w:rPr>
      <w:kern w:val="0"/>
      <w:szCs w:val="21"/>
    </w:rPr>
  </w:style>
  <w:style w:type="paragraph" w:customStyle="1" w:styleId="46">
    <w:name w:val="样式 左 首行缩进:  1.01 厘米"/>
    <w:basedOn w:val="1"/>
    <w:link w:val="47"/>
    <w:qFormat/>
    <w:uiPriority w:val="0"/>
    <w:pPr>
      <w:adjustRightInd w:val="0"/>
      <w:snapToGrid w:val="0"/>
      <w:spacing w:line="460" w:lineRule="exact"/>
      <w:ind w:firstLine="200" w:firstLineChars="200"/>
    </w:pPr>
    <w:rPr>
      <w:rFonts w:cs="宋体"/>
      <w:sz w:val="26"/>
      <w:szCs w:val="26"/>
    </w:rPr>
  </w:style>
  <w:style w:type="character" w:customStyle="1" w:styleId="47">
    <w:name w:val="样式 左 首行缩进:  1.01 厘米 Char"/>
    <w:link w:val="46"/>
    <w:qFormat/>
    <w:uiPriority w:val="0"/>
    <w:rPr>
      <w:rFonts w:cs="宋体"/>
      <w:kern w:val="2"/>
      <w:sz w:val="26"/>
      <w:szCs w:val="26"/>
    </w:rPr>
  </w:style>
  <w:style w:type="paragraph" w:styleId="48">
    <w:name w:val="List Paragraph"/>
    <w:basedOn w:val="1"/>
    <w:qFormat/>
    <w:uiPriority w:val="34"/>
    <w:pPr>
      <w:ind w:firstLine="420" w:firstLineChars="200"/>
    </w:pPr>
    <w:rPr>
      <w:rFonts w:ascii="Calibri" w:hAnsi="Calibri"/>
      <w:szCs w:val="22"/>
    </w:rPr>
  </w:style>
  <w:style w:type="paragraph" w:customStyle="1" w:styleId="49">
    <w:name w:val="_Style 46"/>
    <w:semiHidden/>
    <w:qFormat/>
    <w:uiPriority w:val="99"/>
    <w:rPr>
      <w:rFonts w:ascii="Times New Roman" w:hAnsi="Times New Roman" w:eastAsia="宋体" w:cs="Times New Roman"/>
      <w:kern w:val="2"/>
      <w:sz w:val="21"/>
      <w:szCs w:val="24"/>
      <w:lang w:val="en-US" w:eastAsia="zh-CN" w:bidi="ar-SA"/>
    </w:rPr>
  </w:style>
  <w:style w:type="paragraph" w:customStyle="1" w:styleId="50">
    <w:name w:val="报告书正文"/>
    <w:basedOn w:val="1"/>
    <w:link w:val="51"/>
    <w:qFormat/>
    <w:uiPriority w:val="0"/>
    <w:pPr>
      <w:spacing w:line="300" w:lineRule="auto"/>
      <w:ind w:firstLine="200" w:firstLineChars="200"/>
    </w:pPr>
    <w:rPr>
      <w:rFonts w:ascii="Arial" w:hAnsi="Arial" w:cs="Arial"/>
      <w:sz w:val="24"/>
    </w:rPr>
  </w:style>
  <w:style w:type="character" w:customStyle="1" w:styleId="51">
    <w:name w:val="报告书正文 Char Char"/>
    <w:link w:val="50"/>
    <w:qFormat/>
    <w:uiPriority w:val="0"/>
    <w:rPr>
      <w:rFonts w:ascii="Arial" w:hAnsi="Arial" w:cs="Arial"/>
      <w:kern w:val="2"/>
      <w:sz w:val="24"/>
      <w:szCs w:val="24"/>
    </w:rPr>
  </w:style>
  <w:style w:type="character" w:customStyle="1" w:styleId="52">
    <w:name w:val="表格内容 Char"/>
    <w:link w:val="53"/>
    <w:qFormat/>
    <w:uiPriority w:val="0"/>
  </w:style>
  <w:style w:type="paragraph" w:customStyle="1" w:styleId="53">
    <w:name w:val="表格内容"/>
    <w:basedOn w:val="1"/>
    <w:link w:val="52"/>
    <w:qFormat/>
    <w:uiPriority w:val="0"/>
    <w:pPr>
      <w:spacing w:before="80" w:after="80"/>
      <w:jc w:val="center"/>
    </w:pPr>
    <w:rPr>
      <w:kern w:val="0"/>
      <w:sz w:val="20"/>
      <w:szCs w:val="20"/>
    </w:rPr>
  </w:style>
  <w:style w:type="paragraph" w:customStyle="1" w:styleId="54">
    <w:name w:val="表内格式居中"/>
    <w:basedOn w:val="1"/>
    <w:qFormat/>
    <w:uiPriority w:val="0"/>
    <w:pPr>
      <w:adjustRightInd w:val="0"/>
      <w:snapToGrid w:val="0"/>
      <w:jc w:val="center"/>
    </w:pPr>
    <w:rPr>
      <w:color w:val="000000"/>
      <w:szCs w:val="21"/>
    </w:rPr>
  </w:style>
  <w:style w:type="paragraph" w:customStyle="1" w:styleId="55">
    <w:name w:val="表中的文字"/>
    <w:basedOn w:val="1"/>
    <w:link w:val="56"/>
    <w:qFormat/>
    <w:uiPriority w:val="0"/>
    <w:pPr>
      <w:adjustRightInd w:val="0"/>
      <w:snapToGrid w:val="0"/>
      <w:spacing w:line="360" w:lineRule="exact"/>
      <w:jc w:val="center"/>
    </w:pPr>
    <w:rPr>
      <w:rFonts w:ascii="Calibri" w:hAnsi="Calibri"/>
      <w:szCs w:val="21"/>
    </w:rPr>
  </w:style>
  <w:style w:type="character" w:customStyle="1" w:styleId="56">
    <w:name w:val="表中的文字 Char"/>
    <w:link w:val="55"/>
    <w:qFormat/>
    <w:uiPriority w:val="0"/>
    <w:rPr>
      <w:rFonts w:ascii="Calibri" w:hAnsi="Calibri"/>
      <w:kern w:val="2"/>
      <w:sz w:val="21"/>
      <w:szCs w:val="21"/>
    </w:rPr>
  </w:style>
  <w:style w:type="paragraph" w:customStyle="1" w:styleId="57">
    <w:name w:val="表内字"/>
    <w:link w:val="58"/>
    <w:qFormat/>
    <w:uiPriority w:val="0"/>
    <w:pPr>
      <w:spacing w:before="80" w:after="80"/>
      <w:jc w:val="both"/>
    </w:pPr>
    <w:rPr>
      <w:rFonts w:ascii="Times New Roman" w:hAnsi="Times New Roman" w:eastAsia="宋体" w:cs="Times New Roman"/>
      <w:kern w:val="2"/>
      <w:sz w:val="21"/>
      <w:lang w:val="en-US" w:eastAsia="zh-CN" w:bidi="ar-SA"/>
    </w:rPr>
  </w:style>
  <w:style w:type="character" w:customStyle="1" w:styleId="58">
    <w:name w:val="表内字 Char"/>
    <w:link w:val="57"/>
    <w:qFormat/>
    <w:uiPriority w:val="0"/>
    <w:rPr>
      <w:kern w:val="2"/>
      <w:sz w:val="21"/>
    </w:rPr>
  </w:style>
  <w:style w:type="paragraph" w:customStyle="1" w:styleId="59">
    <w:name w:val="样式 正文缩进正文缩进2正文缩进 Char Char正文缩进 Char Char Char Char正文缩进 Char ..."/>
    <w:basedOn w:val="4"/>
    <w:qFormat/>
    <w:uiPriority w:val="0"/>
    <w:pPr>
      <w:adjustRightInd w:val="0"/>
      <w:spacing w:line="360" w:lineRule="auto"/>
      <w:ind w:firstLine="200" w:firstLineChars="0"/>
      <w:textAlignment w:val="baseline"/>
    </w:pPr>
    <w:rPr>
      <w:rFonts w:ascii="宋体" w:hAnsi="Calibri" w:cs="宋体"/>
      <w:kern w:val="0"/>
      <w:sz w:val="24"/>
      <w:szCs w:val="20"/>
    </w:rPr>
  </w:style>
  <w:style w:type="character" w:customStyle="1" w:styleId="60">
    <w:name w:val="表题1 Char"/>
    <w:link w:val="61"/>
    <w:qFormat/>
    <w:uiPriority w:val="0"/>
    <w:rPr>
      <w:b/>
      <w:kern w:val="2"/>
      <w:sz w:val="24"/>
      <w:szCs w:val="24"/>
    </w:rPr>
  </w:style>
  <w:style w:type="paragraph" w:customStyle="1" w:styleId="61">
    <w:name w:val="表题1"/>
    <w:basedOn w:val="1"/>
    <w:link w:val="60"/>
    <w:qFormat/>
    <w:uiPriority w:val="0"/>
    <w:pPr>
      <w:adjustRightInd w:val="0"/>
      <w:snapToGrid w:val="0"/>
      <w:spacing w:before="50" w:beforeLines="50" w:line="360" w:lineRule="auto"/>
      <w:ind w:firstLine="200" w:firstLineChars="200"/>
      <w:jc w:val="center"/>
    </w:pPr>
    <w:rPr>
      <w:b/>
      <w:sz w:val="24"/>
    </w:rPr>
  </w:style>
  <w:style w:type="paragraph" w:customStyle="1" w:styleId="62">
    <w:name w:val="【正文】"/>
    <w:basedOn w:val="1"/>
    <w:link w:val="63"/>
    <w:qFormat/>
    <w:uiPriority w:val="0"/>
    <w:pPr>
      <w:spacing w:line="440" w:lineRule="exact"/>
      <w:ind w:firstLine="544" w:firstLineChars="200"/>
    </w:pPr>
    <w:rPr>
      <w:sz w:val="24"/>
      <w:szCs w:val="20"/>
      <w:lang w:val="zh-CN"/>
    </w:rPr>
  </w:style>
  <w:style w:type="character" w:customStyle="1" w:styleId="63">
    <w:name w:val="【正文】 Char"/>
    <w:link w:val="62"/>
    <w:qFormat/>
    <w:uiPriority w:val="0"/>
    <w:rPr>
      <w:kern w:val="2"/>
      <w:sz w:val="24"/>
      <w:lang w:val="zh-CN"/>
    </w:rPr>
  </w:style>
  <w:style w:type="paragraph" w:customStyle="1" w:styleId="64">
    <w:name w:val="Table Paragraph"/>
    <w:basedOn w:val="1"/>
    <w:qFormat/>
    <w:uiPriority w:val="0"/>
    <w:pPr>
      <w:jc w:val="center"/>
    </w:pPr>
    <w:rPr>
      <w:rFonts w:ascii="宋体" w:hAnsi="宋体" w:cs="宋体"/>
      <w:kern w:val="0"/>
      <w:sz w:val="22"/>
      <w:szCs w:val="22"/>
      <w:lang w:eastAsia="en-US"/>
    </w:rPr>
  </w:style>
  <w:style w:type="paragraph" w:customStyle="1" w:styleId="65">
    <w:name w:val="77的正文"/>
    <w:basedOn w:val="1"/>
    <w:qFormat/>
    <w:uiPriority w:val="0"/>
    <w:pPr>
      <w:spacing w:line="360" w:lineRule="auto"/>
      <w:ind w:firstLine="480" w:firstLineChars="200"/>
    </w:pPr>
    <w:rPr>
      <w:color w:val="000000"/>
      <w:kern w:val="0"/>
      <w:sz w:val="24"/>
    </w:rPr>
  </w:style>
  <w:style w:type="character" w:customStyle="1" w:styleId="66">
    <w:name w:val="智汇元正文 Char"/>
    <w:link w:val="67"/>
    <w:qFormat/>
    <w:uiPriority w:val="0"/>
    <w:rPr>
      <w:kern w:val="2"/>
      <w:sz w:val="21"/>
      <w:szCs w:val="24"/>
    </w:rPr>
  </w:style>
  <w:style w:type="paragraph" w:customStyle="1" w:styleId="67">
    <w:name w:val="智汇元正文"/>
    <w:basedOn w:val="1"/>
    <w:next w:val="1"/>
    <w:link w:val="66"/>
    <w:qFormat/>
    <w:uiPriority w:val="0"/>
    <w:pPr>
      <w:spacing w:line="300" w:lineRule="auto"/>
      <w:ind w:firstLine="420" w:firstLineChars="200"/>
      <w:jc w:val="left"/>
    </w:pPr>
  </w:style>
  <w:style w:type="paragraph" w:customStyle="1" w:styleId="68">
    <w:name w:val="环科院正文"/>
    <w:basedOn w:val="1"/>
    <w:qFormat/>
    <w:uiPriority w:val="0"/>
    <w:pPr>
      <w:spacing w:line="300" w:lineRule="auto"/>
      <w:ind w:firstLine="480" w:firstLineChars="200"/>
    </w:pPr>
    <w:rPr>
      <w:rFonts w:hAnsi="宋体"/>
      <w:kern w:val="0"/>
      <w:sz w:val="24"/>
    </w:rPr>
  </w:style>
  <w:style w:type="paragraph" w:customStyle="1" w:styleId="69">
    <w:name w:val="表格标题"/>
    <w:basedOn w:val="1"/>
    <w:qFormat/>
    <w:uiPriority w:val="0"/>
    <w:pPr>
      <w:numPr>
        <w:ilvl w:val="0"/>
        <w:numId w:val="1"/>
      </w:numPr>
      <w:tabs>
        <w:tab w:val="left" w:pos="567"/>
      </w:tabs>
      <w:spacing w:before="120" w:beforeLines="50"/>
      <w:jc w:val="center"/>
    </w:pPr>
    <w:rPr>
      <w:rFonts w:eastAsia="黑体"/>
    </w:rPr>
  </w:style>
  <w:style w:type="paragraph" w:customStyle="1" w:styleId="70">
    <w:name w:val="li_正文"/>
    <w:basedOn w:val="1"/>
    <w:qFormat/>
    <w:uiPriority w:val="0"/>
    <w:pPr>
      <w:ind w:firstLine="200" w:firstLineChars="200"/>
      <w:jc w:val="left"/>
    </w:pPr>
    <w:rPr>
      <w:rFonts w:ascii="Calibri" w:hAnsi="Calibri"/>
      <w:sz w:val="28"/>
      <w:szCs w:val="28"/>
    </w:rPr>
  </w:style>
  <w:style w:type="paragraph" w:customStyle="1" w:styleId="71">
    <w:name w:val="WPS Plain"/>
    <w:qFormat/>
    <w:uiPriority w:val="0"/>
    <w:rPr>
      <w:rFonts w:ascii="Times New Roman" w:hAnsi="Times New Roman" w:eastAsia="宋体" w:cs="Times New Roman"/>
      <w:lang w:val="en-US" w:eastAsia="zh-CN" w:bidi="ar-SA"/>
    </w:rPr>
  </w:style>
  <w:style w:type="paragraph" w:customStyle="1" w:styleId="72">
    <w:name w:val="1表格"/>
    <w:basedOn w:val="1"/>
    <w:qFormat/>
    <w:uiPriority w:val="0"/>
    <w:pPr>
      <w:spacing w:line="240" w:lineRule="exact"/>
    </w:pPr>
    <w:rPr>
      <w:rFonts w:eastAsia="仿宋_GB2312"/>
      <w:sz w:val="18"/>
      <w:szCs w:val="22"/>
    </w:rPr>
  </w:style>
  <w:style w:type="paragraph" w:customStyle="1" w:styleId="73">
    <w:name w:val="报告表表格文字"/>
    <w:basedOn w:val="1"/>
    <w:qFormat/>
    <w:uiPriority w:val="0"/>
    <w:pPr>
      <w:jc w:val="center"/>
    </w:pPr>
    <w:rPr>
      <w:snapToGrid w:val="0"/>
      <w:sz w:val="18"/>
      <w:szCs w:val="20"/>
    </w:rPr>
  </w:style>
  <w:style w:type="paragraph" w:customStyle="1" w:styleId="74">
    <w:name w:val="环科院表格标题"/>
    <w:basedOn w:val="1"/>
    <w:qFormat/>
    <w:uiPriority w:val="0"/>
    <w:pPr>
      <w:spacing w:before="156" w:beforeLines="50"/>
      <w:jc w:val="center"/>
    </w:pPr>
    <w:rPr>
      <w:rFonts w:eastAsia="黑体"/>
      <w:sz w:val="24"/>
    </w:rPr>
  </w:style>
  <w:style w:type="character" w:customStyle="1" w:styleId="75">
    <w:name w:val="LP表格-RED Char"/>
    <w:link w:val="76"/>
    <w:qFormat/>
    <w:uiPriority w:val="99"/>
    <w:rPr>
      <w:kern w:val="2"/>
      <w:sz w:val="18"/>
      <w:szCs w:val="18"/>
    </w:rPr>
  </w:style>
  <w:style w:type="paragraph" w:customStyle="1" w:styleId="76">
    <w:name w:val="LP表格-RED"/>
    <w:link w:val="75"/>
    <w:qFormat/>
    <w:uiPriority w:val="99"/>
    <w:pPr>
      <w:jc w:val="center"/>
    </w:pPr>
    <w:rPr>
      <w:rFonts w:ascii="Times New Roman" w:hAnsi="Times New Roman" w:eastAsia="宋体" w:cs="Times New Roman"/>
      <w:kern w:val="2"/>
      <w:sz w:val="18"/>
      <w:szCs w:val="18"/>
      <w:lang w:val="en-US" w:eastAsia="zh-CN" w:bidi="ar-SA"/>
    </w:rPr>
  </w:style>
  <w:style w:type="paragraph" w:customStyle="1" w:styleId="7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78">
    <w:name w:val="智汇元标题1、2 Char"/>
    <w:link w:val="79"/>
    <w:qFormat/>
    <w:uiPriority w:val="0"/>
    <w:rPr>
      <w:b/>
      <w:bCs/>
      <w:sz w:val="21"/>
      <w:szCs w:val="21"/>
    </w:rPr>
  </w:style>
  <w:style w:type="paragraph" w:customStyle="1" w:styleId="79">
    <w:name w:val="智汇元标题1、2"/>
    <w:basedOn w:val="1"/>
    <w:next w:val="1"/>
    <w:link w:val="78"/>
    <w:qFormat/>
    <w:uiPriority w:val="0"/>
    <w:pPr>
      <w:autoSpaceDE w:val="0"/>
      <w:autoSpaceDN w:val="0"/>
      <w:adjustRightInd w:val="0"/>
      <w:snapToGrid w:val="0"/>
      <w:spacing w:line="300" w:lineRule="auto"/>
      <w:jc w:val="left"/>
    </w:pPr>
    <w:rPr>
      <w:b/>
      <w:bCs/>
      <w:kern w:val="0"/>
      <w:szCs w:val="21"/>
    </w:rPr>
  </w:style>
  <w:style w:type="paragraph" w:customStyle="1" w:styleId="80">
    <w:name w:val="市环科院正文"/>
    <w:basedOn w:val="1"/>
    <w:qFormat/>
    <w:uiPriority w:val="0"/>
    <w:pPr>
      <w:spacing w:line="300" w:lineRule="auto"/>
      <w:ind w:firstLine="480" w:firstLineChars="200"/>
    </w:pPr>
    <w:rPr>
      <w:rFonts w:eastAsia="Calibri"/>
      <w:kern w:val="0"/>
      <w:sz w:val="24"/>
    </w:rPr>
  </w:style>
  <w:style w:type="paragraph" w:customStyle="1" w:styleId="81">
    <w:name w:val="智汇元表头新"/>
    <w:basedOn w:val="1"/>
    <w:qFormat/>
    <w:uiPriority w:val="0"/>
    <w:pPr>
      <w:numPr>
        <w:ilvl w:val="0"/>
        <w:numId w:val="2"/>
      </w:numPr>
      <w:tabs>
        <w:tab w:val="left" w:pos="840"/>
        <w:tab w:val="left" w:pos="3725"/>
        <w:tab w:val="clear" w:pos="680"/>
      </w:tabs>
      <w:jc w:val="center"/>
    </w:pPr>
    <w:rPr>
      <w:rFonts w:eastAsia="黑体"/>
      <w:bCs/>
      <w:kern w:val="0"/>
      <w:szCs w:val="21"/>
    </w:rPr>
  </w:style>
  <w:style w:type="paragraph" w:customStyle="1" w:styleId="82">
    <w:name w:val="表格0000"/>
    <w:basedOn w:val="1"/>
    <w:qFormat/>
    <w:uiPriority w:val="0"/>
    <w:pPr>
      <w:adjustRightInd w:val="0"/>
      <w:jc w:val="center"/>
    </w:pPr>
    <w:rPr>
      <w:kern w:val="0"/>
      <w:sz w:val="18"/>
    </w:rPr>
  </w:style>
  <w:style w:type="paragraph" w:customStyle="1" w:styleId="83">
    <w:name w:val="表内容"/>
    <w:basedOn w:val="1"/>
    <w:qFormat/>
    <w:uiPriority w:val="0"/>
    <w:pPr>
      <w:adjustRightInd w:val="0"/>
      <w:snapToGrid w:val="0"/>
      <w:jc w:val="center"/>
    </w:pPr>
    <w:rPr>
      <w:snapToGrid w:val="0"/>
    </w:rPr>
  </w:style>
  <w:style w:type="paragraph" w:customStyle="1" w:styleId="84">
    <w:name w:val="样式1"/>
    <w:basedOn w:val="1"/>
    <w:link w:val="85"/>
    <w:qFormat/>
    <w:uiPriority w:val="0"/>
    <w:pPr>
      <w:autoSpaceDE w:val="0"/>
      <w:autoSpaceDN w:val="0"/>
      <w:adjustRightInd w:val="0"/>
      <w:jc w:val="center"/>
      <w:textAlignment w:val="baseline"/>
    </w:pPr>
    <w:rPr>
      <w:rFonts w:ascii="方正仿宋_GBK" w:hAnsi="方正仿宋_GBK" w:cs="方正仿宋_GBK"/>
      <w:szCs w:val="26"/>
    </w:rPr>
  </w:style>
  <w:style w:type="character" w:customStyle="1" w:styleId="85">
    <w:name w:val="样式1 Char Char"/>
    <w:link w:val="84"/>
    <w:qFormat/>
    <w:uiPriority w:val="0"/>
    <w:rPr>
      <w:rFonts w:ascii="方正仿宋_GBK" w:hAnsi="方正仿宋_GBK" w:cs="方正仿宋_GBK"/>
      <w:kern w:val="2"/>
      <w:sz w:val="21"/>
      <w:szCs w:val="26"/>
    </w:rPr>
  </w:style>
  <w:style w:type="character" w:customStyle="1" w:styleId="86">
    <w:name w:val="refindex___in7zn"/>
    <w:basedOn w:val="18"/>
    <w:qFormat/>
    <w:uiPriority w:val="0"/>
  </w:style>
  <w:style w:type="paragraph" w:customStyle="1" w:styleId="87">
    <w:name w:val="样式13"/>
    <w:basedOn w:val="1"/>
    <w:qFormat/>
    <w:uiPriority w:val="0"/>
    <w:pPr>
      <w:autoSpaceDE w:val="0"/>
      <w:autoSpaceDN w:val="0"/>
      <w:adjustRightInd w:val="0"/>
      <w:snapToGrid w:val="0"/>
      <w:spacing w:beforeLines="50" w:line="480" w:lineRule="exact"/>
      <w:jc w:val="center"/>
      <w:outlineLvl w:val="4"/>
    </w:pPr>
    <w:rPr>
      <w:sz w:val="26"/>
      <w:szCs w:val="26"/>
      <w:lang w:val="zh-CN"/>
    </w:rPr>
  </w:style>
  <w:style w:type="paragraph" w:customStyle="1" w:styleId="88">
    <w:name w:val="样式10"/>
    <w:basedOn w:val="14"/>
    <w:next w:val="1"/>
    <w:link w:val="89"/>
    <w:qFormat/>
    <w:uiPriority w:val="0"/>
    <w:pPr>
      <w:tabs>
        <w:tab w:val="left" w:pos="540"/>
        <w:tab w:val="left" w:pos="1008"/>
        <w:tab w:val="right" w:leader="middleDot" w:pos="8296"/>
        <w:tab w:val="right" w:leader="dot" w:pos="8493"/>
        <w:tab w:val="right" w:leader="dot" w:pos="8777"/>
        <w:tab w:val="right" w:leader="dot" w:pos="9061"/>
      </w:tabs>
      <w:kinsoku w:val="0"/>
      <w:overflowPunct w:val="0"/>
      <w:autoSpaceDE w:val="0"/>
      <w:autoSpaceDN w:val="0"/>
      <w:adjustRightInd w:val="0"/>
      <w:snapToGrid w:val="0"/>
      <w:spacing w:before="24" w:after="24" w:line="300" w:lineRule="auto"/>
      <w:ind w:left="0" w:leftChars="0"/>
      <w:jc w:val="center"/>
    </w:pPr>
    <w:rPr>
      <w:rFonts w:ascii="黑体" w:hAnsi="Arial" w:cs="Arial"/>
      <w:bCs/>
      <w:color w:val="000000"/>
      <w:spacing w:val="6"/>
      <w:sz w:val="52"/>
      <w:szCs w:val="28"/>
    </w:rPr>
  </w:style>
  <w:style w:type="character" w:customStyle="1" w:styleId="89">
    <w:name w:val="样式10 Char"/>
    <w:link w:val="88"/>
    <w:qFormat/>
    <w:uiPriority w:val="0"/>
    <w:rPr>
      <w:rFonts w:ascii="黑体" w:hAnsi="Arial" w:cs="Arial"/>
      <w:bCs/>
      <w:color w:val="000000"/>
      <w:spacing w:val="6"/>
      <w:kern w:val="2"/>
      <w:sz w:val="52"/>
      <w:szCs w:val="28"/>
    </w:rPr>
  </w:style>
  <w:style w:type="paragraph" w:customStyle="1" w:styleId="90">
    <w:name w:val="表格文字"/>
    <w:basedOn w:val="4"/>
    <w:qFormat/>
    <w:uiPriority w:val="0"/>
    <w:pPr>
      <w:ind w:firstLine="0" w:firstLineChars="0"/>
    </w:pPr>
    <w:rPr>
      <w:rFonts w:eastAsia="仿宋_GB2312"/>
      <w:sz w:val="24"/>
      <w:szCs w:val="20"/>
    </w:rPr>
  </w:style>
  <w:style w:type="paragraph" w:customStyle="1" w:styleId="91">
    <w:name w:val="表内字体111"/>
    <w:qFormat/>
    <w:uiPriority w:val="0"/>
    <w:pPr>
      <w:widowControl w:val="0"/>
      <w:adjustRightInd w:val="0"/>
      <w:snapToGrid w:val="0"/>
      <w:jc w:val="both"/>
    </w:pPr>
    <w:rPr>
      <w:rFonts w:ascii="Times New Roman" w:hAnsi="Times New Roman" w:eastAsia="宋体" w:cs="Times New Roman"/>
      <w:snapToGrid w:val="0"/>
      <w:sz w:val="18"/>
      <w:szCs w:val="24"/>
      <w:lang w:val="en-US" w:eastAsia="zh-CN" w:bidi="ar-SA"/>
    </w:rPr>
  </w:style>
  <w:style w:type="paragraph" w:customStyle="1" w:styleId="92">
    <w:name w:val="表文排版"/>
    <w:qFormat/>
    <w:uiPriority w:val="0"/>
    <w:pPr>
      <w:widowControl w:val="0"/>
      <w:adjustRightInd w:val="0"/>
      <w:snapToGrid w:val="0"/>
      <w:jc w:val="center"/>
    </w:pPr>
    <w:rPr>
      <w:rFonts w:ascii="Calibri" w:hAnsi="Calibri" w:eastAsia="宋体" w:cs="Times New Roman"/>
      <w:kern w:val="2"/>
      <w:sz w:val="22"/>
      <w:szCs w:val="24"/>
      <w:lang w:val="en-US" w:eastAsia="zh-CN" w:bidi="ar-SA"/>
    </w:rPr>
  </w:style>
  <w:style w:type="paragraph" w:customStyle="1" w:styleId="93">
    <w:name w:val="ABD正文"/>
    <w:next w:val="1"/>
    <w:autoRedefine/>
    <w:qFormat/>
    <w:uiPriority w:val="0"/>
    <w:pPr>
      <w:widowControl w:val="0"/>
      <w:adjustRightInd w:val="0"/>
      <w:snapToGrid w:val="0"/>
      <w:spacing w:line="360" w:lineRule="auto"/>
      <w:ind w:firstLine="520" w:firstLineChars="200"/>
      <w:jc w:val="both"/>
    </w:pPr>
    <w:rPr>
      <w:rFonts w:ascii="Times New Roman" w:hAnsi="Times New Roman" w:eastAsia="宋体" w:cs="Times New Roman"/>
      <w:bCs/>
      <w:kern w:val="2"/>
      <w:sz w:val="24"/>
      <w:szCs w:val="24"/>
      <w:lang w:val="en-US" w:eastAsia="zh-CN" w:bidi="ar-SA"/>
    </w:rPr>
  </w:style>
  <w:style w:type="paragraph" w:customStyle="1" w:styleId="94">
    <w:name w:val="1正文"/>
    <w:qFormat/>
    <w:uiPriority w:val="0"/>
    <w:pPr>
      <w:widowControl w:val="0"/>
      <w:spacing w:line="460" w:lineRule="exact"/>
      <w:ind w:firstLine="200" w:firstLineChars="200"/>
      <w:jc w:val="both"/>
    </w:pPr>
    <w:rPr>
      <w:rFonts w:ascii="Times New Roman" w:hAnsi="Times New Roman" w:eastAsia="宋体" w:cs="Times New Roman"/>
      <w:bCs/>
      <w:kern w:val="2"/>
      <w:sz w:val="24"/>
      <w:szCs w:val="24"/>
      <w:lang w:val="en-US" w:eastAsia="zh-CN" w:bidi="ar-SA"/>
    </w:rPr>
  </w:style>
  <w:style w:type="character" w:customStyle="1" w:styleId="95">
    <w:name w:val="font41"/>
    <w:qFormat/>
    <w:uiPriority w:val="0"/>
    <w:rPr>
      <w:rFonts w:hint="eastAsia" w:ascii="宋体" w:hAnsi="宋体" w:eastAsia="宋体" w:cs="宋体"/>
      <w:color w:val="FF0000"/>
      <w:sz w:val="22"/>
      <w:szCs w:val="22"/>
      <w:u w:val="none"/>
    </w:rPr>
  </w:style>
  <w:style w:type="character" w:customStyle="1" w:styleId="96">
    <w:name w:val="font31"/>
    <w:qFormat/>
    <w:uiPriority w:val="0"/>
    <w:rPr>
      <w:rFonts w:hint="default" w:ascii="Times New Roman" w:hAnsi="Times New Roman" w:cs="Times New Roman"/>
      <w:color w:val="FF0000"/>
      <w:sz w:val="22"/>
      <w:szCs w:val="22"/>
      <w:u w:val="none"/>
    </w:rPr>
  </w:style>
  <w:style w:type="character" w:customStyle="1" w:styleId="97">
    <w:name w:val="font61"/>
    <w:qFormat/>
    <w:uiPriority w:val="0"/>
    <w:rPr>
      <w:rFonts w:hint="default" w:ascii="Times New Roman" w:hAnsi="Times New Roman" w:cs="Times New Roman"/>
      <w:color w:val="000000"/>
      <w:sz w:val="22"/>
      <w:szCs w:val="22"/>
      <w:u w:val="none"/>
    </w:rPr>
  </w:style>
  <w:style w:type="character" w:customStyle="1" w:styleId="98">
    <w:name w:val="font81"/>
    <w:qFormat/>
    <w:uiPriority w:val="0"/>
    <w:rPr>
      <w:rFonts w:hint="eastAsia" w:ascii="宋体" w:hAnsi="宋体" w:eastAsia="宋体" w:cs="宋体"/>
      <w:color w:val="0070C0"/>
      <w:sz w:val="22"/>
      <w:szCs w:val="22"/>
      <w:u w:val="none"/>
      <w:vertAlign w:val="subscript"/>
    </w:rPr>
  </w:style>
  <w:style w:type="paragraph" w:customStyle="1" w:styleId="99">
    <w:name w:val="ABD环评正文"/>
    <w:next w:val="1"/>
    <w:autoRedefine/>
    <w:qFormat/>
    <w:uiPriority w:val="0"/>
    <w:pPr>
      <w:widowControl w:val="0"/>
      <w:autoSpaceDE w:val="0"/>
      <w:autoSpaceDN w:val="0"/>
      <w:spacing w:line="360" w:lineRule="auto"/>
      <w:ind w:firstLine="940" w:firstLineChars="200"/>
      <w:jc w:val="both"/>
    </w:pPr>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g4NDQ4MzQ5MDU3IiwKCSJHcm91cElkIiA6ICI2OTI1MjI3OTQiLAoJIkltYWdlIiA6ICJpVkJPUncwS0dnb0FBQUFOU1VoRVVnQUFCWmdBQUFIY0NBWUFBQUJiSzgrdEFBQUFBWE5TUjBJQXJzNGM2UUFBSUFCSlJFRlVlSnpzM1hsMFZFWGV4dkhuZG5kV0V0WWdEQWJERmpBZ0lZQUlzaW82SW9zb3lJZ2lBdS9JRVJmUVVSQkhaQmRFVVZBa0tzb2lnb29naStEQXFETUl3c2dxSUFRQ21DQ0lZUTJCQU5tWHZ1OGZtRFpKcDdNMGdRN2gremxuanVtNlZYVi90eWZwMEUrcTYwb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0QvQWUvRzdEREpJaHVqQUFBQUFFbEZUa1N1UW1DQyIsCgkiVGhlbWUiIDogIiIsCgkiVHlwZSIgOiAiZmxvdyIsCgkiVXNlcklkIiA6ICIzNTMzMDY5OTQiLAoJIlZlcnNpb24iIDogIjU5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81</Pages>
  <Words>28980</Words>
  <Characters>31223</Characters>
  <Lines>450</Lines>
  <Paragraphs>126</Paragraphs>
  <TotalTime>45</TotalTime>
  <ScaleCrop>false</ScaleCrop>
  <LinksUpToDate>false</LinksUpToDate>
  <CharactersWithSpaces>31378</CharactersWithSpaces>
  <Application>WPS Office_12.1.0.21170_F1E327BC-269C-435d-A152-05C5408002CA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2022-04-01T02:24:00Z</dcterms:created>
  <dc:creator>lhj</dc:creator>
  <cp:lastModifiedBy>MX</cp:lastModifiedBy>
  <cp:lastPrinted>2020-12-29T02:43:00Z</cp:lastPrinted>
  <dcterms:modified xsi:type="dcterms:W3CDTF">2025-05-26T03:12:45Z</dcterms:modified>
  <dc:title>附件2</dc:title>
  <cp:revision>217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2052-12.1.0.21170</vt:lpwstr>
  </property>
  <property fmtid="{D5CDD505-2E9C-101B-9397-08002B2CF9AE}" pid="3" name="ICV">
    <vt:lpwstr>A06781E157E34D7CA825567C84A45044_13</vt:lpwstr>
  </property>
  <property fmtid="{D5CDD505-2E9C-101B-9397-08002B2CF9AE}" pid="4" name="KSOTemplateDocerSaveRecord">
    <vt:lpwstr>eyJoZGlkIjoiNjUyMGYxNjQ5NzQ5M2Q2ZDUxODBhOGIxOTY2MjA5ZjIiLCJ1c2VySWQiOiIzNTMzMDY5OTQifQ==</vt:lpwstr>
  </property>
  <property fmtid="{D5CDD505-2E9C-101B-9397-08002B2CF9AE}" pid="5" name="hmcheck_result_fab5c3895b3943dcbbb5fa1c8dc38521_errorword">
    <vt:lpwstr>超</vt:lpwstr>
  </property>
  <property fmtid="{D5CDD505-2E9C-101B-9397-08002B2CF9AE}" pid="6" name="hmcheck_result_fab5c3895b3943dcbbb5fa1c8dc38521_correctwords">
    <vt:lpwstr>["超过"]</vt:lpwstr>
  </property>
  <property fmtid="{D5CDD505-2E9C-101B-9397-08002B2CF9AE}" pid="7" name="hmcheck_result_fab5c3895b3943dcbbb5fa1c8dc38521_level">
    <vt:i4>1</vt:i4>
  </property>
  <property fmtid="{D5CDD505-2E9C-101B-9397-08002B2CF9AE}" pid="8" name="hmcheck_result_fab5c3895b3943dcbbb5fa1c8dc38521_type">
    <vt:i4>0</vt:i4>
  </property>
  <property fmtid="{D5CDD505-2E9C-101B-9397-08002B2CF9AE}" pid="9" name="hmcheck_result_fab5c3895b3943dcbbb5fa1c8dc38521_modifiedtype">
    <vt:i4>0</vt:i4>
  </property>
  <property fmtid="{D5CDD505-2E9C-101B-9397-08002B2CF9AE}" pid="10" name="hmcheck_result_99a887e047b7445fade48af1409cea44_errorword">
    <vt:lpwstr>城乡结合部</vt:lpwstr>
  </property>
  <property fmtid="{D5CDD505-2E9C-101B-9397-08002B2CF9AE}" pid="11" name="hmcheck_result_99a887e047b7445fade48af1409cea44_correctwords">
    <vt:lpwstr>["城乡接合部"]</vt:lpwstr>
  </property>
  <property fmtid="{D5CDD505-2E9C-101B-9397-08002B2CF9AE}" pid="12" name="hmcheck_result_99a887e047b7445fade48af1409cea44_level">
    <vt:i4>1</vt:i4>
  </property>
  <property fmtid="{D5CDD505-2E9C-101B-9397-08002B2CF9AE}" pid="13" name="hmcheck_result_99a887e047b7445fade48af1409cea44_type">
    <vt:i4>9</vt:i4>
  </property>
  <property fmtid="{D5CDD505-2E9C-101B-9397-08002B2CF9AE}" pid="14" name="hmcheck_result_99a887e047b7445fade48af1409cea44_modifiedtype">
    <vt:i4>2</vt:i4>
  </property>
  <property fmtid="{D5CDD505-2E9C-101B-9397-08002B2CF9AE}" pid="15" name="hmcheck_result_02d8e29b2ee94120a0a7947ee50fff0c_errorword">
    <vt:lpwstr>排</vt:lpwstr>
  </property>
  <property fmtid="{D5CDD505-2E9C-101B-9397-08002B2CF9AE}" pid="16" name="hmcheck_result_02d8e29b2ee94120a0a7947ee50fff0c_correctwords">
    <vt:lpwstr>["排入"]</vt:lpwstr>
  </property>
  <property fmtid="{D5CDD505-2E9C-101B-9397-08002B2CF9AE}" pid="17" name="hmcheck_result_02d8e29b2ee94120a0a7947ee50fff0c_level">
    <vt:i4>1</vt:i4>
  </property>
  <property fmtid="{D5CDD505-2E9C-101B-9397-08002B2CF9AE}" pid="18" name="hmcheck_result_02d8e29b2ee94120a0a7947ee50fff0c_type">
    <vt:i4>0</vt:i4>
  </property>
  <property fmtid="{D5CDD505-2E9C-101B-9397-08002B2CF9AE}" pid="19" name="hmcheck_result_02d8e29b2ee94120a0a7947ee50fff0c_modifiedtype">
    <vt:i4>2</vt:i4>
  </property>
  <property fmtid="{D5CDD505-2E9C-101B-9397-08002B2CF9AE}" pid="20" name="hmcheck_result_fce96774b2aa4e3791982421cf0c671c_errorword">
    <vt:lpwstr>-</vt:lpwstr>
  </property>
  <property fmtid="{D5CDD505-2E9C-101B-9397-08002B2CF9AE}" pid="21" name="hmcheck_result_fce96774b2aa4e3791982421cf0c671c_correctwords">
    <vt:lpwstr>["—"]</vt:lpwstr>
  </property>
  <property fmtid="{D5CDD505-2E9C-101B-9397-08002B2CF9AE}" pid="22" name="hmcheck_result_fce96774b2aa4e3791982421cf0c671c_errordescription">
    <vt:lpwstr>时间连接号使用不恰当</vt:lpwstr>
  </property>
  <property fmtid="{D5CDD505-2E9C-101B-9397-08002B2CF9AE}" pid="23" name="hmcheck_result_fce96774b2aa4e3791982421cf0c671c_level">
    <vt:i4>1</vt:i4>
  </property>
  <property fmtid="{D5CDD505-2E9C-101B-9397-08002B2CF9AE}" pid="24" name="hmcheck_result_fce96774b2aa4e3791982421cf0c671c_type">
    <vt:i4>1</vt:i4>
  </property>
  <property fmtid="{D5CDD505-2E9C-101B-9397-08002B2CF9AE}" pid="25" name="hmcheck_result_fce96774b2aa4e3791982421cf0c671c_modifiedtype">
    <vt:i4>2</vt:i4>
  </property>
  <property fmtid="{D5CDD505-2E9C-101B-9397-08002B2CF9AE}" pid="26" name="hmcheck_result_379cd07fe1d541f197a65229ed41b025_errorword">
    <vt:lpwstr>电</vt:lpwstr>
  </property>
  <property fmtid="{D5CDD505-2E9C-101B-9397-08002B2CF9AE}" pid="27" name="hmcheck_result_379cd07fe1d541f197a65229ed41b025_correctwords">
    <vt:lpwstr>["电力"]</vt:lpwstr>
  </property>
  <property fmtid="{D5CDD505-2E9C-101B-9397-08002B2CF9AE}" pid="28" name="hmcheck_result_379cd07fe1d541f197a65229ed41b025_level">
    <vt:i4>1</vt:i4>
  </property>
  <property fmtid="{D5CDD505-2E9C-101B-9397-08002B2CF9AE}" pid="29" name="hmcheck_result_379cd07fe1d541f197a65229ed41b025_type">
    <vt:i4>0</vt:i4>
  </property>
  <property fmtid="{D5CDD505-2E9C-101B-9397-08002B2CF9AE}" pid="30" name="hmcheck_result_379cd07fe1d541f197a65229ed41b025_modifiedtype">
    <vt:i4>0</vt:i4>
  </property>
  <property fmtid="{D5CDD505-2E9C-101B-9397-08002B2CF9AE}" pid="31" name="hmcheck_result_39dd7eeb2dd84213b44f2e3718ff7045_errorword">
    <vt:lpwstr>污染物</vt:lpwstr>
  </property>
  <property fmtid="{D5CDD505-2E9C-101B-9397-08002B2CF9AE}" pid="32" name="hmcheck_result_39dd7eeb2dd84213b44f2e3718ff7045_correctwords">
    <vt:lpwstr>["污染"]</vt:lpwstr>
  </property>
  <property fmtid="{D5CDD505-2E9C-101B-9397-08002B2CF9AE}" pid="33" name="hmcheck_result_39dd7eeb2dd84213b44f2e3718ff7045_level">
    <vt:i4>1</vt:i4>
  </property>
  <property fmtid="{D5CDD505-2E9C-101B-9397-08002B2CF9AE}" pid="34" name="hmcheck_result_39dd7eeb2dd84213b44f2e3718ff7045_type">
    <vt:i4>0</vt:i4>
  </property>
  <property fmtid="{D5CDD505-2E9C-101B-9397-08002B2CF9AE}" pid="35" name="hmcheck_result_39dd7eeb2dd84213b44f2e3718ff7045_modifiedtype">
    <vt:i4>2</vt:i4>
  </property>
  <property fmtid="{D5CDD505-2E9C-101B-9397-08002B2CF9AE}" pid="36" name="hmcheck_result_c6724f35932f4917910d1f7130073553_errorword">
    <vt:lpwstr>-点</vt:lpwstr>
  </property>
  <property fmtid="{D5CDD505-2E9C-101B-9397-08002B2CF9AE}" pid="37" name="hmcheck_result_c6724f35932f4917910d1f7130073553_correctwords">
    <vt:lpwstr>["一点"]</vt:lpwstr>
  </property>
  <property fmtid="{D5CDD505-2E9C-101B-9397-08002B2CF9AE}" pid="38" name="hmcheck_result_c6724f35932f4917910d1f7130073553_level">
    <vt:i4>1</vt:i4>
  </property>
  <property fmtid="{D5CDD505-2E9C-101B-9397-08002B2CF9AE}" pid="39" name="hmcheck_result_c6724f35932f4917910d1f7130073553_type">
    <vt:i4>0</vt:i4>
  </property>
  <property fmtid="{D5CDD505-2E9C-101B-9397-08002B2CF9AE}" pid="40" name="hmcheck_result_c6724f35932f4917910d1f7130073553_modifiedtype">
    <vt:i4>0</vt:i4>
  </property>
  <property fmtid="{D5CDD505-2E9C-101B-9397-08002B2CF9AE}" pid="41" name="hmcheck_result_710983eaec12422f8e2a5d448d9def73_errorword">
    <vt:lpwstr>-天</vt:lpwstr>
  </property>
  <property fmtid="{D5CDD505-2E9C-101B-9397-08002B2CF9AE}" pid="42" name="hmcheck_result_710983eaec12422f8e2a5d448d9def73_correctwords">
    <vt:lpwstr>["一天"]</vt:lpwstr>
  </property>
  <property fmtid="{D5CDD505-2E9C-101B-9397-08002B2CF9AE}" pid="43" name="hmcheck_result_710983eaec12422f8e2a5d448d9def73_level">
    <vt:i4>1</vt:i4>
  </property>
  <property fmtid="{D5CDD505-2E9C-101B-9397-08002B2CF9AE}" pid="44" name="hmcheck_result_710983eaec12422f8e2a5d448d9def73_type">
    <vt:i4>0</vt:i4>
  </property>
  <property fmtid="{D5CDD505-2E9C-101B-9397-08002B2CF9AE}" pid="45" name="hmcheck_result_710983eaec12422f8e2a5d448d9def73_modifiedtype">
    <vt:i4>0</vt:i4>
  </property>
  <property fmtid="{D5CDD505-2E9C-101B-9397-08002B2CF9AE}" pid="46" name="hmcheck_result_80464359eebf4715b886e082e9d9ae1b_errorword">
    <vt:lpwstr>左述</vt:lpwstr>
  </property>
  <property fmtid="{D5CDD505-2E9C-101B-9397-08002B2CF9AE}" pid="47" name="hmcheck_result_80464359eebf4715b886e082e9d9ae1b_correctwords">
    <vt:lpwstr>["上述"]</vt:lpwstr>
  </property>
  <property fmtid="{D5CDD505-2E9C-101B-9397-08002B2CF9AE}" pid="48" name="hmcheck_result_80464359eebf4715b886e082e9d9ae1b_errordescription">
    <vt:lpwstr>〈形〉属性词。上面所说的：～各条，望切实执行。</vt:lpwstr>
  </property>
  <property fmtid="{D5CDD505-2E9C-101B-9397-08002B2CF9AE}" pid="49" name="hmcheck_result_80464359eebf4715b886e082e9d9ae1b_level">
    <vt:i4>1</vt:i4>
  </property>
  <property fmtid="{D5CDD505-2E9C-101B-9397-08002B2CF9AE}" pid="50" name="hmcheck_result_80464359eebf4715b886e082e9d9ae1b_type">
    <vt:i4>0</vt:i4>
  </property>
  <property fmtid="{D5CDD505-2E9C-101B-9397-08002B2CF9AE}" pid="51" name="hmcheck_result_80464359eebf4715b886e082e9d9ae1b_modifiedtype">
    <vt:i4>0</vt:i4>
  </property>
  <property fmtid="{D5CDD505-2E9C-101B-9397-08002B2CF9AE}" pid="52" name="hmcheck_result_219083c794264b9f840ddf8f1389ba06_errorword">
    <vt:lpwstr>左述</vt:lpwstr>
  </property>
  <property fmtid="{D5CDD505-2E9C-101B-9397-08002B2CF9AE}" pid="53" name="hmcheck_result_219083c794264b9f840ddf8f1389ba06_correctwords">
    <vt:lpwstr>["上述"]</vt:lpwstr>
  </property>
  <property fmtid="{D5CDD505-2E9C-101B-9397-08002B2CF9AE}" pid="54" name="hmcheck_result_219083c794264b9f840ddf8f1389ba06_errordescription">
    <vt:lpwstr>〈形〉属性词。上面所说的：～各条，望切实执行。</vt:lpwstr>
  </property>
  <property fmtid="{D5CDD505-2E9C-101B-9397-08002B2CF9AE}" pid="55" name="hmcheck_result_219083c794264b9f840ddf8f1389ba06_level">
    <vt:i4>1</vt:i4>
  </property>
  <property fmtid="{D5CDD505-2E9C-101B-9397-08002B2CF9AE}" pid="56" name="hmcheck_result_219083c794264b9f840ddf8f1389ba06_type">
    <vt:i4>0</vt:i4>
  </property>
  <property fmtid="{D5CDD505-2E9C-101B-9397-08002B2CF9AE}" pid="57" name="hmcheck_result_219083c794264b9f840ddf8f1389ba06_modifiedtype">
    <vt:i4>0</vt:i4>
  </property>
  <property fmtid="{D5CDD505-2E9C-101B-9397-08002B2CF9AE}" pid="58" name="hmcheck_result_520748d9d9a04dec94a9d7189e7679d2_errorword">
    <vt:lpwstr>截留</vt:lpwstr>
  </property>
  <property fmtid="{D5CDD505-2E9C-101B-9397-08002B2CF9AE}" pid="59" name="hmcheck_result_520748d9d9a04dec94a9d7189e7679d2_correctwords">
    <vt:lpwstr>["截流"]</vt:lpwstr>
  </property>
  <property fmtid="{D5CDD505-2E9C-101B-9397-08002B2CF9AE}" pid="60" name="hmcheck_result_520748d9d9a04dec94a9d7189e7679d2_level">
    <vt:i4>1</vt:i4>
  </property>
  <property fmtid="{D5CDD505-2E9C-101B-9397-08002B2CF9AE}" pid="61" name="hmcheck_result_520748d9d9a04dec94a9d7189e7679d2_type">
    <vt:i4>0</vt:i4>
  </property>
  <property fmtid="{D5CDD505-2E9C-101B-9397-08002B2CF9AE}" pid="62" name="hmcheck_result_520748d9d9a04dec94a9d7189e7679d2_modifiedtype">
    <vt:i4>0</vt:i4>
  </property>
  <property fmtid="{D5CDD505-2E9C-101B-9397-08002B2CF9AE}" pid="63" name="hmcheck_result_904f484c2b8b4a77a9b89e2e7717619f_errorword">
    <vt:lpwstr>人口规模较大</vt:lpwstr>
  </property>
  <property fmtid="{D5CDD505-2E9C-101B-9397-08002B2CF9AE}" pid="64" name="hmcheck_result_904f484c2b8b4a77a9b89e2e7717619f_correctwords">
    <vt:lpwstr>["人口规模巨大"]</vt:lpwstr>
  </property>
  <property fmtid="{D5CDD505-2E9C-101B-9397-08002B2CF9AE}" pid="65" name="hmcheck_result_904f484c2b8b4a77a9b89e2e7717619f_errordescription">
    <vt:lpwstr>词汇“人口规模巨大”在特定场景下为固定表述形式，请确认此处的“人口规模较大”是否存在不当。</vt:lpwstr>
  </property>
  <property fmtid="{D5CDD505-2E9C-101B-9397-08002B2CF9AE}" pid="66" name="hmcheck_result_904f484c2b8b4a77a9b89e2e7717619f_level">
    <vt:i4>1</vt:i4>
  </property>
  <property fmtid="{D5CDD505-2E9C-101B-9397-08002B2CF9AE}" pid="67" name="hmcheck_result_904f484c2b8b4a77a9b89e2e7717619f_type">
    <vt:i4>11</vt:i4>
  </property>
  <property fmtid="{D5CDD505-2E9C-101B-9397-08002B2CF9AE}" pid="68" name="hmcheck_result_904f484c2b8b4a77a9b89e2e7717619f_modifiedtype">
    <vt:i4>0</vt:i4>
  </property>
  <property fmtid="{D5CDD505-2E9C-101B-9397-08002B2CF9AE}" pid="69" name="hmcheck_result_cff91fc8fd104a1db08955d9f6ee08af_errorword">
    <vt:lpwstr>左述</vt:lpwstr>
  </property>
  <property fmtid="{D5CDD505-2E9C-101B-9397-08002B2CF9AE}" pid="70" name="hmcheck_result_cff91fc8fd104a1db08955d9f6ee08af_correctwords">
    <vt:lpwstr>["上述"]</vt:lpwstr>
  </property>
  <property fmtid="{D5CDD505-2E9C-101B-9397-08002B2CF9AE}" pid="71" name="hmcheck_result_cff91fc8fd104a1db08955d9f6ee08af_errordescription">
    <vt:lpwstr>〈形〉属性词。上面所说的：～各条，望切实执行。</vt:lpwstr>
  </property>
  <property fmtid="{D5CDD505-2E9C-101B-9397-08002B2CF9AE}" pid="72" name="hmcheck_result_cff91fc8fd104a1db08955d9f6ee08af_level">
    <vt:i4>1</vt:i4>
  </property>
  <property fmtid="{D5CDD505-2E9C-101B-9397-08002B2CF9AE}" pid="73" name="hmcheck_result_cff91fc8fd104a1db08955d9f6ee08af_type">
    <vt:i4>0</vt:i4>
  </property>
  <property fmtid="{D5CDD505-2E9C-101B-9397-08002B2CF9AE}" pid="74" name="hmcheck_result_cff91fc8fd104a1db08955d9f6ee08af_modifiedtype">
    <vt:i4>0</vt:i4>
  </property>
  <property fmtid="{D5CDD505-2E9C-101B-9397-08002B2CF9AE}" pid="75" name="hmcheck_result_7b7c1c3fb0404653b8a7c22ffd56d335_errorword">
    <vt:lpwstr>电</vt:lpwstr>
  </property>
  <property fmtid="{D5CDD505-2E9C-101B-9397-08002B2CF9AE}" pid="76" name="hmcheck_result_7b7c1c3fb0404653b8a7c22ffd56d335_correctwords">
    <vt:lpwstr>["电力"]</vt:lpwstr>
  </property>
  <property fmtid="{D5CDD505-2E9C-101B-9397-08002B2CF9AE}" pid="77" name="hmcheck_result_7b7c1c3fb0404653b8a7c22ffd56d335_level">
    <vt:i4>1</vt:i4>
  </property>
  <property fmtid="{D5CDD505-2E9C-101B-9397-08002B2CF9AE}" pid="78" name="hmcheck_result_7b7c1c3fb0404653b8a7c22ffd56d335_type">
    <vt:i4>0</vt:i4>
  </property>
  <property fmtid="{D5CDD505-2E9C-101B-9397-08002B2CF9AE}" pid="79" name="hmcheck_result_7b7c1c3fb0404653b8a7c22ffd56d335_modifiedtype">
    <vt:i4>0</vt:i4>
  </property>
  <property fmtid="{D5CDD505-2E9C-101B-9397-08002B2CF9AE}" pid="80" name="hmcheck_result_4538c5932fbf4e4e9d4e3a2376593bc3_errorword">
    <vt:lpwstr>-天</vt:lpwstr>
  </property>
  <property fmtid="{D5CDD505-2E9C-101B-9397-08002B2CF9AE}" pid="81" name="hmcheck_result_4538c5932fbf4e4e9d4e3a2376593bc3_correctwords">
    <vt:lpwstr>["一天"]</vt:lpwstr>
  </property>
  <property fmtid="{D5CDD505-2E9C-101B-9397-08002B2CF9AE}" pid="82" name="hmcheck_result_4538c5932fbf4e4e9d4e3a2376593bc3_level">
    <vt:i4>1</vt:i4>
  </property>
  <property fmtid="{D5CDD505-2E9C-101B-9397-08002B2CF9AE}" pid="83" name="hmcheck_result_4538c5932fbf4e4e9d4e3a2376593bc3_type">
    <vt:i4>0</vt:i4>
  </property>
  <property fmtid="{D5CDD505-2E9C-101B-9397-08002B2CF9AE}" pid="84" name="hmcheck_result_4538c5932fbf4e4e9d4e3a2376593bc3_modifiedtype">
    <vt:i4>0</vt:i4>
  </property>
  <property fmtid="{D5CDD505-2E9C-101B-9397-08002B2CF9AE}" pid="85" name="hmcheck_result_330549c4176346599cd0684144098a7b_errorword">
    <vt:lpwstr>工业废水可</vt:lpwstr>
  </property>
  <property fmtid="{D5CDD505-2E9C-101B-9397-08002B2CF9AE}" pid="86" name="hmcheck_result_330549c4176346599cd0684144098a7b_correctwords">
    <vt:lpwstr>["工业废水"]</vt:lpwstr>
  </property>
  <property fmtid="{D5CDD505-2E9C-101B-9397-08002B2CF9AE}" pid="87" name="hmcheck_result_330549c4176346599cd0684144098a7b_level">
    <vt:i4>1</vt:i4>
  </property>
  <property fmtid="{D5CDD505-2E9C-101B-9397-08002B2CF9AE}" pid="88" name="hmcheck_result_330549c4176346599cd0684144098a7b_type">
    <vt:i4>0</vt:i4>
  </property>
  <property fmtid="{D5CDD505-2E9C-101B-9397-08002B2CF9AE}" pid="89" name="hmcheck_result_330549c4176346599cd0684144098a7b_modifiedtype">
    <vt:i4>0</vt:i4>
  </property>
  <property fmtid="{D5CDD505-2E9C-101B-9397-08002B2CF9AE}" pid="90" name="hmcheck_result_d58828366bb54dd78f9a24b4fea14e96_errorword">
    <vt:lpwstr>胶粘剂</vt:lpwstr>
  </property>
  <property fmtid="{D5CDD505-2E9C-101B-9397-08002B2CF9AE}" pid="91" name="hmcheck_result_d58828366bb54dd78f9a24b4fea14e96_correctwords">
    <vt:lpwstr>["胶黏剂"]</vt:lpwstr>
  </property>
  <property fmtid="{D5CDD505-2E9C-101B-9397-08002B2CF9AE}" pid="92" name="hmcheck_result_d58828366bb54dd78f9a24b4fea14e96_level">
    <vt:i4>1</vt:i4>
  </property>
  <property fmtid="{D5CDD505-2E9C-101B-9397-08002B2CF9AE}" pid="93" name="hmcheck_result_d58828366bb54dd78f9a24b4fea14e96_type">
    <vt:i4>5</vt:i4>
  </property>
  <property fmtid="{D5CDD505-2E9C-101B-9397-08002B2CF9AE}" pid="94" name="hmcheck_result_d58828366bb54dd78f9a24b4fea14e96_modifiedtype">
    <vt:i4>0</vt:i4>
  </property>
  <property fmtid="{D5CDD505-2E9C-101B-9397-08002B2CF9AE}" pid="95" name="hmcheck_result_d6d778349b46486996f7facb8832c8ca_errorword">
    <vt:lpwstr>”、“</vt:lpwstr>
  </property>
  <property fmtid="{D5CDD505-2E9C-101B-9397-08002B2CF9AE}" pid="96" name="hmcheck_result_d6d778349b46486996f7facb8832c8ca_correctwords">
    <vt:lpwstr>["”“"]</vt:lpwstr>
  </property>
  <property fmtid="{D5CDD505-2E9C-101B-9397-08002B2CF9AE}" pid="97" name="hmcheck_result_d6d778349b46486996f7facb8832c8ca_errordescription">
    <vt:lpwstr>多个书名号或双引号间不添加额外标点</vt:lpwstr>
  </property>
  <property fmtid="{D5CDD505-2E9C-101B-9397-08002B2CF9AE}" pid="98" name="hmcheck_result_d6d778349b46486996f7facb8832c8ca_level">
    <vt:i4>1</vt:i4>
  </property>
  <property fmtid="{D5CDD505-2E9C-101B-9397-08002B2CF9AE}" pid="99" name="hmcheck_result_d6d778349b46486996f7facb8832c8ca_type">
    <vt:i4>1</vt:i4>
  </property>
  <property fmtid="{D5CDD505-2E9C-101B-9397-08002B2CF9AE}" pid="100" name="hmcheck_result_d6d778349b46486996f7facb8832c8ca_modifiedtype">
    <vt:i4>2</vt:i4>
  </property>
  <property fmtid="{D5CDD505-2E9C-101B-9397-08002B2CF9AE}" pid="101" name="hmcheck_result_972763443cb844fd82839dedba811081_errorword">
    <vt:lpwstr>滚边</vt:lpwstr>
  </property>
  <property fmtid="{D5CDD505-2E9C-101B-9397-08002B2CF9AE}" pid="102" name="hmcheck_result_972763443cb844fd82839dedba811081_correctwords">
    <vt:lpwstr>["绲边"]</vt:lpwstr>
  </property>
  <property fmtid="{D5CDD505-2E9C-101B-9397-08002B2CF9AE}" pid="103" name="hmcheck_result_972763443cb844fd82839dedba811081_level">
    <vt:i4>1</vt:i4>
  </property>
  <property fmtid="{D5CDD505-2E9C-101B-9397-08002B2CF9AE}" pid="104" name="hmcheck_result_972763443cb844fd82839dedba811081_type">
    <vt:i4>5</vt:i4>
  </property>
  <property fmtid="{D5CDD505-2E9C-101B-9397-08002B2CF9AE}" pid="105" name="hmcheck_result_972763443cb844fd82839dedba811081_modifiedtype">
    <vt:i4>0</vt:i4>
  </property>
  <property fmtid="{D5CDD505-2E9C-101B-9397-08002B2CF9AE}" pid="106" name="hmcheck_result_485425bab5a94a91857d8a5a3ce11fa0_errorword">
    <vt:lpwstr>滚边</vt:lpwstr>
  </property>
  <property fmtid="{D5CDD505-2E9C-101B-9397-08002B2CF9AE}" pid="107" name="hmcheck_result_485425bab5a94a91857d8a5a3ce11fa0_correctwords">
    <vt:lpwstr>["绲边"]</vt:lpwstr>
  </property>
  <property fmtid="{D5CDD505-2E9C-101B-9397-08002B2CF9AE}" pid="108" name="hmcheck_result_485425bab5a94a91857d8a5a3ce11fa0_level">
    <vt:i4>1</vt:i4>
  </property>
  <property fmtid="{D5CDD505-2E9C-101B-9397-08002B2CF9AE}" pid="109" name="hmcheck_result_485425bab5a94a91857d8a5a3ce11fa0_type">
    <vt:i4>5</vt:i4>
  </property>
  <property fmtid="{D5CDD505-2E9C-101B-9397-08002B2CF9AE}" pid="110" name="hmcheck_result_485425bab5a94a91857d8a5a3ce11fa0_modifiedtype">
    <vt:i4>0</vt:i4>
  </property>
  <property fmtid="{D5CDD505-2E9C-101B-9397-08002B2CF9AE}" pid="111" name="hmcheck_result_f40af4aa0f794468bedc72d66e88debc_errorword">
    <vt:lpwstr>胶粘剂</vt:lpwstr>
  </property>
  <property fmtid="{D5CDD505-2E9C-101B-9397-08002B2CF9AE}" pid="112" name="hmcheck_result_f40af4aa0f794468bedc72d66e88debc_correctwords">
    <vt:lpwstr>["胶黏剂"]</vt:lpwstr>
  </property>
  <property fmtid="{D5CDD505-2E9C-101B-9397-08002B2CF9AE}" pid="113" name="hmcheck_result_f40af4aa0f794468bedc72d66e88debc_level">
    <vt:i4>1</vt:i4>
  </property>
  <property fmtid="{D5CDD505-2E9C-101B-9397-08002B2CF9AE}" pid="114" name="hmcheck_result_f40af4aa0f794468bedc72d66e88debc_type">
    <vt:i4>5</vt:i4>
  </property>
  <property fmtid="{D5CDD505-2E9C-101B-9397-08002B2CF9AE}" pid="115" name="hmcheck_result_f40af4aa0f794468bedc72d66e88debc_modifiedtype">
    <vt:i4>2</vt:i4>
  </property>
  <property fmtid="{D5CDD505-2E9C-101B-9397-08002B2CF9AE}" pid="116" name="hmcheck_result_2bb2bc381a2e4e51bdbca52b94db35a6_errorword">
    <vt:lpwstr>〔2014〕021号</vt:lpwstr>
  </property>
  <property fmtid="{D5CDD505-2E9C-101B-9397-08002B2CF9AE}" pid="117" name="hmcheck_result_2bb2bc381a2e4e51bdbca52b94db35a6_correctwords">
    <vt:lpwstr>["〔2014〕21号"]</vt:lpwstr>
  </property>
  <property fmtid="{D5CDD505-2E9C-101B-9397-08002B2CF9AE}" pid="118" name="hmcheck_result_2bb2bc381a2e4e51bdbca52b94db35a6_errordescription">
    <vt:lpwstr>发文字号格式错误</vt:lpwstr>
  </property>
  <property fmtid="{D5CDD505-2E9C-101B-9397-08002B2CF9AE}" pid="119" name="hmcheck_result_2bb2bc381a2e4e51bdbca52b94db35a6_level">
    <vt:i4>1</vt:i4>
  </property>
  <property fmtid="{D5CDD505-2E9C-101B-9397-08002B2CF9AE}" pid="120" name="hmcheck_result_2bb2bc381a2e4e51bdbca52b94db35a6_type">
    <vt:i4>9</vt:i4>
  </property>
  <property fmtid="{D5CDD505-2E9C-101B-9397-08002B2CF9AE}" pid="121" name="hmcheck_result_2bb2bc381a2e4e51bdbca52b94db35a6_modifiedtype">
    <vt:i4>0</vt:i4>
  </property>
  <property fmtid="{D5CDD505-2E9C-101B-9397-08002B2CF9AE}" pid="122" name="hmcheck_result_b93461165f8745dab6e271cc5a86e80d_errorword">
    <vt:lpwstr>）</vt:lpwstr>
  </property>
  <property fmtid="{D5CDD505-2E9C-101B-9397-08002B2CF9AE}" pid="123" name="hmcheck_result_b93461165f8745dab6e271cc5a86e80d_correctwords">
    <vt:lpwstr>[]</vt:lpwstr>
  </property>
  <property fmtid="{D5CDD505-2E9C-101B-9397-08002B2CF9AE}" pid="124" name="hmcheck_result_b93461165f8745dab6e271cc5a86e80d_errordescription">
    <vt:lpwstr>标点符号）缺少成对</vt:lpwstr>
  </property>
  <property fmtid="{D5CDD505-2E9C-101B-9397-08002B2CF9AE}" pid="125" name="hmcheck_result_b93461165f8745dab6e271cc5a86e80d_level">
    <vt:i4>1</vt:i4>
  </property>
  <property fmtid="{D5CDD505-2E9C-101B-9397-08002B2CF9AE}" pid="126" name="hmcheck_result_b93461165f8745dab6e271cc5a86e80d_type">
    <vt:i4>1</vt:i4>
  </property>
  <property fmtid="{D5CDD505-2E9C-101B-9397-08002B2CF9AE}" pid="127" name="hmcheck_result_b93461165f8745dab6e271cc5a86e80d_modifiedtype">
    <vt:i4>0</vt:i4>
  </property>
  <property fmtid="{D5CDD505-2E9C-101B-9397-08002B2CF9AE}" pid="128" name="hmcheck_result_936ac568a51a4221ac57d9f8990ea669_errorword">
    <vt:lpwstr>”、“</vt:lpwstr>
  </property>
  <property fmtid="{D5CDD505-2E9C-101B-9397-08002B2CF9AE}" pid="129" name="hmcheck_result_936ac568a51a4221ac57d9f8990ea669_correctwords">
    <vt:lpwstr>["”“"]</vt:lpwstr>
  </property>
  <property fmtid="{D5CDD505-2E9C-101B-9397-08002B2CF9AE}" pid="130" name="hmcheck_result_936ac568a51a4221ac57d9f8990ea669_errordescription">
    <vt:lpwstr>多个书名号或双引号间不添加额外标点</vt:lpwstr>
  </property>
  <property fmtid="{D5CDD505-2E9C-101B-9397-08002B2CF9AE}" pid="131" name="hmcheck_result_936ac568a51a4221ac57d9f8990ea669_level">
    <vt:i4>1</vt:i4>
  </property>
  <property fmtid="{D5CDD505-2E9C-101B-9397-08002B2CF9AE}" pid="132" name="hmcheck_result_936ac568a51a4221ac57d9f8990ea669_type">
    <vt:i4>1</vt:i4>
  </property>
  <property fmtid="{D5CDD505-2E9C-101B-9397-08002B2CF9AE}" pid="133" name="hmcheck_result_936ac568a51a4221ac57d9f8990ea669_modifiedtype">
    <vt:i4>2</vt:i4>
  </property>
  <property fmtid="{D5CDD505-2E9C-101B-9397-08002B2CF9AE}" pid="134" name="hmcheck_result_4eaeb5e788f1439ca671918ea651221e_errorword">
    <vt:lpwstr>”、“</vt:lpwstr>
  </property>
  <property fmtid="{D5CDD505-2E9C-101B-9397-08002B2CF9AE}" pid="135" name="hmcheck_result_4eaeb5e788f1439ca671918ea651221e_correctwords">
    <vt:lpwstr>["”“"]</vt:lpwstr>
  </property>
  <property fmtid="{D5CDD505-2E9C-101B-9397-08002B2CF9AE}" pid="136" name="hmcheck_result_4eaeb5e788f1439ca671918ea651221e_errordescription">
    <vt:lpwstr>多个书名号或双引号间不添加额外标点</vt:lpwstr>
  </property>
  <property fmtid="{D5CDD505-2E9C-101B-9397-08002B2CF9AE}" pid="137" name="hmcheck_result_4eaeb5e788f1439ca671918ea651221e_level">
    <vt:i4>1</vt:i4>
  </property>
  <property fmtid="{D5CDD505-2E9C-101B-9397-08002B2CF9AE}" pid="138" name="hmcheck_result_4eaeb5e788f1439ca671918ea651221e_type">
    <vt:i4>1</vt:i4>
  </property>
  <property fmtid="{D5CDD505-2E9C-101B-9397-08002B2CF9AE}" pid="139" name="hmcheck_result_4eaeb5e788f1439ca671918ea651221e_modifiedtype">
    <vt:i4>2</vt:i4>
  </property>
  <property fmtid="{D5CDD505-2E9C-101B-9397-08002B2CF9AE}" pid="140" name="hmcheck_result_ec294824679b48bc9ee1cb7e4585b1f9_errorword">
    <vt:lpwstr>”、“</vt:lpwstr>
  </property>
  <property fmtid="{D5CDD505-2E9C-101B-9397-08002B2CF9AE}" pid="141" name="hmcheck_result_ec294824679b48bc9ee1cb7e4585b1f9_correctwords">
    <vt:lpwstr>["”“"]</vt:lpwstr>
  </property>
  <property fmtid="{D5CDD505-2E9C-101B-9397-08002B2CF9AE}" pid="142" name="hmcheck_result_ec294824679b48bc9ee1cb7e4585b1f9_errordescription">
    <vt:lpwstr>多个书名号或双引号间不添加额外标点</vt:lpwstr>
  </property>
  <property fmtid="{D5CDD505-2E9C-101B-9397-08002B2CF9AE}" pid="143" name="hmcheck_result_ec294824679b48bc9ee1cb7e4585b1f9_level">
    <vt:i4>1</vt:i4>
  </property>
  <property fmtid="{D5CDD505-2E9C-101B-9397-08002B2CF9AE}" pid="144" name="hmcheck_result_ec294824679b48bc9ee1cb7e4585b1f9_type">
    <vt:i4>1</vt:i4>
  </property>
  <property fmtid="{D5CDD505-2E9C-101B-9397-08002B2CF9AE}" pid="145" name="hmcheck_result_ec294824679b48bc9ee1cb7e4585b1f9_modifiedtype">
    <vt:i4>2</vt:i4>
  </property>
  <property fmtid="{D5CDD505-2E9C-101B-9397-08002B2CF9AE}" pid="146" name="hmcheck_result_672ea0a31af649d481f289a8f18a4073_errorword">
    <vt:lpwstr>”、“</vt:lpwstr>
  </property>
  <property fmtid="{D5CDD505-2E9C-101B-9397-08002B2CF9AE}" pid="147" name="hmcheck_result_672ea0a31af649d481f289a8f18a4073_correctwords">
    <vt:lpwstr>["”“"]</vt:lpwstr>
  </property>
  <property fmtid="{D5CDD505-2E9C-101B-9397-08002B2CF9AE}" pid="148" name="hmcheck_result_672ea0a31af649d481f289a8f18a4073_errordescription">
    <vt:lpwstr>多个书名号或双引号间不添加额外标点</vt:lpwstr>
  </property>
  <property fmtid="{D5CDD505-2E9C-101B-9397-08002B2CF9AE}" pid="149" name="hmcheck_result_672ea0a31af649d481f289a8f18a4073_level">
    <vt:i4>1</vt:i4>
  </property>
  <property fmtid="{D5CDD505-2E9C-101B-9397-08002B2CF9AE}" pid="150" name="hmcheck_result_672ea0a31af649d481f289a8f18a4073_type">
    <vt:i4>1</vt:i4>
  </property>
  <property fmtid="{D5CDD505-2E9C-101B-9397-08002B2CF9AE}" pid="151" name="hmcheck_result_672ea0a31af649d481f289a8f18a4073_modifiedtype">
    <vt:i4>2</vt:i4>
  </property>
  <property fmtid="{D5CDD505-2E9C-101B-9397-08002B2CF9AE}" pid="152" name="hmcheck_result_270ef33230cb4721ad4709ac82095051_errorword">
    <vt:lpwstr>”、“</vt:lpwstr>
  </property>
  <property fmtid="{D5CDD505-2E9C-101B-9397-08002B2CF9AE}" pid="153" name="hmcheck_result_270ef33230cb4721ad4709ac82095051_correctwords">
    <vt:lpwstr>["”“"]</vt:lpwstr>
  </property>
  <property fmtid="{D5CDD505-2E9C-101B-9397-08002B2CF9AE}" pid="154" name="hmcheck_result_270ef33230cb4721ad4709ac82095051_errordescription">
    <vt:lpwstr>多个书名号或双引号间不添加额外标点</vt:lpwstr>
  </property>
  <property fmtid="{D5CDD505-2E9C-101B-9397-08002B2CF9AE}" pid="155" name="hmcheck_result_270ef33230cb4721ad4709ac82095051_level">
    <vt:i4>1</vt:i4>
  </property>
  <property fmtid="{D5CDD505-2E9C-101B-9397-08002B2CF9AE}" pid="156" name="hmcheck_result_270ef33230cb4721ad4709ac82095051_type">
    <vt:i4>1</vt:i4>
  </property>
  <property fmtid="{D5CDD505-2E9C-101B-9397-08002B2CF9AE}" pid="157" name="hmcheck_result_270ef33230cb4721ad4709ac82095051_modifiedtype">
    <vt:i4>2</vt:i4>
  </property>
  <property fmtid="{D5CDD505-2E9C-101B-9397-08002B2CF9AE}" pid="158" name="hmcheck_result_f8787357e0b54a8aa5dab996e0f8ac2b_errorword">
    <vt:lpwstr>点</vt:lpwstr>
  </property>
  <property fmtid="{D5CDD505-2E9C-101B-9397-08002B2CF9AE}" pid="159" name="hmcheck_result_f8787357e0b54a8aa5dab996e0f8ac2b_correctwords">
    <vt:lpwstr>["支"]</vt:lpwstr>
  </property>
  <property fmtid="{D5CDD505-2E9C-101B-9397-08002B2CF9AE}" pid="160" name="hmcheck_result_f8787357e0b54a8aa5dab996e0f8ac2b_errordescription">
    <vt:lpwstr>❶分支；支派：～流｜～队｜～线｜～店。❷〈量〉a）用于队伍等：一～军队｜一～文化队伍。b）用于歌曲或乐曲：两～新的乐曲。c）纱线粗细程度的英制单位，用单位质量（重量）的长度来表示，如1磅重的纱线长度中有几个840码，就叫几支（纱）。纱线越细，支数越大。d）用于杆状的东西：一～枪｜三～钢笔｜一～蜡烛。</vt:lpwstr>
  </property>
  <property fmtid="{D5CDD505-2E9C-101B-9397-08002B2CF9AE}" pid="161" name="hmcheck_result_f8787357e0b54a8aa5dab996e0f8ac2b_level">
    <vt:i4>1</vt:i4>
  </property>
  <property fmtid="{D5CDD505-2E9C-101B-9397-08002B2CF9AE}" pid="162" name="hmcheck_result_f8787357e0b54a8aa5dab996e0f8ac2b_type">
    <vt:i4>9</vt:i4>
  </property>
  <property fmtid="{D5CDD505-2E9C-101B-9397-08002B2CF9AE}" pid="163" name="hmcheck_result_f8787357e0b54a8aa5dab996e0f8ac2b_modifiedtype">
    <vt:i4>0</vt:i4>
  </property>
  <property fmtid="{D5CDD505-2E9C-101B-9397-08002B2CF9AE}" pid="164" name="hmcheck_result_41c0156173cd48b686eff8fbc0183f0b_errorword">
    <vt:lpwstr>动</vt:lpwstr>
  </property>
  <property fmtid="{D5CDD505-2E9C-101B-9397-08002B2CF9AE}" pid="165" name="hmcheck_result_41c0156173cd48b686eff8fbc0183f0b_correctwords">
    <vt:lpwstr>["动化"]</vt:lpwstr>
  </property>
  <property fmtid="{D5CDD505-2E9C-101B-9397-08002B2CF9AE}" pid="166" name="hmcheck_result_41c0156173cd48b686eff8fbc0183f0b_level">
    <vt:i4>1</vt:i4>
  </property>
  <property fmtid="{D5CDD505-2E9C-101B-9397-08002B2CF9AE}" pid="167" name="hmcheck_result_41c0156173cd48b686eff8fbc0183f0b_type">
    <vt:i4>0</vt:i4>
  </property>
  <property fmtid="{D5CDD505-2E9C-101B-9397-08002B2CF9AE}" pid="168" name="hmcheck_result_41c0156173cd48b686eff8fbc0183f0b_modifiedtype">
    <vt:i4>0</vt:i4>
  </property>
  <property fmtid="{D5CDD505-2E9C-101B-9397-08002B2CF9AE}" pid="169" name="hmcheck_result_87430ddbfbe34063bfa12dab98c86633_errorword">
    <vt:lpwstr>滚边</vt:lpwstr>
  </property>
  <property fmtid="{D5CDD505-2E9C-101B-9397-08002B2CF9AE}" pid="170" name="hmcheck_result_87430ddbfbe34063bfa12dab98c86633_correctwords">
    <vt:lpwstr>["绲边"]</vt:lpwstr>
  </property>
  <property fmtid="{D5CDD505-2E9C-101B-9397-08002B2CF9AE}" pid="171" name="hmcheck_result_87430ddbfbe34063bfa12dab98c86633_level">
    <vt:i4>1</vt:i4>
  </property>
  <property fmtid="{D5CDD505-2E9C-101B-9397-08002B2CF9AE}" pid="172" name="hmcheck_result_87430ddbfbe34063bfa12dab98c86633_type">
    <vt:i4>5</vt:i4>
  </property>
  <property fmtid="{D5CDD505-2E9C-101B-9397-08002B2CF9AE}" pid="173" name="hmcheck_result_87430ddbfbe34063bfa12dab98c86633_modifiedtype">
    <vt:i4>0</vt:i4>
  </property>
  <property fmtid="{D5CDD505-2E9C-101B-9397-08002B2CF9AE}" pid="174" name="hmcheck_result_7570ab2957494bd2bfa48d9c9eab4145_errorword">
    <vt:lpwstr>点焊</vt:lpwstr>
  </property>
  <property fmtid="{D5CDD505-2E9C-101B-9397-08002B2CF9AE}" pid="175" name="hmcheck_result_7570ab2957494bd2bfa48d9c9eab4145_correctwords">
    <vt:lpwstr>["弧焊"]</vt:lpwstr>
  </property>
  <property fmtid="{D5CDD505-2E9C-101B-9397-08002B2CF9AE}" pid="176" name="hmcheck_result_7570ab2957494bd2bfa48d9c9eab4145_level">
    <vt:i4>1</vt:i4>
  </property>
  <property fmtid="{D5CDD505-2E9C-101B-9397-08002B2CF9AE}" pid="177" name="hmcheck_result_7570ab2957494bd2bfa48d9c9eab4145_type">
    <vt:i4>0</vt:i4>
  </property>
  <property fmtid="{D5CDD505-2E9C-101B-9397-08002B2CF9AE}" pid="178" name="hmcheck_result_7570ab2957494bd2bfa48d9c9eab4145_modifiedtype">
    <vt:i4>0</vt:i4>
  </property>
  <property fmtid="{D5CDD505-2E9C-101B-9397-08002B2CF9AE}" pid="179" name="hmcheck_result_79688efdf3bb420790585667407b0dbd_errorword">
    <vt:lpwstr>滚边</vt:lpwstr>
  </property>
  <property fmtid="{D5CDD505-2E9C-101B-9397-08002B2CF9AE}" pid="180" name="hmcheck_result_79688efdf3bb420790585667407b0dbd_correctwords">
    <vt:lpwstr>["绲边"]</vt:lpwstr>
  </property>
  <property fmtid="{D5CDD505-2E9C-101B-9397-08002B2CF9AE}" pid="181" name="hmcheck_result_79688efdf3bb420790585667407b0dbd_level">
    <vt:i4>1</vt:i4>
  </property>
  <property fmtid="{D5CDD505-2E9C-101B-9397-08002B2CF9AE}" pid="182" name="hmcheck_result_79688efdf3bb420790585667407b0dbd_type">
    <vt:i4>5</vt:i4>
  </property>
  <property fmtid="{D5CDD505-2E9C-101B-9397-08002B2CF9AE}" pid="183" name="hmcheck_result_79688efdf3bb420790585667407b0dbd_modifiedtype">
    <vt:i4>0</vt:i4>
  </property>
  <property fmtid="{D5CDD505-2E9C-101B-9397-08002B2CF9AE}" pid="184" name="hmcheck_result_89ebd7ec428242b0a8ff2c090e7dd28f_errorword">
    <vt:lpwstr>滚边</vt:lpwstr>
  </property>
  <property fmtid="{D5CDD505-2E9C-101B-9397-08002B2CF9AE}" pid="185" name="hmcheck_result_89ebd7ec428242b0a8ff2c090e7dd28f_correctwords">
    <vt:lpwstr>["绲边"]</vt:lpwstr>
  </property>
  <property fmtid="{D5CDD505-2E9C-101B-9397-08002B2CF9AE}" pid="186" name="hmcheck_result_89ebd7ec428242b0a8ff2c090e7dd28f_level">
    <vt:i4>1</vt:i4>
  </property>
  <property fmtid="{D5CDD505-2E9C-101B-9397-08002B2CF9AE}" pid="187" name="hmcheck_result_89ebd7ec428242b0a8ff2c090e7dd28f_type">
    <vt:i4>5</vt:i4>
  </property>
  <property fmtid="{D5CDD505-2E9C-101B-9397-08002B2CF9AE}" pid="188" name="hmcheck_result_89ebd7ec428242b0a8ff2c090e7dd28f_modifiedtype">
    <vt:i4>0</vt:i4>
  </property>
  <property fmtid="{D5CDD505-2E9C-101B-9397-08002B2CF9AE}" pid="189" name="hmcheck_result_e3094986ecaf4ac1916ff10f2c870a9f_errorword">
    <vt:lpwstr>达</vt:lpwstr>
  </property>
  <property fmtid="{D5CDD505-2E9C-101B-9397-08002B2CF9AE}" pid="190" name="hmcheck_result_e3094986ecaf4ac1916ff10f2c870a9f_correctwords">
    <vt:lpwstr>["达到"]</vt:lpwstr>
  </property>
  <property fmtid="{D5CDD505-2E9C-101B-9397-08002B2CF9AE}" pid="191" name="hmcheck_result_e3094986ecaf4ac1916ff10f2c870a9f_errordescription">
    <vt:lpwstr>〈动〉到（多指抽象事物或程度）：达得到｜达不到｜目的没有～｜～国际水平。</vt:lpwstr>
  </property>
  <property fmtid="{D5CDD505-2E9C-101B-9397-08002B2CF9AE}" pid="192" name="hmcheck_result_e3094986ecaf4ac1916ff10f2c870a9f_level">
    <vt:i4>1</vt:i4>
  </property>
  <property fmtid="{D5CDD505-2E9C-101B-9397-08002B2CF9AE}" pid="193" name="hmcheck_result_e3094986ecaf4ac1916ff10f2c870a9f_type">
    <vt:i4>0</vt:i4>
  </property>
  <property fmtid="{D5CDD505-2E9C-101B-9397-08002B2CF9AE}" pid="194" name="hmcheck_result_e3094986ecaf4ac1916ff10f2c870a9f_modifiedtype">
    <vt:i4>2</vt:i4>
  </property>
  <property fmtid="{D5CDD505-2E9C-101B-9397-08002B2CF9AE}" pid="195" name="hmcheck_result_d6cf7461bec74f34aa40f78cb89a8805_errorword">
    <vt:lpwstr>达</vt:lpwstr>
  </property>
  <property fmtid="{D5CDD505-2E9C-101B-9397-08002B2CF9AE}" pid="196" name="hmcheck_result_d6cf7461bec74f34aa40f78cb89a8805_correctwords">
    <vt:lpwstr>["达到"]</vt:lpwstr>
  </property>
  <property fmtid="{D5CDD505-2E9C-101B-9397-08002B2CF9AE}" pid="197" name="hmcheck_result_d6cf7461bec74f34aa40f78cb89a8805_errordescription">
    <vt:lpwstr>〈动〉到（多指抽象事物或程度）：达得到｜达不到｜目的没有～｜～国际水平。</vt:lpwstr>
  </property>
  <property fmtid="{D5CDD505-2E9C-101B-9397-08002B2CF9AE}" pid="198" name="hmcheck_result_d6cf7461bec74f34aa40f78cb89a8805_level">
    <vt:i4>1</vt:i4>
  </property>
  <property fmtid="{D5CDD505-2E9C-101B-9397-08002B2CF9AE}" pid="199" name="hmcheck_result_d6cf7461bec74f34aa40f78cb89a8805_type">
    <vt:i4>0</vt:i4>
  </property>
  <property fmtid="{D5CDD505-2E9C-101B-9397-08002B2CF9AE}" pid="200" name="hmcheck_result_d6cf7461bec74f34aa40f78cb89a8805_modifiedtype">
    <vt:i4>0</vt:i4>
  </property>
  <property fmtid="{D5CDD505-2E9C-101B-9397-08002B2CF9AE}" pid="201" name="hmcheck_result_a2c283b2637a4e11a7013bcbb5e8fbc9_errorword">
    <vt:lpwstr>-</vt:lpwstr>
  </property>
  <property fmtid="{D5CDD505-2E9C-101B-9397-08002B2CF9AE}" pid="202" name="hmcheck_result_a2c283b2637a4e11a7013bcbb5e8fbc9_correctwords">
    <vt:lpwstr>["—"]</vt:lpwstr>
  </property>
  <property fmtid="{D5CDD505-2E9C-101B-9397-08002B2CF9AE}" pid="203" name="hmcheck_result_a2c283b2637a4e11a7013bcbb5e8fbc9_errordescription">
    <vt:lpwstr>根据国标GB/T 15834-2011《标点符号用法》中的4.13.3.2节，标识相关项目（如时间、地域等）的起止，以及标识数值范围（由阿拉伯数字或汉字数字构成）的起止时，通常使用长横线或长浪纹线。如“25～30g”“2011年2月3日—10日”。</vt:lpwstr>
  </property>
  <property fmtid="{D5CDD505-2E9C-101B-9397-08002B2CF9AE}" pid="204" name="hmcheck_result_a2c283b2637a4e11a7013bcbb5e8fbc9_level">
    <vt:i4>1</vt:i4>
  </property>
  <property fmtid="{D5CDD505-2E9C-101B-9397-08002B2CF9AE}" pid="205" name="hmcheck_result_a2c283b2637a4e11a7013bcbb5e8fbc9_type">
    <vt:i4>1</vt:i4>
  </property>
  <property fmtid="{D5CDD505-2E9C-101B-9397-08002B2CF9AE}" pid="206" name="hmcheck_result_a2c283b2637a4e11a7013bcbb5e8fbc9_modifiedtype">
    <vt:i4>0</vt:i4>
  </property>
  <property fmtid="{D5CDD505-2E9C-101B-9397-08002B2CF9AE}" pid="207" name="hmcheck_result_6f1c8776188743fe99e62999ce2ad743_errorword">
    <vt:lpwstr>-</vt:lpwstr>
  </property>
  <property fmtid="{D5CDD505-2E9C-101B-9397-08002B2CF9AE}" pid="208" name="hmcheck_result_6f1c8776188743fe99e62999ce2ad743_correctwords">
    <vt:lpwstr>["—"]</vt:lpwstr>
  </property>
  <property fmtid="{D5CDD505-2E9C-101B-9397-08002B2CF9AE}" pid="209" name="hmcheck_result_6f1c8776188743fe99e62999ce2ad743_errordescription">
    <vt:lpwstr>根据国标GB/T 15834-2011《标点符号用法》中的4.13.3.2节，标识相关项目（如时间、地域等）的起止，以及标识数值范围（由阿拉伯数字或汉字数字构成）的起止时，通常使用长横线或长浪纹线。如“25～30g”“2011年2月3日—10日”。</vt:lpwstr>
  </property>
  <property fmtid="{D5CDD505-2E9C-101B-9397-08002B2CF9AE}" pid="210" name="hmcheck_result_6f1c8776188743fe99e62999ce2ad743_level">
    <vt:i4>1</vt:i4>
  </property>
  <property fmtid="{D5CDD505-2E9C-101B-9397-08002B2CF9AE}" pid="211" name="hmcheck_result_6f1c8776188743fe99e62999ce2ad743_type">
    <vt:i4>1</vt:i4>
  </property>
  <property fmtid="{D5CDD505-2E9C-101B-9397-08002B2CF9AE}" pid="212" name="hmcheck_result_6f1c8776188743fe99e62999ce2ad743_modifiedtype">
    <vt:i4>0</vt:i4>
  </property>
  <property fmtid="{D5CDD505-2E9C-101B-9397-08002B2CF9AE}" pid="213" name="hmcheck_result_de525abc005a45b1bfae701b20107eab_errorword">
    <vt:lpwstr>滚边</vt:lpwstr>
  </property>
  <property fmtid="{D5CDD505-2E9C-101B-9397-08002B2CF9AE}" pid="214" name="hmcheck_result_de525abc005a45b1bfae701b20107eab_correctwords">
    <vt:lpwstr>["绲边"]</vt:lpwstr>
  </property>
  <property fmtid="{D5CDD505-2E9C-101B-9397-08002B2CF9AE}" pid="215" name="hmcheck_result_de525abc005a45b1bfae701b20107eab_level">
    <vt:i4>1</vt:i4>
  </property>
  <property fmtid="{D5CDD505-2E9C-101B-9397-08002B2CF9AE}" pid="216" name="hmcheck_result_de525abc005a45b1bfae701b20107eab_type">
    <vt:i4>5</vt:i4>
  </property>
  <property fmtid="{D5CDD505-2E9C-101B-9397-08002B2CF9AE}" pid="217" name="hmcheck_result_de525abc005a45b1bfae701b20107eab_modifiedtype">
    <vt:i4>0</vt:i4>
  </property>
  <property fmtid="{D5CDD505-2E9C-101B-9397-08002B2CF9AE}" pid="218" name="hmcheck_result_71017960ae424135a29231cd02b88bb6_errorword">
    <vt:lpwstr>滚边</vt:lpwstr>
  </property>
  <property fmtid="{D5CDD505-2E9C-101B-9397-08002B2CF9AE}" pid="219" name="hmcheck_result_71017960ae424135a29231cd02b88bb6_correctwords">
    <vt:lpwstr>["绲边"]</vt:lpwstr>
  </property>
  <property fmtid="{D5CDD505-2E9C-101B-9397-08002B2CF9AE}" pid="220" name="hmcheck_result_71017960ae424135a29231cd02b88bb6_level">
    <vt:i4>1</vt:i4>
  </property>
  <property fmtid="{D5CDD505-2E9C-101B-9397-08002B2CF9AE}" pid="221" name="hmcheck_result_71017960ae424135a29231cd02b88bb6_type">
    <vt:i4>5</vt:i4>
  </property>
  <property fmtid="{D5CDD505-2E9C-101B-9397-08002B2CF9AE}" pid="222" name="hmcheck_result_71017960ae424135a29231cd02b88bb6_modifiedtype">
    <vt:i4>0</vt:i4>
  </property>
  <property fmtid="{D5CDD505-2E9C-101B-9397-08002B2CF9AE}" pid="223" name="hmcheck_result_e22a769129f64cd09b442899e931eb1b_errorword">
    <vt:lpwstr>滚边</vt:lpwstr>
  </property>
  <property fmtid="{D5CDD505-2E9C-101B-9397-08002B2CF9AE}" pid="224" name="hmcheck_result_e22a769129f64cd09b442899e931eb1b_correctwords">
    <vt:lpwstr>["绲边"]</vt:lpwstr>
  </property>
  <property fmtid="{D5CDD505-2E9C-101B-9397-08002B2CF9AE}" pid="225" name="hmcheck_result_e22a769129f64cd09b442899e931eb1b_level">
    <vt:i4>1</vt:i4>
  </property>
  <property fmtid="{D5CDD505-2E9C-101B-9397-08002B2CF9AE}" pid="226" name="hmcheck_result_e22a769129f64cd09b442899e931eb1b_type">
    <vt:i4>5</vt:i4>
  </property>
  <property fmtid="{D5CDD505-2E9C-101B-9397-08002B2CF9AE}" pid="227" name="hmcheck_result_e22a769129f64cd09b442899e931eb1b_modifiedtype">
    <vt:i4>0</vt:i4>
  </property>
  <property fmtid="{D5CDD505-2E9C-101B-9397-08002B2CF9AE}" pid="228" name="hmcheck_result_f874a81790444e78b4e29b1ba928e6a2_errorword">
    <vt:lpwstr>焊焊</vt:lpwstr>
  </property>
  <property fmtid="{D5CDD505-2E9C-101B-9397-08002B2CF9AE}" pid="229" name="hmcheck_result_f874a81790444e78b4e29b1ba928e6a2_correctwords">
    <vt:lpwstr>["焊"]</vt:lpwstr>
  </property>
  <property fmtid="{D5CDD505-2E9C-101B-9397-08002B2CF9AE}" pid="230" name="hmcheck_result_f874a81790444e78b4e29b1ba928e6a2_level">
    <vt:i4>1</vt:i4>
  </property>
  <property fmtid="{D5CDD505-2E9C-101B-9397-08002B2CF9AE}" pid="231" name="hmcheck_result_f874a81790444e78b4e29b1ba928e6a2_type">
    <vt:i4>0</vt:i4>
  </property>
  <property fmtid="{D5CDD505-2E9C-101B-9397-08002B2CF9AE}" pid="232" name="hmcheck_result_f874a81790444e78b4e29b1ba928e6a2_modifiedtype">
    <vt:i4>0</vt:i4>
  </property>
  <property fmtid="{D5CDD505-2E9C-101B-9397-08002B2CF9AE}" pid="233" name="hmcheck_result_1022127c1e664e13be6fa6ee30245fea_errorword">
    <vt:lpwstr>30-50万</vt:lpwstr>
  </property>
  <property fmtid="{D5CDD505-2E9C-101B-9397-08002B2CF9AE}" pid="234" name="hmcheck_result_1022127c1e664e13be6fa6ee30245fea_correctwords">
    <vt:lpwstr>["30万-50万"]</vt:lpwstr>
  </property>
  <property fmtid="{D5CDD505-2E9C-101B-9397-08002B2CF9AE}" pid="235" name="hmcheck_result_1022127c1e664e13be6fa6ee30245fea_errordescription">
    <vt:lpwstr>根据《现代汉语标点符号数字用法规范手册》，数字表示范围两边需要使用统一的格式。如：“1-2万”改为“1万-2万”。</vt:lpwstr>
  </property>
  <property fmtid="{D5CDD505-2E9C-101B-9397-08002B2CF9AE}" pid="236" name="hmcheck_result_1022127c1e664e13be6fa6ee30245fea_level">
    <vt:i4>1</vt:i4>
  </property>
  <property fmtid="{D5CDD505-2E9C-101B-9397-08002B2CF9AE}" pid="237" name="hmcheck_result_1022127c1e664e13be6fa6ee30245fea_type">
    <vt:i4>9</vt:i4>
  </property>
  <property fmtid="{D5CDD505-2E9C-101B-9397-08002B2CF9AE}" pid="238" name="hmcheck_result_1022127c1e664e13be6fa6ee30245fea_modifiedtype">
    <vt:i4>2</vt:i4>
  </property>
  <property fmtid="{D5CDD505-2E9C-101B-9397-08002B2CF9AE}" pid="239" name="hmcheck_result_cb75b32804cd4de6b3c855c639fa70b0_errorword">
    <vt:lpwstr>胶粘剂</vt:lpwstr>
  </property>
  <property fmtid="{D5CDD505-2E9C-101B-9397-08002B2CF9AE}" pid="240" name="hmcheck_result_cb75b32804cd4de6b3c855c639fa70b0_correctwords">
    <vt:lpwstr>["胶黏剂"]</vt:lpwstr>
  </property>
  <property fmtid="{D5CDD505-2E9C-101B-9397-08002B2CF9AE}" pid="241" name="hmcheck_result_cb75b32804cd4de6b3c855c639fa70b0_level">
    <vt:i4>1</vt:i4>
  </property>
  <property fmtid="{D5CDD505-2E9C-101B-9397-08002B2CF9AE}" pid="242" name="hmcheck_result_cb75b32804cd4de6b3c855c639fa70b0_type">
    <vt:i4>5</vt:i4>
  </property>
  <property fmtid="{D5CDD505-2E9C-101B-9397-08002B2CF9AE}" pid="243" name="hmcheck_result_cb75b32804cd4de6b3c855c639fa70b0_modifiedtype">
    <vt:i4>2</vt:i4>
  </property>
  <property fmtid="{D5CDD505-2E9C-101B-9397-08002B2CF9AE}" pid="244" name="hmcheck_result_755b2ba214c54196946971ffe5d6e99e_errorword">
    <vt:lpwstr>胶粘剂</vt:lpwstr>
  </property>
  <property fmtid="{D5CDD505-2E9C-101B-9397-08002B2CF9AE}" pid="245" name="hmcheck_result_755b2ba214c54196946971ffe5d6e99e_correctwords">
    <vt:lpwstr>["胶黏剂"]</vt:lpwstr>
  </property>
  <property fmtid="{D5CDD505-2E9C-101B-9397-08002B2CF9AE}" pid="246" name="hmcheck_result_755b2ba214c54196946971ffe5d6e99e_level">
    <vt:i4>1</vt:i4>
  </property>
  <property fmtid="{D5CDD505-2E9C-101B-9397-08002B2CF9AE}" pid="247" name="hmcheck_result_755b2ba214c54196946971ffe5d6e99e_type">
    <vt:i4>5</vt:i4>
  </property>
  <property fmtid="{D5CDD505-2E9C-101B-9397-08002B2CF9AE}" pid="248" name="hmcheck_result_755b2ba214c54196946971ffe5d6e99e_modifiedtype">
    <vt:i4>2</vt:i4>
  </property>
  <property fmtid="{D5CDD505-2E9C-101B-9397-08002B2CF9AE}" pid="249" name="hmcheck_result_3a55ff6cc60647f8860fbc886d24b60c_errorword">
    <vt:lpwstr>其它</vt:lpwstr>
  </property>
  <property fmtid="{D5CDD505-2E9C-101B-9397-08002B2CF9AE}" pid="250" name="hmcheck_result_3a55ff6cc60647f8860fbc886d24b60c_correctwords">
    <vt:lpwstr>["其他"]</vt:lpwstr>
  </property>
  <property fmtid="{D5CDD505-2E9C-101B-9397-08002B2CF9AE}" pid="251" name="hmcheck_result_3a55ff6cc60647f8860fbc886d24b60c_level">
    <vt:i4>1</vt:i4>
  </property>
  <property fmtid="{D5CDD505-2E9C-101B-9397-08002B2CF9AE}" pid="252" name="hmcheck_result_3a55ff6cc60647f8860fbc886d24b60c_type">
    <vt:i4>5</vt:i4>
  </property>
  <property fmtid="{D5CDD505-2E9C-101B-9397-08002B2CF9AE}" pid="253" name="hmcheck_result_3a55ff6cc60647f8860fbc886d24b60c_modifiedtype">
    <vt:i4>2</vt:i4>
  </property>
  <property fmtid="{D5CDD505-2E9C-101B-9397-08002B2CF9AE}" pid="254" name="hmcheck_result_0efdcbc050934a6da534aec2374aa9a0_errorword">
    <vt:lpwstr>-</vt:lpwstr>
  </property>
  <property fmtid="{D5CDD505-2E9C-101B-9397-08002B2CF9AE}" pid="255" name="hmcheck_result_0efdcbc050934a6da534aec2374aa9a0_correctwords">
    <vt:lpwstr>["%～"]</vt:lpwstr>
  </property>
  <property fmtid="{D5CDD505-2E9C-101B-9397-08002B2CF9AE}" pid="256" name="hmcheck_result_0efdcbc050934a6da534aec2374aa9a0_errordescription">
    <vt:lpwstr>百分号用法检查</vt:lpwstr>
  </property>
  <property fmtid="{D5CDD505-2E9C-101B-9397-08002B2CF9AE}" pid="257" name="hmcheck_result_0efdcbc050934a6da534aec2374aa9a0_level">
    <vt:i4>1</vt:i4>
  </property>
  <property fmtid="{D5CDD505-2E9C-101B-9397-08002B2CF9AE}" pid="258" name="hmcheck_result_0efdcbc050934a6da534aec2374aa9a0_type">
    <vt:i4>9</vt:i4>
  </property>
  <property fmtid="{D5CDD505-2E9C-101B-9397-08002B2CF9AE}" pid="259" name="hmcheck_result_0efdcbc050934a6da534aec2374aa9a0_modifiedtype">
    <vt:i4>0</vt:i4>
  </property>
  <property fmtid="{D5CDD505-2E9C-101B-9397-08002B2CF9AE}" pid="260" name="hmcheck_result_22748ddd186446389ed9575a71010587_errorword">
    <vt:lpwstr>）</vt:lpwstr>
  </property>
  <property fmtid="{D5CDD505-2E9C-101B-9397-08002B2CF9AE}" pid="261" name="hmcheck_result_22748ddd186446389ed9575a71010587_correctwords">
    <vt:lpwstr>[]</vt:lpwstr>
  </property>
  <property fmtid="{D5CDD505-2E9C-101B-9397-08002B2CF9AE}" pid="262" name="hmcheck_result_22748ddd186446389ed9575a71010587_errordescription">
    <vt:lpwstr>标点符号）缺少成对</vt:lpwstr>
  </property>
  <property fmtid="{D5CDD505-2E9C-101B-9397-08002B2CF9AE}" pid="263" name="hmcheck_result_22748ddd186446389ed9575a71010587_level">
    <vt:i4>1</vt:i4>
  </property>
  <property fmtid="{D5CDD505-2E9C-101B-9397-08002B2CF9AE}" pid="264" name="hmcheck_result_22748ddd186446389ed9575a71010587_type">
    <vt:i4>1</vt:i4>
  </property>
  <property fmtid="{D5CDD505-2E9C-101B-9397-08002B2CF9AE}" pid="265" name="hmcheck_result_22748ddd186446389ed9575a71010587_modifiedtype">
    <vt:i4>0</vt:i4>
  </property>
  <property fmtid="{D5CDD505-2E9C-101B-9397-08002B2CF9AE}" pid="266" name="hmcheck_result_9529d4ef7dbc46f784bcf0f998b37309_errorword">
    <vt:lpwstr>滚边</vt:lpwstr>
  </property>
  <property fmtid="{D5CDD505-2E9C-101B-9397-08002B2CF9AE}" pid="267" name="hmcheck_result_9529d4ef7dbc46f784bcf0f998b37309_correctwords">
    <vt:lpwstr>["绲边"]</vt:lpwstr>
  </property>
  <property fmtid="{D5CDD505-2E9C-101B-9397-08002B2CF9AE}" pid="268" name="hmcheck_result_9529d4ef7dbc46f784bcf0f998b37309_level">
    <vt:i4>1</vt:i4>
  </property>
  <property fmtid="{D5CDD505-2E9C-101B-9397-08002B2CF9AE}" pid="269" name="hmcheck_result_9529d4ef7dbc46f784bcf0f998b37309_type">
    <vt:i4>5</vt:i4>
  </property>
  <property fmtid="{D5CDD505-2E9C-101B-9397-08002B2CF9AE}" pid="270" name="hmcheck_result_9529d4ef7dbc46f784bcf0f998b37309_modifiedtype">
    <vt:i4>0</vt:i4>
  </property>
  <property fmtid="{D5CDD505-2E9C-101B-9397-08002B2CF9AE}" pid="271" name="hmcheck_result_87d68e4deb10470e833955bc82be4568_errorword">
    <vt:lpwstr>产</vt:lpwstr>
  </property>
  <property fmtid="{D5CDD505-2E9C-101B-9397-08002B2CF9AE}" pid="272" name="hmcheck_result_87d68e4deb10470e833955bc82be4568_correctwords">
    <vt:lpwstr>["产品"]</vt:lpwstr>
  </property>
  <property fmtid="{D5CDD505-2E9C-101B-9397-08002B2CF9AE}" pid="273" name="hmcheck_result_87d68e4deb10470e833955bc82be4568_errordescription">
    <vt:lpwstr>〈名〉生产出来的物品：农～｜畜～｜～出厂都要经过检验。</vt:lpwstr>
  </property>
  <property fmtid="{D5CDD505-2E9C-101B-9397-08002B2CF9AE}" pid="274" name="hmcheck_result_87d68e4deb10470e833955bc82be4568_level">
    <vt:i4>1</vt:i4>
  </property>
  <property fmtid="{D5CDD505-2E9C-101B-9397-08002B2CF9AE}" pid="275" name="hmcheck_result_87d68e4deb10470e833955bc82be4568_type">
    <vt:i4>0</vt:i4>
  </property>
  <property fmtid="{D5CDD505-2E9C-101B-9397-08002B2CF9AE}" pid="276" name="hmcheck_result_87d68e4deb10470e833955bc82be4568_modifiedtype">
    <vt:i4>0</vt:i4>
  </property>
  <property fmtid="{D5CDD505-2E9C-101B-9397-08002B2CF9AE}" pid="277" name="hmcheck_result_41c2ec3e8f0545cfa155e114a7e3465e_errorword">
    <vt:lpwstr>%</vt:lpwstr>
  </property>
  <property fmtid="{D5CDD505-2E9C-101B-9397-08002B2CF9AE}" pid="278" name="hmcheck_result_41c2ec3e8f0545cfa155e114a7e3465e_correctwords">
    <vt:lpwstr>["%的"]</vt:lpwstr>
  </property>
  <property fmtid="{D5CDD505-2E9C-101B-9397-08002B2CF9AE}" pid="279" name="hmcheck_result_41c2ec3e8f0545cfa155e114a7e3465e_level">
    <vt:i4>1</vt:i4>
  </property>
  <property fmtid="{D5CDD505-2E9C-101B-9397-08002B2CF9AE}" pid="280" name="hmcheck_result_41c2ec3e8f0545cfa155e114a7e3465e_type">
    <vt:i4>0</vt:i4>
  </property>
  <property fmtid="{D5CDD505-2E9C-101B-9397-08002B2CF9AE}" pid="281" name="hmcheck_result_41c2ec3e8f0545cfa155e114a7e3465e_modifiedtype">
    <vt:i4>2</vt:i4>
  </property>
  <property fmtid="{D5CDD505-2E9C-101B-9397-08002B2CF9AE}" pid="282" name="hmcheck_result_a32f9d56158b40cbab1b032c037b1b9c_errorword">
    <vt:lpwstr>滚边</vt:lpwstr>
  </property>
  <property fmtid="{D5CDD505-2E9C-101B-9397-08002B2CF9AE}" pid="283" name="hmcheck_result_a32f9d56158b40cbab1b032c037b1b9c_correctwords">
    <vt:lpwstr>["绲边"]</vt:lpwstr>
  </property>
  <property fmtid="{D5CDD505-2E9C-101B-9397-08002B2CF9AE}" pid="284" name="hmcheck_result_a32f9d56158b40cbab1b032c037b1b9c_level">
    <vt:i4>1</vt:i4>
  </property>
  <property fmtid="{D5CDD505-2E9C-101B-9397-08002B2CF9AE}" pid="285" name="hmcheck_result_a32f9d56158b40cbab1b032c037b1b9c_type">
    <vt:i4>5</vt:i4>
  </property>
  <property fmtid="{D5CDD505-2E9C-101B-9397-08002B2CF9AE}" pid="286" name="hmcheck_result_a32f9d56158b40cbab1b032c037b1b9c_modifiedtype">
    <vt:i4>0</vt:i4>
  </property>
  <property fmtid="{D5CDD505-2E9C-101B-9397-08002B2CF9AE}" pid="287" name="hmcheck_result_d67e80a7e2f54421a075c62efd4f9065_errorword">
    <vt:lpwstr>滚边</vt:lpwstr>
  </property>
  <property fmtid="{D5CDD505-2E9C-101B-9397-08002B2CF9AE}" pid="288" name="hmcheck_result_d67e80a7e2f54421a075c62efd4f9065_correctwords">
    <vt:lpwstr>["绲边"]</vt:lpwstr>
  </property>
  <property fmtid="{D5CDD505-2E9C-101B-9397-08002B2CF9AE}" pid="289" name="hmcheck_result_d67e80a7e2f54421a075c62efd4f9065_level">
    <vt:i4>1</vt:i4>
  </property>
  <property fmtid="{D5CDD505-2E9C-101B-9397-08002B2CF9AE}" pid="290" name="hmcheck_result_d67e80a7e2f54421a075c62efd4f9065_type">
    <vt:i4>5</vt:i4>
  </property>
  <property fmtid="{D5CDD505-2E9C-101B-9397-08002B2CF9AE}" pid="291" name="hmcheck_result_d67e80a7e2f54421a075c62efd4f9065_modifiedtype">
    <vt:i4>0</vt:i4>
  </property>
  <property fmtid="{D5CDD505-2E9C-101B-9397-08002B2CF9AE}" pid="292" name="hmcheck_result_a38e7849be0b4268a3c004fffe3533d6_errorword">
    <vt:lpwstr>滚边</vt:lpwstr>
  </property>
  <property fmtid="{D5CDD505-2E9C-101B-9397-08002B2CF9AE}" pid="293" name="hmcheck_result_a38e7849be0b4268a3c004fffe3533d6_correctwords">
    <vt:lpwstr>["绲边"]</vt:lpwstr>
  </property>
  <property fmtid="{D5CDD505-2E9C-101B-9397-08002B2CF9AE}" pid="294" name="hmcheck_result_a38e7849be0b4268a3c004fffe3533d6_level">
    <vt:i4>1</vt:i4>
  </property>
  <property fmtid="{D5CDD505-2E9C-101B-9397-08002B2CF9AE}" pid="295" name="hmcheck_result_a38e7849be0b4268a3c004fffe3533d6_type">
    <vt:i4>5</vt:i4>
  </property>
  <property fmtid="{D5CDD505-2E9C-101B-9397-08002B2CF9AE}" pid="296" name="hmcheck_result_a38e7849be0b4268a3c004fffe3533d6_modifiedtype">
    <vt:i4>0</vt:i4>
  </property>
  <property fmtid="{D5CDD505-2E9C-101B-9397-08002B2CF9AE}" pid="297" name="hmcheck_result_696e65256aac471f9f2b5eaa827ed0dd_errorword">
    <vt:lpwstr>滚边</vt:lpwstr>
  </property>
  <property fmtid="{D5CDD505-2E9C-101B-9397-08002B2CF9AE}" pid="298" name="hmcheck_result_696e65256aac471f9f2b5eaa827ed0dd_correctwords">
    <vt:lpwstr>["绲边"]</vt:lpwstr>
  </property>
  <property fmtid="{D5CDD505-2E9C-101B-9397-08002B2CF9AE}" pid="299" name="hmcheck_result_696e65256aac471f9f2b5eaa827ed0dd_level">
    <vt:i4>1</vt:i4>
  </property>
  <property fmtid="{D5CDD505-2E9C-101B-9397-08002B2CF9AE}" pid="300" name="hmcheck_result_696e65256aac471f9f2b5eaa827ed0dd_type">
    <vt:i4>5</vt:i4>
  </property>
  <property fmtid="{D5CDD505-2E9C-101B-9397-08002B2CF9AE}" pid="301" name="hmcheck_result_696e65256aac471f9f2b5eaa827ed0dd_modifiedtype">
    <vt:i4>0</vt:i4>
  </property>
  <property fmtid="{D5CDD505-2E9C-101B-9397-08002B2CF9AE}" pid="302" name="hmcheck_result_e43483835ea142a1a252aabc5da13334_errorword">
    <vt:lpwstr>~</vt:lpwstr>
  </property>
  <property fmtid="{D5CDD505-2E9C-101B-9397-08002B2CF9AE}" pid="303" name="hmcheck_result_e43483835ea142a1a252aabc5da13334_correctwords">
    <vt:lpwstr>["～"]</vt:lpwstr>
  </property>
  <property fmtid="{D5CDD505-2E9C-101B-9397-08002B2CF9AE}" pid="304" name="hmcheck_result_e43483835ea142a1a252aabc5da13334_errordescription">
    <vt:lpwstr>时间连接号使用不恰当</vt:lpwstr>
  </property>
  <property fmtid="{D5CDD505-2E9C-101B-9397-08002B2CF9AE}" pid="305" name="hmcheck_result_e43483835ea142a1a252aabc5da13334_level">
    <vt:i4>1</vt:i4>
  </property>
  <property fmtid="{D5CDD505-2E9C-101B-9397-08002B2CF9AE}" pid="306" name="hmcheck_result_e43483835ea142a1a252aabc5da13334_type">
    <vt:i4>1</vt:i4>
  </property>
  <property fmtid="{D5CDD505-2E9C-101B-9397-08002B2CF9AE}" pid="307" name="hmcheck_result_e43483835ea142a1a252aabc5da13334_modifiedtype">
    <vt:i4>0</vt:i4>
  </property>
  <property fmtid="{D5CDD505-2E9C-101B-9397-08002B2CF9AE}" pid="308" name="hmcheck_result_661cc59aa8a645dfbf266f548a7fa0d5_errorword">
    <vt:lpwstr>胶粘剂</vt:lpwstr>
  </property>
  <property fmtid="{D5CDD505-2E9C-101B-9397-08002B2CF9AE}" pid="309" name="hmcheck_result_661cc59aa8a645dfbf266f548a7fa0d5_correctwords">
    <vt:lpwstr>["胶黏剂"]</vt:lpwstr>
  </property>
  <property fmtid="{D5CDD505-2E9C-101B-9397-08002B2CF9AE}" pid="310" name="hmcheck_result_661cc59aa8a645dfbf266f548a7fa0d5_level">
    <vt:i4>1</vt:i4>
  </property>
  <property fmtid="{D5CDD505-2E9C-101B-9397-08002B2CF9AE}" pid="311" name="hmcheck_result_661cc59aa8a645dfbf266f548a7fa0d5_type">
    <vt:i4>5</vt:i4>
  </property>
  <property fmtid="{D5CDD505-2E9C-101B-9397-08002B2CF9AE}" pid="312" name="hmcheck_result_661cc59aa8a645dfbf266f548a7fa0d5_modifiedtype">
    <vt:i4>2</vt:i4>
  </property>
  <property fmtid="{D5CDD505-2E9C-101B-9397-08002B2CF9AE}" pid="313" name="hmcheck_result_1303c68f22594a439884108b3b8ec6af_errorword">
    <vt:lpwstr>〔2014〕021号</vt:lpwstr>
  </property>
  <property fmtid="{D5CDD505-2E9C-101B-9397-08002B2CF9AE}" pid="314" name="hmcheck_result_1303c68f22594a439884108b3b8ec6af_correctwords">
    <vt:lpwstr>["〔2014〕21号"]</vt:lpwstr>
  </property>
  <property fmtid="{D5CDD505-2E9C-101B-9397-08002B2CF9AE}" pid="315" name="hmcheck_result_1303c68f22594a439884108b3b8ec6af_errordescription">
    <vt:lpwstr>发文字号格式错误</vt:lpwstr>
  </property>
  <property fmtid="{D5CDD505-2E9C-101B-9397-08002B2CF9AE}" pid="316" name="hmcheck_result_1303c68f22594a439884108b3b8ec6af_level">
    <vt:i4>1</vt:i4>
  </property>
  <property fmtid="{D5CDD505-2E9C-101B-9397-08002B2CF9AE}" pid="317" name="hmcheck_result_1303c68f22594a439884108b3b8ec6af_type">
    <vt:i4>9</vt:i4>
  </property>
  <property fmtid="{D5CDD505-2E9C-101B-9397-08002B2CF9AE}" pid="318" name="hmcheck_result_1303c68f22594a439884108b3b8ec6af_modifiedtype">
    <vt:i4>0</vt:i4>
  </property>
  <property fmtid="{D5CDD505-2E9C-101B-9397-08002B2CF9AE}" pid="319" name="hmcheck_result_8724d402b5ee4237aa4904a696f07ac7_errorword">
    <vt:lpwstr>达</vt:lpwstr>
  </property>
  <property fmtid="{D5CDD505-2E9C-101B-9397-08002B2CF9AE}" pid="320" name="hmcheck_result_8724d402b5ee4237aa4904a696f07ac7_correctwords">
    <vt:lpwstr>["达到"]</vt:lpwstr>
  </property>
  <property fmtid="{D5CDD505-2E9C-101B-9397-08002B2CF9AE}" pid="321" name="hmcheck_result_8724d402b5ee4237aa4904a696f07ac7_errordescription">
    <vt:lpwstr>〈动〉到（多指抽象事物或程度）：达得到｜达不到｜目的没有～｜～国际水平。</vt:lpwstr>
  </property>
  <property fmtid="{D5CDD505-2E9C-101B-9397-08002B2CF9AE}" pid="322" name="hmcheck_result_8724d402b5ee4237aa4904a696f07ac7_level">
    <vt:i4>1</vt:i4>
  </property>
  <property fmtid="{D5CDD505-2E9C-101B-9397-08002B2CF9AE}" pid="323" name="hmcheck_result_8724d402b5ee4237aa4904a696f07ac7_type">
    <vt:i4>0</vt:i4>
  </property>
  <property fmtid="{D5CDD505-2E9C-101B-9397-08002B2CF9AE}" pid="324" name="hmcheck_result_8724d402b5ee4237aa4904a696f07ac7_modifiedtype">
    <vt:i4>2</vt:i4>
  </property>
  <property fmtid="{D5CDD505-2E9C-101B-9397-08002B2CF9AE}" pid="325" name="hmcheck_result_7ff68495916a43c18a6803128de92930_errorword">
    <vt:lpwstr>达</vt:lpwstr>
  </property>
  <property fmtid="{D5CDD505-2E9C-101B-9397-08002B2CF9AE}" pid="326" name="hmcheck_result_7ff68495916a43c18a6803128de92930_correctwords">
    <vt:lpwstr>["达到"]</vt:lpwstr>
  </property>
  <property fmtid="{D5CDD505-2E9C-101B-9397-08002B2CF9AE}" pid="327" name="hmcheck_result_7ff68495916a43c18a6803128de92930_errordescription">
    <vt:lpwstr>〈动〉到（多指抽象事物或程度）：达得到｜达不到｜目的没有～｜～国际水平。</vt:lpwstr>
  </property>
  <property fmtid="{D5CDD505-2E9C-101B-9397-08002B2CF9AE}" pid="328" name="hmcheck_result_7ff68495916a43c18a6803128de92930_level">
    <vt:i4>1</vt:i4>
  </property>
  <property fmtid="{D5CDD505-2E9C-101B-9397-08002B2CF9AE}" pid="329" name="hmcheck_result_7ff68495916a43c18a6803128de92930_type">
    <vt:i4>0</vt:i4>
  </property>
  <property fmtid="{D5CDD505-2E9C-101B-9397-08002B2CF9AE}" pid="330" name="hmcheck_result_7ff68495916a43c18a6803128de92930_modifiedtype">
    <vt:i4>2</vt:i4>
  </property>
  <property fmtid="{D5CDD505-2E9C-101B-9397-08002B2CF9AE}" pid="331" name="hmcheck_result_64dc31d3142e4b26ae76d79089609968_errorword">
    <vt:lpwstr>-</vt:lpwstr>
  </property>
  <property fmtid="{D5CDD505-2E9C-101B-9397-08002B2CF9AE}" pid="332" name="hmcheck_result_64dc31d3142e4b26ae76d79089609968_correctwords">
    <vt:lpwstr>["—"]</vt:lpwstr>
  </property>
  <property fmtid="{D5CDD505-2E9C-101B-9397-08002B2CF9AE}" pid="333" name="hmcheck_result_64dc31d3142e4b26ae76d79089609968_errordescription">
    <vt:lpwstr>根据国标GB/T 15834-2011《标点符号用法》中的4.13.3.2节，标识相关项目（如时间、地域等）的起止，以及标识数值范围（由阿拉伯数字或汉字数字构成）的起止时，通常使用长横线或长浪纹线。如“25～30g”“2011年2月3日—10日”。</vt:lpwstr>
  </property>
  <property fmtid="{D5CDD505-2E9C-101B-9397-08002B2CF9AE}" pid="334" name="hmcheck_result_64dc31d3142e4b26ae76d79089609968_level">
    <vt:i4>1</vt:i4>
  </property>
  <property fmtid="{D5CDD505-2E9C-101B-9397-08002B2CF9AE}" pid="335" name="hmcheck_result_64dc31d3142e4b26ae76d79089609968_type">
    <vt:i4>1</vt:i4>
  </property>
  <property fmtid="{D5CDD505-2E9C-101B-9397-08002B2CF9AE}" pid="336" name="hmcheck_result_64dc31d3142e4b26ae76d79089609968_modifiedtype">
    <vt:i4>0</vt:i4>
  </property>
  <property fmtid="{D5CDD505-2E9C-101B-9397-08002B2CF9AE}" pid="337" name="hmcheck_result_d3ce0dffe51442a2bfbb228e11219c6c_errorword">
    <vt:lpwstr>情况将</vt:lpwstr>
  </property>
  <property fmtid="{D5CDD505-2E9C-101B-9397-08002B2CF9AE}" pid="338" name="hmcheck_result_d3ce0dffe51442a2bfbb228e11219c6c_correctwords">
    <vt:lpwstr>["情况"]</vt:lpwstr>
  </property>
  <property fmtid="{D5CDD505-2E9C-101B-9397-08002B2CF9AE}" pid="339" name="hmcheck_result_d3ce0dffe51442a2bfbb228e11219c6c_errordescription">
    <vt:lpwstr>〈名〉❶情形：思想～｜工作～｜～特殊。❷指军事上的变化，泛指事情的变化、动向：这两天前线没有什么～｜他俩的关系最近又有了新的～。</vt:lpwstr>
  </property>
  <property fmtid="{D5CDD505-2E9C-101B-9397-08002B2CF9AE}" pid="340" name="hmcheck_result_d3ce0dffe51442a2bfbb228e11219c6c_level">
    <vt:i4>1</vt:i4>
  </property>
  <property fmtid="{D5CDD505-2E9C-101B-9397-08002B2CF9AE}" pid="341" name="hmcheck_result_d3ce0dffe51442a2bfbb228e11219c6c_type">
    <vt:i4>0</vt:i4>
  </property>
  <property fmtid="{D5CDD505-2E9C-101B-9397-08002B2CF9AE}" pid="342" name="hmcheck_result_d3ce0dffe51442a2bfbb228e11219c6c_modifiedtype">
    <vt:i4>0</vt:i4>
  </property>
  <property fmtid="{D5CDD505-2E9C-101B-9397-08002B2CF9AE}" pid="343" name="hmcheck_result_229f2eb2a54d4bdb8296929cb1c1b074_errorword">
    <vt:lpwstr>~</vt:lpwstr>
  </property>
  <property fmtid="{D5CDD505-2E9C-101B-9397-08002B2CF9AE}" pid="344" name="hmcheck_result_229f2eb2a54d4bdb8296929cb1c1b074_correctwords">
    <vt:lpwstr>["—"]</vt:lpwstr>
  </property>
  <property fmtid="{D5CDD505-2E9C-101B-9397-08002B2CF9AE}" pid="345" name="hmcheck_result_229f2eb2a54d4bdb8296929cb1c1b074_errordescription">
    <vt:lpwstr>时间连接号使用不恰当</vt:lpwstr>
  </property>
  <property fmtid="{D5CDD505-2E9C-101B-9397-08002B2CF9AE}" pid="346" name="hmcheck_result_229f2eb2a54d4bdb8296929cb1c1b074_level">
    <vt:i4>1</vt:i4>
  </property>
  <property fmtid="{D5CDD505-2E9C-101B-9397-08002B2CF9AE}" pid="347" name="hmcheck_result_229f2eb2a54d4bdb8296929cb1c1b074_type">
    <vt:i4>1</vt:i4>
  </property>
  <property fmtid="{D5CDD505-2E9C-101B-9397-08002B2CF9AE}" pid="348" name="hmcheck_result_229f2eb2a54d4bdb8296929cb1c1b074_modifiedtype">
    <vt:i4>0</vt:i4>
  </property>
  <property fmtid="{D5CDD505-2E9C-101B-9397-08002B2CF9AE}" pid="349" name="hmcheck_result_60b20d7e4dc0417c8e61630b9448406a_errorword">
    <vt:lpwstr>II类</vt:lpwstr>
  </property>
  <property fmtid="{D5CDD505-2E9C-101B-9397-08002B2CF9AE}" pid="350" name="hmcheck_result_60b20d7e4dc0417c8e61630b9448406a_correctwords">
    <vt:lpwstr>["Ⅱ类"]</vt:lpwstr>
  </property>
  <property fmtid="{D5CDD505-2E9C-101B-9397-08002B2CF9AE}" pid="351" name="hmcheck_result_60b20d7e4dc0417c8e61630b9448406a_level">
    <vt:i4>1</vt:i4>
  </property>
  <property fmtid="{D5CDD505-2E9C-101B-9397-08002B2CF9AE}" pid="352" name="hmcheck_result_60b20d7e4dc0417c8e61630b9448406a_type">
    <vt:i4>0</vt:i4>
  </property>
  <property fmtid="{D5CDD505-2E9C-101B-9397-08002B2CF9AE}" pid="353" name="hmcheck_result_60b20d7e4dc0417c8e61630b9448406a_modifiedtype">
    <vt:i4>0</vt:i4>
  </property>
  <property fmtid="{D5CDD505-2E9C-101B-9397-08002B2CF9AE}" pid="354" name="hmcheck_result_036f16a569f247a1993e7cd6708858c7_errorword">
    <vt:lpwstr>相对厂</vt:lpwstr>
  </property>
  <property fmtid="{D5CDD505-2E9C-101B-9397-08002B2CF9AE}" pid="355" name="hmcheck_result_036f16a569f247a1993e7cd6708858c7_correctwords">
    <vt:lpwstr>["相对长"]</vt:lpwstr>
  </property>
  <property fmtid="{D5CDD505-2E9C-101B-9397-08002B2CF9AE}" pid="356" name="hmcheck_result_036f16a569f247a1993e7cd6708858c7_level">
    <vt:i4>1</vt:i4>
  </property>
  <property fmtid="{D5CDD505-2E9C-101B-9397-08002B2CF9AE}" pid="357" name="hmcheck_result_036f16a569f247a1993e7cd6708858c7_type">
    <vt:i4>0</vt:i4>
  </property>
  <property fmtid="{D5CDD505-2E9C-101B-9397-08002B2CF9AE}" pid="358" name="hmcheck_result_036f16a569f247a1993e7cd6708858c7_modifiedtype">
    <vt:i4>0</vt:i4>
  </property>
  <property fmtid="{D5CDD505-2E9C-101B-9397-08002B2CF9AE}" pid="359" name="hmcheck_result_7f09f6bd100d44c0bf99aa733046cc29_errorword">
    <vt:lpwstr>III</vt:lpwstr>
  </property>
  <property fmtid="{D5CDD505-2E9C-101B-9397-08002B2CF9AE}" pid="360" name="hmcheck_result_7f09f6bd100d44c0bf99aa733046cc29_correctwords">
    <vt:lpwstr>["Ⅲ"]</vt:lpwstr>
  </property>
  <property fmtid="{D5CDD505-2E9C-101B-9397-08002B2CF9AE}" pid="361" name="hmcheck_result_7f09f6bd100d44c0bf99aa733046cc29_level">
    <vt:i4>1</vt:i4>
  </property>
  <property fmtid="{D5CDD505-2E9C-101B-9397-08002B2CF9AE}" pid="362" name="hmcheck_result_7f09f6bd100d44c0bf99aa733046cc29_type">
    <vt:i4>0</vt:i4>
  </property>
  <property fmtid="{D5CDD505-2E9C-101B-9397-08002B2CF9AE}" pid="363" name="hmcheck_result_7f09f6bd100d44c0bf99aa733046cc29_modifiedtype">
    <vt:i4>0</vt:i4>
  </property>
  <property fmtid="{D5CDD505-2E9C-101B-9397-08002B2CF9AE}" pid="364" name="hmcheck_result_b0fc72db04194bfc99374221f02f8b2c_errorword">
    <vt:lpwstr>滚边</vt:lpwstr>
  </property>
  <property fmtid="{D5CDD505-2E9C-101B-9397-08002B2CF9AE}" pid="365" name="hmcheck_result_b0fc72db04194bfc99374221f02f8b2c_correctwords">
    <vt:lpwstr>["绲边"]</vt:lpwstr>
  </property>
  <property fmtid="{D5CDD505-2E9C-101B-9397-08002B2CF9AE}" pid="366" name="hmcheck_result_b0fc72db04194bfc99374221f02f8b2c_level">
    <vt:i4>1</vt:i4>
  </property>
  <property fmtid="{D5CDD505-2E9C-101B-9397-08002B2CF9AE}" pid="367" name="hmcheck_result_b0fc72db04194bfc99374221f02f8b2c_type">
    <vt:i4>5</vt:i4>
  </property>
  <property fmtid="{D5CDD505-2E9C-101B-9397-08002B2CF9AE}" pid="368" name="hmcheck_result_b0fc72db04194bfc99374221f02f8b2c_modifiedtype">
    <vt:i4>0</vt:i4>
  </property>
  <property fmtid="{D5CDD505-2E9C-101B-9397-08002B2CF9AE}" pid="369" name="hmcheck_result_d6b9510099054148ad1053f2c9a32cc8_errorword">
    <vt:lpwstr>胶粘剂</vt:lpwstr>
  </property>
  <property fmtid="{D5CDD505-2E9C-101B-9397-08002B2CF9AE}" pid="370" name="hmcheck_result_d6b9510099054148ad1053f2c9a32cc8_correctwords">
    <vt:lpwstr>["胶黏剂"]</vt:lpwstr>
  </property>
  <property fmtid="{D5CDD505-2E9C-101B-9397-08002B2CF9AE}" pid="371" name="hmcheck_result_d6b9510099054148ad1053f2c9a32cc8_level">
    <vt:i4>1</vt:i4>
  </property>
  <property fmtid="{D5CDD505-2E9C-101B-9397-08002B2CF9AE}" pid="372" name="hmcheck_result_d6b9510099054148ad1053f2c9a32cc8_type">
    <vt:i4>5</vt:i4>
  </property>
  <property fmtid="{D5CDD505-2E9C-101B-9397-08002B2CF9AE}" pid="373" name="hmcheck_result_d6b9510099054148ad1053f2c9a32cc8_modifiedtype">
    <vt:i4>2</vt:i4>
  </property>
  <property fmtid="{D5CDD505-2E9C-101B-9397-08002B2CF9AE}" pid="374" name="hmcheck_result_fd8c9adb58664173ae77b4157c651cf4_errorword">
    <vt:lpwstr>、或</vt:lpwstr>
  </property>
  <property fmtid="{D5CDD505-2E9C-101B-9397-08002B2CF9AE}" pid="375" name="hmcheck_result_fd8c9adb58664173ae77b4157c651cf4_correctwords">
    <vt:lpwstr>["或"]</vt:lpwstr>
  </property>
  <property fmtid="{D5CDD505-2E9C-101B-9397-08002B2CF9AE}" pid="376" name="hmcheck_result_fd8c9adb58664173ae77b4157c651cf4_level">
    <vt:i4>1</vt:i4>
  </property>
  <property fmtid="{D5CDD505-2E9C-101B-9397-08002B2CF9AE}" pid="377" name="hmcheck_result_fd8c9adb58664173ae77b4157c651cf4_type">
    <vt:i4>0</vt:i4>
  </property>
  <property fmtid="{D5CDD505-2E9C-101B-9397-08002B2CF9AE}" pid="378" name="hmcheck_result_fd8c9adb58664173ae77b4157c651cf4_modifiedtype">
    <vt:i4>2</vt:i4>
  </property>
  <property fmtid="{D5CDD505-2E9C-101B-9397-08002B2CF9AE}" pid="379" name="hmcheck_result_194b54260ea34cbc9a0aab1b583ab1c7_errorword">
    <vt:lpwstr>”，“</vt:lpwstr>
  </property>
  <property fmtid="{D5CDD505-2E9C-101B-9397-08002B2CF9AE}" pid="380" name="hmcheck_result_194b54260ea34cbc9a0aab1b583ab1c7_correctwords">
    <vt:lpwstr>["”“"]</vt:lpwstr>
  </property>
  <property fmtid="{D5CDD505-2E9C-101B-9397-08002B2CF9AE}" pid="381" name="hmcheck_result_194b54260ea34cbc9a0aab1b583ab1c7_errordescription">
    <vt:lpwstr>多个书名号或双引号间不添加额外标点</vt:lpwstr>
  </property>
  <property fmtid="{D5CDD505-2E9C-101B-9397-08002B2CF9AE}" pid="382" name="hmcheck_result_194b54260ea34cbc9a0aab1b583ab1c7_level">
    <vt:i4>1</vt:i4>
  </property>
  <property fmtid="{D5CDD505-2E9C-101B-9397-08002B2CF9AE}" pid="383" name="hmcheck_result_194b54260ea34cbc9a0aab1b583ab1c7_type">
    <vt:i4>1</vt:i4>
  </property>
  <property fmtid="{D5CDD505-2E9C-101B-9397-08002B2CF9AE}" pid="384" name="hmcheck_result_194b54260ea34cbc9a0aab1b583ab1c7_modifiedtype">
    <vt:i4>2</vt:i4>
  </property>
  <property fmtid="{D5CDD505-2E9C-101B-9397-08002B2CF9AE}" pid="385" name="hmcheck_result_5378d07b55734b6f9058b7388407b3de_errorword">
    <vt:lpwstr>”，“</vt:lpwstr>
  </property>
  <property fmtid="{D5CDD505-2E9C-101B-9397-08002B2CF9AE}" pid="386" name="hmcheck_result_5378d07b55734b6f9058b7388407b3de_correctwords">
    <vt:lpwstr>["”“"]</vt:lpwstr>
  </property>
  <property fmtid="{D5CDD505-2E9C-101B-9397-08002B2CF9AE}" pid="387" name="hmcheck_result_5378d07b55734b6f9058b7388407b3de_errordescription">
    <vt:lpwstr>多个书名号或双引号间不添加额外标点</vt:lpwstr>
  </property>
  <property fmtid="{D5CDD505-2E9C-101B-9397-08002B2CF9AE}" pid="388" name="hmcheck_result_5378d07b55734b6f9058b7388407b3de_level">
    <vt:i4>1</vt:i4>
  </property>
  <property fmtid="{D5CDD505-2E9C-101B-9397-08002B2CF9AE}" pid="389" name="hmcheck_result_5378d07b55734b6f9058b7388407b3de_type">
    <vt:i4>1</vt:i4>
  </property>
  <property fmtid="{D5CDD505-2E9C-101B-9397-08002B2CF9AE}" pid="390" name="hmcheck_result_5378d07b55734b6f9058b7388407b3de_modifiedtype">
    <vt:i4>2</vt:i4>
  </property>
  <property fmtid="{D5CDD505-2E9C-101B-9397-08002B2CF9AE}" pid="391" name="hmcheck_result_757db6df430e44a2843fbb8cb8e55b4d_errorword">
    <vt:lpwstr>焊焊</vt:lpwstr>
  </property>
  <property fmtid="{D5CDD505-2E9C-101B-9397-08002B2CF9AE}" pid="392" name="hmcheck_result_757db6df430e44a2843fbb8cb8e55b4d_correctwords">
    <vt:lpwstr>["焊"]</vt:lpwstr>
  </property>
  <property fmtid="{D5CDD505-2E9C-101B-9397-08002B2CF9AE}" pid="393" name="hmcheck_result_757db6df430e44a2843fbb8cb8e55b4d_level">
    <vt:i4>1</vt:i4>
  </property>
  <property fmtid="{D5CDD505-2E9C-101B-9397-08002B2CF9AE}" pid="394" name="hmcheck_result_757db6df430e44a2843fbb8cb8e55b4d_type">
    <vt:i4>0</vt:i4>
  </property>
  <property fmtid="{D5CDD505-2E9C-101B-9397-08002B2CF9AE}" pid="395" name="hmcheck_result_757db6df430e44a2843fbb8cb8e55b4d_modifiedtype">
    <vt:i4>0</vt:i4>
  </property>
  <property fmtid="{D5CDD505-2E9C-101B-9397-08002B2CF9AE}" pid="396" name="hmcheck_result_eb2f326d1e5f4996a7066722c59495b8_errorword">
    <vt:lpwstr>焊焊</vt:lpwstr>
  </property>
  <property fmtid="{D5CDD505-2E9C-101B-9397-08002B2CF9AE}" pid="397" name="hmcheck_result_eb2f326d1e5f4996a7066722c59495b8_correctwords">
    <vt:lpwstr>["焊"]</vt:lpwstr>
  </property>
  <property fmtid="{D5CDD505-2E9C-101B-9397-08002B2CF9AE}" pid="398" name="hmcheck_result_eb2f326d1e5f4996a7066722c59495b8_level">
    <vt:i4>1</vt:i4>
  </property>
  <property fmtid="{D5CDD505-2E9C-101B-9397-08002B2CF9AE}" pid="399" name="hmcheck_result_eb2f326d1e5f4996a7066722c59495b8_type">
    <vt:i4>0</vt:i4>
  </property>
  <property fmtid="{D5CDD505-2E9C-101B-9397-08002B2CF9AE}" pid="400" name="hmcheck_result_eb2f326d1e5f4996a7066722c59495b8_modifiedtype">
    <vt:i4>0</vt:i4>
  </property>
  <property fmtid="{D5CDD505-2E9C-101B-9397-08002B2CF9AE}" pid="401" name="hmcheck_result_238bf46055c04256a9a06db30cd1b4c4_errorword">
    <vt:lpwstr>滚边</vt:lpwstr>
  </property>
  <property fmtid="{D5CDD505-2E9C-101B-9397-08002B2CF9AE}" pid="402" name="hmcheck_result_238bf46055c04256a9a06db30cd1b4c4_correctwords">
    <vt:lpwstr>["绲边"]</vt:lpwstr>
  </property>
  <property fmtid="{D5CDD505-2E9C-101B-9397-08002B2CF9AE}" pid="403" name="hmcheck_result_238bf46055c04256a9a06db30cd1b4c4_level">
    <vt:i4>1</vt:i4>
  </property>
  <property fmtid="{D5CDD505-2E9C-101B-9397-08002B2CF9AE}" pid="404" name="hmcheck_result_238bf46055c04256a9a06db30cd1b4c4_type">
    <vt:i4>5</vt:i4>
  </property>
  <property fmtid="{D5CDD505-2E9C-101B-9397-08002B2CF9AE}" pid="405" name="hmcheck_result_238bf46055c04256a9a06db30cd1b4c4_modifiedtype">
    <vt:i4>0</vt:i4>
  </property>
  <property fmtid="{D5CDD505-2E9C-101B-9397-08002B2CF9AE}" pid="406" name="hmcheck_result_a871a3b040974b4983b9649accdab9f0_errorword">
    <vt:lpwstr>胶粘剂</vt:lpwstr>
  </property>
  <property fmtid="{D5CDD505-2E9C-101B-9397-08002B2CF9AE}" pid="407" name="hmcheck_result_a871a3b040974b4983b9649accdab9f0_correctwords">
    <vt:lpwstr>["胶黏剂"]</vt:lpwstr>
  </property>
  <property fmtid="{D5CDD505-2E9C-101B-9397-08002B2CF9AE}" pid="408" name="hmcheck_result_a871a3b040974b4983b9649accdab9f0_level">
    <vt:i4>1</vt:i4>
  </property>
  <property fmtid="{D5CDD505-2E9C-101B-9397-08002B2CF9AE}" pid="409" name="hmcheck_result_a871a3b040974b4983b9649accdab9f0_type">
    <vt:i4>5</vt:i4>
  </property>
  <property fmtid="{D5CDD505-2E9C-101B-9397-08002B2CF9AE}" pid="410" name="hmcheck_result_a871a3b040974b4983b9649accdab9f0_modifiedtype">
    <vt:i4>2</vt:i4>
  </property>
  <property fmtid="{D5CDD505-2E9C-101B-9397-08002B2CF9AE}" pid="411" name="hmcheck_result_dfbc054d6b85494cae6e10bb4ab76c8b_errorword">
    <vt:lpwstr>海拔高度</vt:lpwstr>
  </property>
  <property fmtid="{D5CDD505-2E9C-101B-9397-08002B2CF9AE}" pid="412" name="hmcheck_result_dfbc054d6b85494cae6e10bb4ab76c8b_correctwords">
    <vt:lpwstr>["海拔"]</vt:lpwstr>
  </property>
  <property fmtid="{D5CDD505-2E9C-101B-9397-08002B2CF9AE}" pid="413" name="hmcheck_result_dfbc054d6b85494cae6e10bb4ab76c8b_errordescription">
    <vt:lpwstr>〈名〉从平均海平面起算的高度。</vt:lpwstr>
  </property>
  <property fmtid="{D5CDD505-2E9C-101B-9397-08002B2CF9AE}" pid="414" name="hmcheck_result_dfbc054d6b85494cae6e10bb4ab76c8b_level">
    <vt:i4>1</vt:i4>
  </property>
  <property fmtid="{D5CDD505-2E9C-101B-9397-08002B2CF9AE}" pid="415" name="hmcheck_result_dfbc054d6b85494cae6e10bb4ab76c8b_type">
    <vt:i4>0</vt:i4>
  </property>
  <property fmtid="{D5CDD505-2E9C-101B-9397-08002B2CF9AE}" pid="416" name="hmcheck_result_dfbc054d6b85494cae6e10bb4ab76c8b_modifiedtype">
    <vt:i4>0</vt:i4>
  </property>
  <property fmtid="{D5CDD505-2E9C-101B-9397-08002B2CF9AE}" pid="417" name="hmcheck_result_33c5bc71dc454aeba5e13b52c1444e61_errorword">
    <vt:lpwstr>海拔高度</vt:lpwstr>
  </property>
  <property fmtid="{D5CDD505-2E9C-101B-9397-08002B2CF9AE}" pid="418" name="hmcheck_result_33c5bc71dc454aeba5e13b52c1444e61_correctwords">
    <vt:lpwstr>["海拔"]</vt:lpwstr>
  </property>
  <property fmtid="{D5CDD505-2E9C-101B-9397-08002B2CF9AE}" pid="419" name="hmcheck_result_33c5bc71dc454aeba5e13b52c1444e61_errordescription">
    <vt:lpwstr>〈名〉从平均海平面起算的高度。</vt:lpwstr>
  </property>
  <property fmtid="{D5CDD505-2E9C-101B-9397-08002B2CF9AE}" pid="420" name="hmcheck_result_33c5bc71dc454aeba5e13b52c1444e61_level">
    <vt:i4>1</vt:i4>
  </property>
  <property fmtid="{D5CDD505-2E9C-101B-9397-08002B2CF9AE}" pid="421" name="hmcheck_result_33c5bc71dc454aeba5e13b52c1444e61_type">
    <vt:i4>0</vt:i4>
  </property>
  <property fmtid="{D5CDD505-2E9C-101B-9397-08002B2CF9AE}" pid="422" name="hmcheck_result_33c5bc71dc454aeba5e13b52c1444e61_modifiedtype">
    <vt:i4>0</vt:i4>
  </property>
  <property fmtid="{D5CDD505-2E9C-101B-9397-08002B2CF9AE}" pid="423" name="hmcheck_result_acf979dd8c784ea1b70201e7999263ca_errorword">
    <vt:lpwstr>胶粘剂</vt:lpwstr>
  </property>
  <property fmtid="{D5CDD505-2E9C-101B-9397-08002B2CF9AE}" pid="424" name="hmcheck_result_acf979dd8c784ea1b70201e7999263ca_correctwords">
    <vt:lpwstr>["胶黏剂"]</vt:lpwstr>
  </property>
  <property fmtid="{D5CDD505-2E9C-101B-9397-08002B2CF9AE}" pid="425" name="hmcheck_result_acf979dd8c784ea1b70201e7999263ca_level">
    <vt:i4>1</vt:i4>
  </property>
  <property fmtid="{D5CDD505-2E9C-101B-9397-08002B2CF9AE}" pid="426" name="hmcheck_result_acf979dd8c784ea1b70201e7999263ca_type">
    <vt:i4>5</vt:i4>
  </property>
  <property fmtid="{D5CDD505-2E9C-101B-9397-08002B2CF9AE}" pid="427" name="hmcheck_result_acf979dd8c784ea1b70201e7999263ca_modifiedtype">
    <vt:i4>2</vt:i4>
  </property>
  <property fmtid="{D5CDD505-2E9C-101B-9397-08002B2CF9AE}" pid="428" name="hmcheck_result_58ba0fb6561340c0846278b83fafd940_errorword">
    <vt:lpwstr>环境检测</vt:lpwstr>
  </property>
  <property fmtid="{D5CDD505-2E9C-101B-9397-08002B2CF9AE}" pid="429" name="hmcheck_result_58ba0fb6561340c0846278b83fafd940_correctwords">
    <vt:lpwstr>["环境监测"]</vt:lpwstr>
  </property>
  <property fmtid="{D5CDD505-2E9C-101B-9397-08002B2CF9AE}" pid="430" name="hmcheck_result_58ba0fb6561340c0846278b83fafd940_level">
    <vt:i4>1</vt:i4>
  </property>
  <property fmtid="{D5CDD505-2E9C-101B-9397-08002B2CF9AE}" pid="431" name="hmcheck_result_58ba0fb6561340c0846278b83fafd940_type">
    <vt:i4>0</vt:i4>
  </property>
  <property fmtid="{D5CDD505-2E9C-101B-9397-08002B2CF9AE}" pid="432" name="hmcheck_result_58ba0fb6561340c0846278b83fafd940_modifiedtype">
    <vt:i4>0</vt:i4>
  </property>
  <property fmtid="{D5CDD505-2E9C-101B-9397-08002B2CF9AE}" pid="433" name="hmcheck_result_859c0e75986a43dc8944a33ed1b81739_errorword">
    <vt:lpwstr>胶粘剂</vt:lpwstr>
  </property>
  <property fmtid="{D5CDD505-2E9C-101B-9397-08002B2CF9AE}" pid="434" name="hmcheck_result_859c0e75986a43dc8944a33ed1b81739_correctwords">
    <vt:lpwstr>["胶黏剂"]</vt:lpwstr>
  </property>
  <property fmtid="{D5CDD505-2E9C-101B-9397-08002B2CF9AE}" pid="435" name="hmcheck_result_859c0e75986a43dc8944a33ed1b81739_level">
    <vt:i4>1</vt:i4>
  </property>
  <property fmtid="{D5CDD505-2E9C-101B-9397-08002B2CF9AE}" pid="436" name="hmcheck_result_859c0e75986a43dc8944a33ed1b81739_type">
    <vt:i4>5</vt:i4>
  </property>
  <property fmtid="{D5CDD505-2E9C-101B-9397-08002B2CF9AE}" pid="437" name="hmcheck_result_859c0e75986a43dc8944a33ed1b81739_modifiedtype">
    <vt:i4>2</vt:i4>
  </property>
  <property fmtid="{D5CDD505-2E9C-101B-9397-08002B2CF9AE}" pid="438" name="hmcheck_result_a87e8e1e0fdd484086c3066fa9baf600_errorword">
    <vt:lpwstr>胶粘剂</vt:lpwstr>
  </property>
  <property fmtid="{D5CDD505-2E9C-101B-9397-08002B2CF9AE}" pid="439" name="hmcheck_result_a87e8e1e0fdd484086c3066fa9baf600_correctwords">
    <vt:lpwstr>["胶黏剂"]</vt:lpwstr>
  </property>
  <property fmtid="{D5CDD505-2E9C-101B-9397-08002B2CF9AE}" pid="440" name="hmcheck_result_a87e8e1e0fdd484086c3066fa9baf600_level">
    <vt:i4>1</vt:i4>
  </property>
  <property fmtid="{D5CDD505-2E9C-101B-9397-08002B2CF9AE}" pid="441" name="hmcheck_result_a87e8e1e0fdd484086c3066fa9baf600_type">
    <vt:i4>5</vt:i4>
  </property>
  <property fmtid="{D5CDD505-2E9C-101B-9397-08002B2CF9AE}" pid="442" name="hmcheck_result_a87e8e1e0fdd484086c3066fa9baf600_modifiedtype">
    <vt:i4>2</vt:i4>
  </property>
  <property fmtid="{D5CDD505-2E9C-101B-9397-08002B2CF9AE}" pid="443" name="hmcheck_result_3202031511ba4eb2bbf8f038fe194577_errorword">
    <vt:lpwstr>-</vt:lpwstr>
  </property>
  <property fmtid="{D5CDD505-2E9C-101B-9397-08002B2CF9AE}" pid="444" name="hmcheck_result_3202031511ba4eb2bbf8f038fe194577_correctwords">
    <vt:lpwstr>["%～"]</vt:lpwstr>
  </property>
  <property fmtid="{D5CDD505-2E9C-101B-9397-08002B2CF9AE}" pid="445" name="hmcheck_result_3202031511ba4eb2bbf8f038fe194577_errordescription">
    <vt:lpwstr>百分号用法检查</vt:lpwstr>
  </property>
  <property fmtid="{D5CDD505-2E9C-101B-9397-08002B2CF9AE}" pid="446" name="hmcheck_result_3202031511ba4eb2bbf8f038fe194577_level">
    <vt:i4>1</vt:i4>
  </property>
  <property fmtid="{D5CDD505-2E9C-101B-9397-08002B2CF9AE}" pid="447" name="hmcheck_result_3202031511ba4eb2bbf8f038fe194577_type">
    <vt:i4>9</vt:i4>
  </property>
  <property fmtid="{D5CDD505-2E9C-101B-9397-08002B2CF9AE}" pid="448" name="hmcheck_result_3202031511ba4eb2bbf8f038fe194577_modifiedtype">
    <vt:i4>0</vt:i4>
  </property>
  <property fmtid="{D5CDD505-2E9C-101B-9397-08002B2CF9AE}" pid="449" name="hmcheck_result_9de4623bc7464315b5507fd3bb566b76_errorword">
    <vt:lpwstr>）</vt:lpwstr>
  </property>
  <property fmtid="{D5CDD505-2E9C-101B-9397-08002B2CF9AE}" pid="450" name="hmcheck_result_9de4623bc7464315b5507fd3bb566b76_correctwords">
    <vt:lpwstr>[]</vt:lpwstr>
  </property>
  <property fmtid="{D5CDD505-2E9C-101B-9397-08002B2CF9AE}" pid="451" name="hmcheck_result_9de4623bc7464315b5507fd3bb566b76_errordescription">
    <vt:lpwstr>标点符号）缺少成对</vt:lpwstr>
  </property>
  <property fmtid="{D5CDD505-2E9C-101B-9397-08002B2CF9AE}" pid="452" name="hmcheck_result_9de4623bc7464315b5507fd3bb566b76_level">
    <vt:i4>1</vt:i4>
  </property>
  <property fmtid="{D5CDD505-2E9C-101B-9397-08002B2CF9AE}" pid="453" name="hmcheck_result_9de4623bc7464315b5507fd3bb566b76_type">
    <vt:i4>1</vt:i4>
  </property>
  <property fmtid="{D5CDD505-2E9C-101B-9397-08002B2CF9AE}" pid="454" name="hmcheck_result_9de4623bc7464315b5507fd3bb566b76_modifiedtype">
    <vt:i4>0</vt:i4>
  </property>
  <property fmtid="{D5CDD505-2E9C-101B-9397-08002B2CF9AE}" pid="455" name="hmcheck_result_1664913bf1c94c628d0ff90e3946734b_errorword">
    <vt:lpwstr>排</vt:lpwstr>
  </property>
  <property fmtid="{D5CDD505-2E9C-101B-9397-08002B2CF9AE}" pid="456" name="hmcheck_result_1664913bf1c94c628d0ff90e3946734b_correctwords">
    <vt:lpwstr>["排出"]</vt:lpwstr>
  </property>
  <property fmtid="{D5CDD505-2E9C-101B-9397-08002B2CF9AE}" pid="457" name="hmcheck_result_1664913bf1c94c628d0ff90e3946734b_level">
    <vt:i4>1</vt:i4>
  </property>
  <property fmtid="{D5CDD505-2E9C-101B-9397-08002B2CF9AE}" pid="458" name="hmcheck_result_1664913bf1c94c628d0ff90e3946734b_type">
    <vt:i4>0</vt:i4>
  </property>
  <property fmtid="{D5CDD505-2E9C-101B-9397-08002B2CF9AE}" pid="459" name="hmcheck_result_1664913bf1c94c628d0ff90e3946734b_modifiedtype">
    <vt:i4>0</vt:i4>
  </property>
  <property fmtid="{D5CDD505-2E9C-101B-9397-08002B2CF9AE}" pid="460" name="hmcheck_result_4d15abccec7d4ef7955099cc771b445a_errorword">
    <vt:lpwstr>依托</vt:lpwstr>
  </property>
  <property fmtid="{D5CDD505-2E9C-101B-9397-08002B2CF9AE}" pid="461" name="hmcheck_result_4d15abccec7d4ef7955099cc771b445a_correctwords">
    <vt:lpwstr>["依然"]</vt:lpwstr>
  </property>
  <property fmtid="{D5CDD505-2E9C-101B-9397-08002B2CF9AE}" pid="462" name="hmcheck_result_4d15abccec7d4ef7955099cc771b445a_errordescription">
    <vt:lpwstr>❶〈动〉依旧▲：风景～。❷〈副〉仍旧▲：～如故｜时至今日，问题～没有得到解决。</vt:lpwstr>
  </property>
  <property fmtid="{D5CDD505-2E9C-101B-9397-08002B2CF9AE}" pid="463" name="hmcheck_result_4d15abccec7d4ef7955099cc771b445a_level">
    <vt:i4>1</vt:i4>
  </property>
  <property fmtid="{D5CDD505-2E9C-101B-9397-08002B2CF9AE}" pid="464" name="hmcheck_result_4d15abccec7d4ef7955099cc771b445a_type">
    <vt:i4>0</vt:i4>
  </property>
  <property fmtid="{D5CDD505-2E9C-101B-9397-08002B2CF9AE}" pid="465" name="hmcheck_result_4d15abccec7d4ef7955099cc771b445a_modifiedtype">
    <vt:i4>0</vt:i4>
  </property>
  <property fmtid="{D5CDD505-2E9C-101B-9397-08002B2CF9AE}" pid="466" name="hmcheck_result_700e56a60be042b393d0bb63e085de43_errorword">
    <vt:lpwstr>（</vt:lpwstr>
  </property>
  <property fmtid="{D5CDD505-2E9C-101B-9397-08002B2CF9AE}" pid="467" name="hmcheck_result_700e56a60be042b393d0bb63e085de43_correctwords">
    <vt:lpwstr>[]</vt:lpwstr>
  </property>
  <property fmtid="{D5CDD505-2E9C-101B-9397-08002B2CF9AE}" pid="468" name="hmcheck_result_700e56a60be042b393d0bb63e085de43_errordescription">
    <vt:lpwstr>标点符号（缺少成对</vt:lpwstr>
  </property>
  <property fmtid="{D5CDD505-2E9C-101B-9397-08002B2CF9AE}" pid="469" name="hmcheck_result_700e56a60be042b393d0bb63e085de43_level">
    <vt:i4>1</vt:i4>
  </property>
  <property fmtid="{D5CDD505-2E9C-101B-9397-08002B2CF9AE}" pid="470" name="hmcheck_result_700e56a60be042b393d0bb63e085de43_type">
    <vt:i4>1</vt:i4>
  </property>
  <property fmtid="{D5CDD505-2E9C-101B-9397-08002B2CF9AE}" pid="471" name="hmcheck_result_700e56a60be042b393d0bb63e085de43_modifiedtype">
    <vt:i4>0</vt:i4>
  </property>
  <property fmtid="{D5CDD505-2E9C-101B-9397-08002B2CF9AE}" pid="472" name="hmcheck_result_9ef35840efd443fe8ce52e743b960ce1_errorword">
    <vt:lpwstr>来自冲</vt:lpwstr>
  </property>
  <property fmtid="{D5CDD505-2E9C-101B-9397-08002B2CF9AE}" pid="473" name="hmcheck_result_9ef35840efd443fe8ce52e743b960ce1_correctwords">
    <vt:lpwstr>["来自"]</vt:lpwstr>
  </property>
  <property fmtid="{D5CDD505-2E9C-101B-9397-08002B2CF9AE}" pid="474" name="hmcheck_result_9ef35840efd443fe8ce52e743b960ce1_level">
    <vt:i4>1</vt:i4>
  </property>
  <property fmtid="{D5CDD505-2E9C-101B-9397-08002B2CF9AE}" pid="475" name="hmcheck_result_9ef35840efd443fe8ce52e743b960ce1_type">
    <vt:i4>0</vt:i4>
  </property>
  <property fmtid="{D5CDD505-2E9C-101B-9397-08002B2CF9AE}" pid="476" name="hmcheck_result_9ef35840efd443fe8ce52e743b960ce1_modifiedtype">
    <vt:i4>0</vt:i4>
  </property>
  <property fmtid="{D5CDD505-2E9C-101B-9397-08002B2CF9AE}" pid="477" name="hmcheck_result_512bd5969b2b424b8052ca0d572e30a3_errorword">
    <vt:lpwstr>源源</vt:lpwstr>
  </property>
  <property fmtid="{D5CDD505-2E9C-101B-9397-08002B2CF9AE}" pid="478" name="hmcheck_result_512bd5969b2b424b8052ca0d572e30a3_correctwords">
    <vt:lpwstr>["源"]</vt:lpwstr>
  </property>
  <property fmtid="{D5CDD505-2E9C-101B-9397-08002B2CF9AE}" pid="479" name="hmcheck_result_512bd5969b2b424b8052ca0d572e30a3_level">
    <vt:i4>1</vt:i4>
  </property>
  <property fmtid="{D5CDD505-2E9C-101B-9397-08002B2CF9AE}" pid="480" name="hmcheck_result_512bd5969b2b424b8052ca0d572e30a3_type">
    <vt:i4>0</vt:i4>
  </property>
  <property fmtid="{D5CDD505-2E9C-101B-9397-08002B2CF9AE}" pid="481" name="hmcheck_result_512bd5969b2b424b8052ca0d572e30a3_modifiedtype">
    <vt:i4>0</vt:i4>
  </property>
  <property fmtid="{D5CDD505-2E9C-101B-9397-08002B2CF9AE}" pid="482" name="hmcheck_result_6c68365ea8074e51ad89941612f6be82_errorword">
    <vt:lpwstr>）</vt:lpwstr>
  </property>
  <property fmtid="{D5CDD505-2E9C-101B-9397-08002B2CF9AE}" pid="483" name="hmcheck_result_6c68365ea8074e51ad89941612f6be82_correctwords">
    <vt:lpwstr>[]</vt:lpwstr>
  </property>
  <property fmtid="{D5CDD505-2E9C-101B-9397-08002B2CF9AE}" pid="484" name="hmcheck_result_6c68365ea8074e51ad89941612f6be82_errordescription">
    <vt:lpwstr>标点符号）缺少成对</vt:lpwstr>
  </property>
  <property fmtid="{D5CDD505-2E9C-101B-9397-08002B2CF9AE}" pid="485" name="hmcheck_result_6c68365ea8074e51ad89941612f6be82_level">
    <vt:i4>1</vt:i4>
  </property>
  <property fmtid="{D5CDD505-2E9C-101B-9397-08002B2CF9AE}" pid="486" name="hmcheck_result_6c68365ea8074e51ad89941612f6be82_type">
    <vt:i4>1</vt:i4>
  </property>
  <property fmtid="{D5CDD505-2E9C-101B-9397-08002B2CF9AE}" pid="487" name="hmcheck_result_6c68365ea8074e51ad89941612f6be82_modifiedtype">
    <vt:i4>0</vt:i4>
  </property>
  <property fmtid="{D5CDD505-2E9C-101B-9397-08002B2CF9AE}" pid="488" name="hmcheck_result_b30af965023d44b39f9af5c7326d70db_errorword">
    <vt:lpwstr>相对厂</vt:lpwstr>
  </property>
  <property fmtid="{D5CDD505-2E9C-101B-9397-08002B2CF9AE}" pid="489" name="hmcheck_result_b30af965023d44b39f9af5c7326d70db_correctwords">
    <vt:lpwstr>["相对长"]</vt:lpwstr>
  </property>
  <property fmtid="{D5CDD505-2E9C-101B-9397-08002B2CF9AE}" pid="490" name="hmcheck_result_b30af965023d44b39f9af5c7326d70db_level">
    <vt:i4>1</vt:i4>
  </property>
  <property fmtid="{D5CDD505-2E9C-101B-9397-08002B2CF9AE}" pid="491" name="hmcheck_result_b30af965023d44b39f9af5c7326d70db_type">
    <vt:i4>0</vt:i4>
  </property>
  <property fmtid="{D5CDD505-2E9C-101B-9397-08002B2CF9AE}" pid="492" name="hmcheck_result_b30af965023d44b39f9af5c7326d70db_modifiedtype">
    <vt:i4>0</vt:i4>
  </property>
  <property fmtid="{D5CDD505-2E9C-101B-9397-08002B2CF9AE}" pid="493" name="hmcheck_result_b618eb61d51a43f1b6253e3138175ba8_errorword">
    <vt:lpwstr>LPi</vt:lpwstr>
  </property>
  <property fmtid="{D5CDD505-2E9C-101B-9397-08002B2CF9AE}" pid="494" name="hmcheck_result_b618eb61d51a43f1b6253e3138175ba8_correctwords">
    <vt:lpwstr>["ipi","tpi","lpt","pi","li"]</vt:lpwstr>
  </property>
  <property fmtid="{D5CDD505-2E9C-101B-9397-08002B2CF9AE}" pid="495" name="hmcheck_result_b618eb61d51a43f1b6253e3138175ba8_level">
    <vt:i4>1</vt:i4>
  </property>
  <property fmtid="{D5CDD505-2E9C-101B-9397-08002B2CF9AE}" pid="496" name="hmcheck_result_b618eb61d51a43f1b6253e3138175ba8_type">
    <vt:i4>6</vt:i4>
  </property>
  <property fmtid="{D5CDD505-2E9C-101B-9397-08002B2CF9AE}" pid="497" name="hmcheck_result_b618eb61d51a43f1b6253e3138175ba8_modifiedtype">
    <vt:i4>0</vt:i4>
  </property>
  <property fmtid="{D5CDD505-2E9C-101B-9397-08002B2CF9AE}" pid="498" name="hmcheck_result_90cf6e3c2f594c20bfb227a1b51014f8_errorword">
    <vt:lpwstr>滚边</vt:lpwstr>
  </property>
  <property fmtid="{D5CDD505-2E9C-101B-9397-08002B2CF9AE}" pid="499" name="hmcheck_result_90cf6e3c2f594c20bfb227a1b51014f8_correctwords">
    <vt:lpwstr>["绲边"]</vt:lpwstr>
  </property>
  <property fmtid="{D5CDD505-2E9C-101B-9397-08002B2CF9AE}" pid="500" name="hmcheck_result_90cf6e3c2f594c20bfb227a1b51014f8_level">
    <vt:i4>1</vt:i4>
  </property>
  <property fmtid="{D5CDD505-2E9C-101B-9397-08002B2CF9AE}" pid="501" name="hmcheck_result_90cf6e3c2f594c20bfb227a1b51014f8_type">
    <vt:i4>5</vt:i4>
  </property>
  <property fmtid="{D5CDD505-2E9C-101B-9397-08002B2CF9AE}" pid="502" name="hmcheck_result_90cf6e3c2f594c20bfb227a1b51014f8_modifiedtype">
    <vt:i4>0</vt:i4>
  </property>
  <property fmtid="{D5CDD505-2E9C-101B-9397-08002B2CF9AE}" pid="503" name="hmcheck_result_87947f37a6a7495583d934f4f4dfc5b8_errorword">
    <vt:lpwstr>标准</vt:lpwstr>
  </property>
  <property fmtid="{D5CDD505-2E9C-101B-9397-08002B2CF9AE}" pid="504" name="hmcheck_result_87947f37a6a7495583d934f4f4dfc5b8_correctwords">
    <vt:lpwstr>["标识"]</vt:lpwstr>
  </property>
  <property fmtid="{D5CDD505-2E9C-101B-9397-08002B2CF9AE}" pid="505" name="hmcheck_result_87947f37a6a7495583d934f4f4dfc5b8_level">
    <vt:i4>1</vt:i4>
  </property>
  <property fmtid="{D5CDD505-2E9C-101B-9397-08002B2CF9AE}" pid="506" name="hmcheck_result_87947f37a6a7495583d934f4f4dfc5b8_type">
    <vt:i4>0</vt:i4>
  </property>
  <property fmtid="{D5CDD505-2E9C-101B-9397-08002B2CF9AE}" pid="507" name="hmcheck_result_87947f37a6a7495583d934f4f4dfc5b8_modifiedtype">
    <vt:i4>2</vt:i4>
  </property>
  <property fmtid="{D5CDD505-2E9C-101B-9397-08002B2CF9AE}" pid="508" name="hmcheck_result_dbc9f46cf3f04bc2baece721d6be5811_errorword">
    <vt:lpwstr>通讯设备</vt:lpwstr>
  </property>
  <property fmtid="{D5CDD505-2E9C-101B-9397-08002B2CF9AE}" pid="509" name="hmcheck_result_dbc9f46cf3f04bc2baece721d6be5811_correctwords">
    <vt:lpwstr>["通信设备"]</vt:lpwstr>
  </property>
  <property fmtid="{D5CDD505-2E9C-101B-9397-08002B2CF9AE}" pid="510" name="hmcheck_result_dbc9f46cf3f04bc2baece721d6be5811_level">
    <vt:i4>1</vt:i4>
  </property>
  <property fmtid="{D5CDD505-2E9C-101B-9397-08002B2CF9AE}" pid="511" name="hmcheck_result_dbc9f46cf3f04bc2baece721d6be5811_type">
    <vt:i4>0</vt:i4>
  </property>
  <property fmtid="{D5CDD505-2E9C-101B-9397-08002B2CF9AE}" pid="512" name="hmcheck_result_dbc9f46cf3f04bc2baece721d6be5811_modifiedtype">
    <vt:i4>2</vt:i4>
  </property>
  <property fmtid="{D5CDD505-2E9C-101B-9397-08002B2CF9AE}" pid="513" name="hmcheck_result_3fc93b4e00f64c66904c14288b7cb5cc_errorword">
    <vt:lpwstr>-</vt:lpwstr>
  </property>
  <property fmtid="{D5CDD505-2E9C-101B-9397-08002B2CF9AE}" pid="514" name="hmcheck_result_3fc93b4e00f64c66904c14288b7cb5cc_correctwords">
    <vt:lpwstr>["—"]</vt:lpwstr>
  </property>
  <property fmtid="{D5CDD505-2E9C-101B-9397-08002B2CF9AE}" pid="515" name="hmcheck_result_3fc93b4e00f64c66904c14288b7cb5cc_errordescription">
    <vt:lpwstr>根据国标GB/T 15834-2011《标点符号用法》中的4.13.3.2节，标识相关项目（如时间、地域等）的起止，以及标识数值范围（由阿拉伯数字或汉字数字构成）的起止时，通常使用长横线或长浪纹线。如“25～30g”“2011年2月3日—10日”。</vt:lpwstr>
  </property>
  <property fmtid="{D5CDD505-2E9C-101B-9397-08002B2CF9AE}" pid="516" name="hmcheck_result_3fc93b4e00f64c66904c14288b7cb5cc_level">
    <vt:i4>1</vt:i4>
  </property>
  <property fmtid="{D5CDD505-2E9C-101B-9397-08002B2CF9AE}" pid="517" name="hmcheck_result_3fc93b4e00f64c66904c14288b7cb5cc_type">
    <vt:i4>1</vt:i4>
  </property>
  <property fmtid="{D5CDD505-2E9C-101B-9397-08002B2CF9AE}" pid="518" name="hmcheck_result_3fc93b4e00f64c66904c14288b7cb5cc_modifiedtype">
    <vt:i4>0</vt:i4>
  </property>
  <property fmtid="{D5CDD505-2E9C-101B-9397-08002B2CF9AE}" pid="519" name="hmcheck_result_89554dfb62754e60bdb12a73e5ecc14b_errorword">
    <vt:lpwstr>-</vt:lpwstr>
  </property>
  <property fmtid="{D5CDD505-2E9C-101B-9397-08002B2CF9AE}" pid="520" name="hmcheck_result_89554dfb62754e60bdb12a73e5ecc14b_correctwords">
    <vt:lpwstr>["—"]</vt:lpwstr>
  </property>
  <property fmtid="{D5CDD505-2E9C-101B-9397-08002B2CF9AE}" pid="521" name="hmcheck_result_89554dfb62754e60bdb12a73e5ecc14b_errordescription">
    <vt:lpwstr>根据国标GB/T 15834-2011《标点符号用法》中的4.13.3.2节，标识相关项目（如时间、地域等）的起止，以及标识数值范围（由阿拉伯数字或汉字数字构成）的起止时，通常使用长横线或长浪纹线。如“25～30g”“2011年2月3日—10日”。</vt:lpwstr>
  </property>
  <property fmtid="{D5CDD505-2E9C-101B-9397-08002B2CF9AE}" pid="522" name="hmcheck_result_89554dfb62754e60bdb12a73e5ecc14b_level">
    <vt:i4>1</vt:i4>
  </property>
  <property fmtid="{D5CDD505-2E9C-101B-9397-08002B2CF9AE}" pid="523" name="hmcheck_result_89554dfb62754e60bdb12a73e5ecc14b_type">
    <vt:i4>1</vt:i4>
  </property>
  <property fmtid="{D5CDD505-2E9C-101B-9397-08002B2CF9AE}" pid="524" name="hmcheck_result_89554dfb62754e60bdb12a73e5ecc14b_modifiedtype">
    <vt:i4>0</vt:i4>
  </property>
  <property fmtid="{D5CDD505-2E9C-101B-9397-08002B2CF9AE}" pid="525" name="hmcheck_result_7d503876c5d94bb78325b958017cc610_errorword">
    <vt:lpwstr>下放</vt:lpwstr>
  </property>
  <property fmtid="{D5CDD505-2E9C-101B-9397-08002B2CF9AE}" pid="526" name="hmcheck_result_7d503876c5d94bb78325b958017cc610_correctwords">
    <vt:lpwstr>["下方"]</vt:lpwstr>
  </property>
  <property fmtid="{D5CDD505-2E9C-101B-9397-08002B2CF9AE}" pid="527" name="hmcheck_result_7d503876c5d94bb78325b958017cc610_level">
    <vt:i4>1</vt:i4>
  </property>
  <property fmtid="{D5CDD505-2E9C-101B-9397-08002B2CF9AE}" pid="528" name="hmcheck_result_7d503876c5d94bb78325b958017cc610_type">
    <vt:i4>0</vt:i4>
  </property>
  <property fmtid="{D5CDD505-2E9C-101B-9397-08002B2CF9AE}" pid="529" name="hmcheck_result_7d503876c5d94bb78325b958017cc610_modifiedtype">
    <vt:i4>2</vt:i4>
  </property>
  <property fmtid="{D5CDD505-2E9C-101B-9397-08002B2CF9AE}" pid="530" name="hmcheck_result_039ef125cc8e4ba099a550ee60eb1a82_errorword">
    <vt:lpwstr>胶粘剂</vt:lpwstr>
  </property>
  <property fmtid="{D5CDD505-2E9C-101B-9397-08002B2CF9AE}" pid="531" name="hmcheck_result_039ef125cc8e4ba099a550ee60eb1a82_correctwords">
    <vt:lpwstr>["胶黏剂"]</vt:lpwstr>
  </property>
  <property fmtid="{D5CDD505-2E9C-101B-9397-08002B2CF9AE}" pid="532" name="hmcheck_result_039ef125cc8e4ba099a550ee60eb1a82_level">
    <vt:i4>1</vt:i4>
  </property>
  <property fmtid="{D5CDD505-2E9C-101B-9397-08002B2CF9AE}" pid="533" name="hmcheck_result_039ef125cc8e4ba099a550ee60eb1a82_type">
    <vt:i4>5</vt:i4>
  </property>
  <property fmtid="{D5CDD505-2E9C-101B-9397-08002B2CF9AE}" pid="534" name="hmcheck_result_039ef125cc8e4ba099a550ee60eb1a82_modifiedtype">
    <vt:i4>2</vt:i4>
  </property>
  <property fmtid="{D5CDD505-2E9C-101B-9397-08002B2CF9AE}" pid="535" name="hmcheck_result_1d349ffcc7c7485db3d60bb2fb8611d7_errorword">
    <vt:lpwstr>达</vt:lpwstr>
  </property>
  <property fmtid="{D5CDD505-2E9C-101B-9397-08002B2CF9AE}" pid="536" name="hmcheck_result_1d349ffcc7c7485db3d60bb2fb8611d7_correctwords">
    <vt:lpwstr>["达到"]</vt:lpwstr>
  </property>
  <property fmtid="{D5CDD505-2E9C-101B-9397-08002B2CF9AE}" pid="537" name="hmcheck_result_1d349ffcc7c7485db3d60bb2fb8611d7_errordescription">
    <vt:lpwstr>〈动〉到（多指抽象事物或程度）：达得到｜达不到｜目的没有～｜～国际水平。</vt:lpwstr>
  </property>
  <property fmtid="{D5CDD505-2E9C-101B-9397-08002B2CF9AE}" pid="538" name="hmcheck_result_1d349ffcc7c7485db3d60bb2fb8611d7_level">
    <vt:i4>1</vt:i4>
  </property>
  <property fmtid="{D5CDD505-2E9C-101B-9397-08002B2CF9AE}" pid="539" name="hmcheck_result_1d349ffcc7c7485db3d60bb2fb8611d7_type">
    <vt:i4>0</vt:i4>
  </property>
  <property fmtid="{D5CDD505-2E9C-101B-9397-08002B2CF9AE}" pid="540" name="hmcheck_result_1d349ffcc7c7485db3d60bb2fb8611d7_modifiedtype">
    <vt:i4>2</vt:i4>
  </property>
  <property fmtid="{D5CDD505-2E9C-101B-9397-08002B2CF9AE}" pid="541" name="hmcheck_result_a8d89f8165fc44c0a469bf43c0ca75c2_errorword">
    <vt:lpwstr>下放</vt:lpwstr>
  </property>
  <property fmtid="{D5CDD505-2E9C-101B-9397-08002B2CF9AE}" pid="542" name="hmcheck_result_a8d89f8165fc44c0a469bf43c0ca75c2_correctwords">
    <vt:lpwstr>["下方"]</vt:lpwstr>
  </property>
  <property fmtid="{D5CDD505-2E9C-101B-9397-08002B2CF9AE}" pid="543" name="hmcheck_result_a8d89f8165fc44c0a469bf43c0ca75c2_level">
    <vt:i4>1</vt:i4>
  </property>
  <property fmtid="{D5CDD505-2E9C-101B-9397-08002B2CF9AE}" pid="544" name="hmcheck_result_a8d89f8165fc44c0a469bf43c0ca75c2_type">
    <vt:i4>0</vt:i4>
  </property>
  <property fmtid="{D5CDD505-2E9C-101B-9397-08002B2CF9AE}" pid="545" name="hmcheck_result_a8d89f8165fc44c0a469bf43c0ca75c2_modifiedtype">
    <vt:i4>2</vt:i4>
  </property>
  <property fmtid="{D5CDD505-2E9C-101B-9397-08002B2CF9AE}" pid="546" name="hmcheck_result_baf7a26e103849379a446719ffeddf08_errorword">
    <vt:lpwstr>监测报告</vt:lpwstr>
  </property>
  <property fmtid="{D5CDD505-2E9C-101B-9397-08002B2CF9AE}" pid="547" name="hmcheck_result_baf7a26e103849379a446719ffeddf08_correctwords">
    <vt:lpwstr>["检测报告"]</vt:lpwstr>
  </property>
  <property fmtid="{D5CDD505-2E9C-101B-9397-08002B2CF9AE}" pid="548" name="hmcheck_result_baf7a26e103849379a446719ffeddf08_level">
    <vt:i4>1</vt:i4>
  </property>
  <property fmtid="{D5CDD505-2E9C-101B-9397-08002B2CF9AE}" pid="549" name="hmcheck_result_baf7a26e103849379a446719ffeddf08_type">
    <vt:i4>0</vt:i4>
  </property>
  <property fmtid="{D5CDD505-2E9C-101B-9397-08002B2CF9AE}" pid="550" name="hmcheck_result_baf7a26e103849379a446719ffeddf08_modifiedtype">
    <vt:i4>0</vt:i4>
  </property>
  <property fmtid="{D5CDD505-2E9C-101B-9397-08002B2CF9AE}" pid="551" name="hmcheck_markmode">
    <vt:i4>0</vt:i4>
  </property>
  <property fmtid="{D5CDD505-2E9C-101B-9397-08002B2CF9AE}" pid="552" name="hmcheck_taskpanetype">
    <vt:i4>1</vt:i4>
  </property>
  <property fmtid="{D5CDD505-2E9C-101B-9397-08002B2CF9AE}" pid="553" name="hmcheck_result_99a887e047b7445fade48af1409cea44_modifiedword">
    <vt:lpwstr>城乡接合部</vt:lpwstr>
  </property>
  <property fmtid="{D5CDD505-2E9C-101B-9397-08002B2CF9AE}" pid="554" name="hmcheck_result_02d8e29b2ee94120a0a7947ee50fff0c_modifiedword">
    <vt:lpwstr>排入</vt:lpwstr>
  </property>
  <property fmtid="{D5CDD505-2E9C-101B-9397-08002B2CF9AE}" pid="555" name="hmcheck_result_fce96774b2aa4e3791982421cf0c671c_modifiedword">
    <vt:lpwstr>—</vt:lpwstr>
  </property>
  <property fmtid="{D5CDD505-2E9C-101B-9397-08002B2CF9AE}" pid="556" name="hmcheck_result_39dd7eeb2dd84213b44f2e3718ff7045_modifiedword">
    <vt:lpwstr>污染</vt:lpwstr>
  </property>
  <property fmtid="{D5CDD505-2E9C-101B-9397-08002B2CF9AE}" pid="557" name="hmcheck_result_d6d778349b46486996f7facb8832c8ca_modifiedword">
    <vt:lpwstr>”“</vt:lpwstr>
  </property>
  <property fmtid="{D5CDD505-2E9C-101B-9397-08002B2CF9AE}" pid="558" name="hmcheck_result_f40af4aa0f794468bedc72d66e88debc_modifiedword">
    <vt:lpwstr>胶黏剂</vt:lpwstr>
  </property>
  <property fmtid="{D5CDD505-2E9C-101B-9397-08002B2CF9AE}" pid="559" name="hmcheck_result_936ac568a51a4221ac57d9f8990ea669_modifiedword">
    <vt:lpwstr>”“</vt:lpwstr>
  </property>
  <property fmtid="{D5CDD505-2E9C-101B-9397-08002B2CF9AE}" pid="560" name="hmcheck_result_4eaeb5e788f1439ca671918ea651221e_modifiedword">
    <vt:lpwstr>”“</vt:lpwstr>
  </property>
  <property fmtid="{D5CDD505-2E9C-101B-9397-08002B2CF9AE}" pid="561" name="hmcheck_result_ec294824679b48bc9ee1cb7e4585b1f9_modifiedword">
    <vt:lpwstr>”“</vt:lpwstr>
  </property>
  <property fmtid="{D5CDD505-2E9C-101B-9397-08002B2CF9AE}" pid="562" name="hmcheck_result_672ea0a31af649d481f289a8f18a4073_modifiedword">
    <vt:lpwstr>”“</vt:lpwstr>
  </property>
  <property fmtid="{D5CDD505-2E9C-101B-9397-08002B2CF9AE}" pid="563" name="hmcheck_result_270ef33230cb4721ad4709ac82095051_modifiedword">
    <vt:lpwstr>”“</vt:lpwstr>
  </property>
  <property fmtid="{D5CDD505-2E9C-101B-9397-08002B2CF9AE}" pid="564" name="hmcheck_result_e3094986ecaf4ac1916ff10f2c870a9f_modifiedword">
    <vt:lpwstr>达到</vt:lpwstr>
  </property>
  <property fmtid="{D5CDD505-2E9C-101B-9397-08002B2CF9AE}" pid="565" name="hmcheck_result_1022127c1e664e13be6fa6ee30245fea_modifiedword">
    <vt:lpwstr>30万-50万</vt:lpwstr>
  </property>
  <property fmtid="{D5CDD505-2E9C-101B-9397-08002B2CF9AE}" pid="566" name="hmcheck_result_cb75b32804cd4de6b3c855c639fa70b0_modifiedword">
    <vt:lpwstr>胶黏剂</vt:lpwstr>
  </property>
  <property fmtid="{D5CDD505-2E9C-101B-9397-08002B2CF9AE}" pid="567" name="hmcheck_result_755b2ba214c54196946971ffe5d6e99e_modifiedword">
    <vt:lpwstr>胶黏剂</vt:lpwstr>
  </property>
  <property fmtid="{D5CDD505-2E9C-101B-9397-08002B2CF9AE}" pid="568" name="hmcheck_result_3a55ff6cc60647f8860fbc886d24b60c_modifiedword">
    <vt:lpwstr>其他</vt:lpwstr>
  </property>
  <property fmtid="{D5CDD505-2E9C-101B-9397-08002B2CF9AE}" pid="569" name="hmcheck_result_41c2ec3e8f0545cfa155e114a7e3465e_modifiedword">
    <vt:lpwstr>%的</vt:lpwstr>
  </property>
  <property fmtid="{D5CDD505-2E9C-101B-9397-08002B2CF9AE}" pid="570" name="hmcheck_result_661cc59aa8a645dfbf266f548a7fa0d5_modifiedword">
    <vt:lpwstr>胶黏剂</vt:lpwstr>
  </property>
  <property fmtid="{D5CDD505-2E9C-101B-9397-08002B2CF9AE}" pid="571" name="hmcheck_result_8724d402b5ee4237aa4904a696f07ac7_modifiedword">
    <vt:lpwstr>达到</vt:lpwstr>
  </property>
  <property fmtid="{D5CDD505-2E9C-101B-9397-08002B2CF9AE}" pid="572" name="hmcheck_result_7ff68495916a43c18a6803128de92930_modifiedword">
    <vt:lpwstr>达到</vt:lpwstr>
  </property>
  <property fmtid="{D5CDD505-2E9C-101B-9397-08002B2CF9AE}" pid="573" name="hmcheck_result_d6b9510099054148ad1053f2c9a32cc8_modifiedword">
    <vt:lpwstr>胶黏剂</vt:lpwstr>
  </property>
  <property fmtid="{D5CDD505-2E9C-101B-9397-08002B2CF9AE}" pid="574" name="hmcheck_result_fd8c9adb58664173ae77b4157c651cf4_modifiedword">
    <vt:lpwstr>或</vt:lpwstr>
  </property>
  <property fmtid="{D5CDD505-2E9C-101B-9397-08002B2CF9AE}" pid="575" name="hmcheck_result_194b54260ea34cbc9a0aab1b583ab1c7_modifiedword">
    <vt:lpwstr>”“</vt:lpwstr>
  </property>
  <property fmtid="{D5CDD505-2E9C-101B-9397-08002B2CF9AE}" pid="576" name="hmcheck_result_5378d07b55734b6f9058b7388407b3de_modifiedword">
    <vt:lpwstr>”“</vt:lpwstr>
  </property>
  <property fmtid="{D5CDD505-2E9C-101B-9397-08002B2CF9AE}" pid="577" name="hmcheck_result_a871a3b040974b4983b9649accdab9f0_modifiedword">
    <vt:lpwstr>胶黏剂</vt:lpwstr>
  </property>
  <property fmtid="{D5CDD505-2E9C-101B-9397-08002B2CF9AE}" pid="578" name="hmcheck_result_acf979dd8c784ea1b70201e7999263ca_modifiedword">
    <vt:lpwstr>胶黏剂</vt:lpwstr>
  </property>
  <property fmtid="{D5CDD505-2E9C-101B-9397-08002B2CF9AE}" pid="579" name="hmcheck_result_859c0e75986a43dc8944a33ed1b81739_modifiedword">
    <vt:lpwstr>胶黏剂</vt:lpwstr>
  </property>
  <property fmtid="{D5CDD505-2E9C-101B-9397-08002B2CF9AE}" pid="580" name="hmcheck_result_a87e8e1e0fdd484086c3066fa9baf600_modifiedword">
    <vt:lpwstr>胶黏剂</vt:lpwstr>
  </property>
  <property fmtid="{D5CDD505-2E9C-101B-9397-08002B2CF9AE}" pid="581" name="hmcheck_result_87947f37a6a7495583d934f4f4dfc5b8_modifiedword">
    <vt:lpwstr>标识</vt:lpwstr>
  </property>
  <property fmtid="{D5CDD505-2E9C-101B-9397-08002B2CF9AE}" pid="582" name="hmcheck_result_dbc9f46cf3f04bc2baece721d6be5811_modifiedword">
    <vt:lpwstr>通信设备</vt:lpwstr>
  </property>
  <property fmtid="{D5CDD505-2E9C-101B-9397-08002B2CF9AE}" pid="583" name="hmcheck_result_7d503876c5d94bb78325b958017cc610_modifiedword">
    <vt:lpwstr>下方</vt:lpwstr>
  </property>
  <property fmtid="{D5CDD505-2E9C-101B-9397-08002B2CF9AE}" pid="584" name="hmcheck_result_039ef125cc8e4ba099a550ee60eb1a82_modifiedword">
    <vt:lpwstr>胶黏剂</vt:lpwstr>
  </property>
  <property fmtid="{D5CDD505-2E9C-101B-9397-08002B2CF9AE}" pid="585" name="hmcheck_result_1d349ffcc7c7485db3d60bb2fb8611d7_modifiedword">
    <vt:lpwstr>达到</vt:lpwstr>
  </property>
  <property fmtid="{D5CDD505-2E9C-101B-9397-08002B2CF9AE}" pid="586" name="hmcheck_result_a8d89f8165fc44c0a469bf43c0ca75c2_modifiedword">
    <vt:lpwstr>下方</vt:lpwstr>
  </property>
</Properties>
</file>